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0F8" w:rsidP="00E940F8">
      <w:pPr>
        <w:pStyle w:val="Title"/>
      </w:pPr>
      <w:bookmarkStart w:id="0" w:name="_GoBack"/>
      <w:bookmarkEnd w:id="0"/>
      <w:r>
        <w:fldChar w:fldCharType="begin"/>
      </w:r>
      <w:r>
        <w:instrText xml:space="preserve"> TITLE   \* MERGEFORMAT </w:instrText>
      </w:r>
      <w:r>
        <w:fldChar w:fldCharType="separate"/>
      </w:r>
      <w:r>
        <w:t>UEGNSG311A Site control of third party works in the vicinity of a transmission pipeline</w:t>
      </w:r>
      <w:r>
        <w:fldChar w:fldCharType="end"/>
      </w:r>
    </w:p>
    <w:p w:rsidR="00E940F8" w:rsidP="00E940F8">
      <w:pPr>
        <w:pStyle w:val="Version"/>
        <w:sectPr w:rsidSect="009F0F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F60" w:rsidP="009F0F60">
      <w:pPr>
        <w:pStyle w:val="SuperHeading"/>
      </w:pPr>
      <w:r w:rsidRPr="009F0F60">
        <w:t>UEGNSG311A Site control of third party works in the vicinity of a transmission pipeline</w:t>
      </w:r>
    </w:p>
    <w:p w:rsidR="00000000" w:rsidRPr="009F0F60" w:rsidP="009F0F60">
      <w:pPr>
        <w:pStyle w:val="Heading1"/>
      </w:pPr>
      <w:bookmarkStart w:id="1" w:name="O_275118"/>
      <w:bookmarkEnd w:id="1"/>
      <w:r w:rsidRPr="009F0F60">
        <w:t>Modification History</w:t>
      </w:r>
    </w:p>
    <w:p w:rsidR="00000000" w:rsidRPr="009F0F60" w:rsidP="009F0F60">
      <w:pPr>
        <w:pStyle w:val="BodyText"/>
      </w:pPr>
      <w:r w:rsidRPr="009F0F60">
        <w:t>Not Applicable</w:t>
      </w:r>
    </w:p>
    <w:p w:rsidR="00000000" w:rsidRPr="009F0F60" w:rsidP="009F0F60">
      <w:pPr>
        <w:pStyle w:val="AllowPageBreak"/>
      </w:pPr>
    </w:p>
    <w:p w:rsidR="00000000" w:rsidRPr="009F0F60" w:rsidP="009F0F60">
      <w:pPr>
        <w:pStyle w:val="Heading1"/>
      </w:pPr>
      <w:bookmarkStart w:id="2" w:name="O_229529"/>
      <w:bookmarkEnd w:id="2"/>
      <w:r w:rsidRPr="009F0F60">
        <w:t>Unit Descriptor</w:t>
      </w:r>
    </w:p>
    <w:tbl>
      <w:tblPr>
        <w:tblW w:w="0" w:type="auto"/>
        <w:tblLayout w:type="fixed"/>
        <w:tblCellMar>
          <w:left w:w="62" w:type="dxa"/>
          <w:right w:w="62" w:type="dxa"/>
        </w:tblCellMar>
        <w:tblLook w:val="0000"/>
      </w:tblPr>
      <w:tblGrid>
        <w:gridCol w:w="2700"/>
        <w:gridCol w:w="5760"/>
      </w:tblGrid>
      <w:tr w:rsidTr="00E940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1</w:t>
            </w:r>
            <w:r w:rsidRPr="009F0F60">
              <w:t xml:space="preserve">) </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t>This unit covers the control of all third party works in the vicinity of a transmission pipeline to ensure the integrity of the pipeline is not compromised. The competency standard is applied against the procedures found under the latest version of AS 2885</w:t>
            </w:r>
            <w:r w:rsidRPr="009F0F60">
              <w:t>.3 Australian and New Zealand Standard. Third party works would include excavation, seismic activities and the use of explosives, vibrating rollers and the effect of additional loads on the pipeline.</w:t>
            </w:r>
          </w:p>
        </w:tc>
      </w:tr>
    </w:tbl>
    <w:p w:rsidR="00E940F8" w:rsidP="009F0F60">
      <w:pPr>
        <w:pStyle w:val="BodyText"/>
      </w:pPr>
    </w:p>
    <w:p w:rsidR="00E940F8" w:rsidP="009F0F60">
      <w:pPr>
        <w:pStyle w:val="BodyText"/>
      </w:pPr>
    </w:p>
    <w:p w:rsidR="00000000" w:rsidRPr="009F0F60" w:rsidP="009F0F60">
      <w:pPr>
        <w:pStyle w:val="Heading1"/>
      </w:pPr>
      <w:bookmarkStart w:id="3" w:name="O_229532"/>
      <w:bookmarkEnd w:id="3"/>
      <w:r w:rsidRPr="009F0F60">
        <w:t>Application of the Unit</w:t>
      </w:r>
    </w:p>
    <w:tbl>
      <w:tblPr>
        <w:tblW w:w="0" w:type="auto"/>
        <w:tblLayout w:type="fixed"/>
        <w:tblCellMar>
          <w:left w:w="62" w:type="dxa"/>
          <w:right w:w="62" w:type="dxa"/>
        </w:tblCellMar>
        <w:tblLook w:val="0000"/>
      </w:tblPr>
      <w:tblGrid>
        <w:gridCol w:w="2700"/>
        <w:gridCol w:w="5760"/>
      </w:tblGrid>
      <w:tr w:rsidTr="00E940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 xml:space="preserve">Application </w:t>
            </w:r>
            <w:r w:rsidRPr="009F0F60">
              <w:rPr>
                <w:rStyle w:val="SpecialBold"/>
              </w:rPr>
              <w:t>of the Unit</w:t>
            </w:r>
          </w:p>
        </w:tc>
        <w:tc>
          <w:tcPr>
            <w:tcW w:w="57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3</w:t>
            </w:r>
            <w:r w:rsidRPr="009F0F60">
              <w:t xml:space="preserve">) </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t>This competency standard shall apply to any basic and safe work site where gas and petrochemical liquids industry operations occur.</w:t>
            </w:r>
          </w:p>
        </w:tc>
      </w:tr>
    </w:tbl>
    <w:p w:rsidR="00E940F8" w:rsidP="009F0F60">
      <w:pPr>
        <w:pStyle w:val="BodyText"/>
      </w:pPr>
    </w:p>
    <w:p w:rsidR="00E940F8" w:rsidP="009F0F60">
      <w:pPr>
        <w:pStyle w:val="BodyText"/>
      </w:pPr>
    </w:p>
    <w:p w:rsidR="00000000" w:rsidRPr="009F0F60" w:rsidP="009F0F60">
      <w:pPr>
        <w:pStyle w:val="Heading1"/>
      </w:pPr>
      <w:bookmarkStart w:id="4" w:name="O_229533"/>
      <w:bookmarkEnd w:id="4"/>
      <w:r w:rsidRPr="009F0F60">
        <w:t>Licensing/Regulatory Information</w:t>
      </w:r>
    </w:p>
    <w:tbl>
      <w:tblPr>
        <w:tblW w:w="0" w:type="auto"/>
        <w:tblLayout w:type="fixed"/>
        <w:tblCellMar>
          <w:left w:w="62" w:type="dxa"/>
          <w:right w:w="62" w:type="dxa"/>
        </w:tblCellMar>
        <w:tblLook w:val="0000"/>
      </w:tblPr>
      <w:tblGrid>
        <w:gridCol w:w="2700"/>
        <w:gridCol w:w="5760"/>
      </w:tblGrid>
      <w:tr w:rsidTr="00E940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3</w:t>
            </w:r>
            <w:r w:rsidRPr="009F0F60">
              <w:t>.</w:t>
            </w:r>
            <w:r w:rsidRPr="009F0F60">
              <w:rPr>
                <w:rStyle w:val="SpecialBold"/>
              </w:rPr>
              <w:t>1</w:t>
            </w:r>
            <w:r w:rsidRPr="009F0F60">
              <w:t xml:space="preserve">) </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t>The skills and knowledge described in this unit are not subject to licence regulation other than those directly related to Occupational Health and Safety, gas/electricity/water industry safety and compliance, industrial relations, environmental protection,</w:t>
            </w:r>
            <w:r w:rsidRPr="009F0F60">
              <w:t xml:space="preserve"> telecommunications, anti discrimination and training. Commonwealth, State/Territory or Local Government legislation and regulations may exist that limits the age of </w:t>
            </w:r>
            <w:r w:rsidRPr="009F0F60">
              <w:t>persons who can operate certain equipment.</w:t>
            </w:r>
          </w:p>
        </w:tc>
      </w:tr>
    </w:tbl>
    <w:p w:rsidR="00E940F8" w:rsidP="009F0F60">
      <w:pPr>
        <w:pStyle w:val="BodyText"/>
      </w:pPr>
    </w:p>
    <w:p w:rsidR="00E940F8" w:rsidP="009F0F60">
      <w:pPr>
        <w:pStyle w:val="BodyText"/>
      </w:pPr>
    </w:p>
    <w:p w:rsidR="00000000" w:rsidRPr="009F0F60" w:rsidP="009F0F60">
      <w:pPr>
        <w:pStyle w:val="Heading1"/>
      </w:pPr>
      <w:bookmarkStart w:id="5" w:name="O_229530"/>
      <w:bookmarkEnd w:id="5"/>
      <w:r w:rsidRPr="009F0F60">
        <w:t>Pre-Requisites</w:t>
      </w:r>
    </w:p>
    <w:tbl>
      <w:tblPr>
        <w:tblW w:w="0" w:type="auto"/>
        <w:tblLayout w:type="fixed"/>
        <w:tblCellMar>
          <w:left w:w="62" w:type="dxa"/>
          <w:right w:w="62" w:type="dxa"/>
        </w:tblCellMar>
        <w:tblLook w:val="0000"/>
      </w:tblPr>
      <w:tblGrid>
        <w:gridCol w:w="2700"/>
        <w:gridCol w:w="1800"/>
        <w:gridCol w:w="3960"/>
      </w:tblGrid>
      <w:tr w:rsidTr="00E940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Prerequisite</w:t>
            </w:r>
            <w:r w:rsidRPr="009F0F60">
              <w:rPr>
                <w:rStyle w:val="SpecialBold"/>
              </w:rPr>
              <w:t xml:space="preserve"> Unit</w:t>
            </w:r>
            <w:r w:rsidRPr="009F0F60">
              <w:t>(</w:t>
            </w:r>
            <w:r w:rsidRPr="009F0F60">
              <w:rPr>
                <w:rStyle w:val="SpecialBold"/>
              </w:rPr>
              <w:t>s</w:t>
            </w:r>
            <w:r w:rsidRPr="009F0F60">
              <w:t>)</w:t>
            </w:r>
          </w:p>
        </w:tc>
        <w:tc>
          <w:tcPr>
            <w:tcW w:w="5760" w:type="dxa"/>
            <w:gridSpan w:val="2"/>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2</w:t>
            </w:r>
            <w:r w:rsidRPr="009F0F60">
              <w:t xml:space="preserve">) </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2</w:t>
            </w:r>
            <w:r w:rsidRPr="009F0F60">
              <w:t>.</w:t>
            </w:r>
            <w:r w:rsidRPr="009F0F60">
              <w:rPr>
                <w:rStyle w:val="SpecialBold"/>
              </w:rPr>
              <w:t>1</w:t>
            </w:r>
            <w:r w:rsidRPr="009F0F60">
              <w:t xml:space="preserve">) </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Granting of competency in this unit shall be made only after competency in the following unit(s) has/have been confirmed:</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Nil</w:t>
            </w:r>
          </w:p>
        </w:tc>
        <w:tc>
          <w:tcPr>
            <w:tcW w:w="3960" w:type="dxa"/>
            <w:tcBorders>
              <w:top w:val="nil"/>
              <w:left w:val="nil"/>
              <w:bottom w:val="nil"/>
              <w:right w:val="nil"/>
            </w:tcBorders>
            <w:tcMar>
              <w:top w:w="0" w:type="dxa"/>
              <w:left w:w="62" w:type="dxa"/>
              <w:bottom w:w="0" w:type="dxa"/>
              <w:right w:w="62" w:type="dxa"/>
            </w:tcMar>
          </w:tcPr>
          <w:p w:rsidR="00000000" w:rsidRPr="009F0F60" w:rsidP="009F0F60">
            <w:pPr>
              <w:pStyle w:val="BodyText"/>
            </w:pPr>
          </w:p>
        </w:tc>
      </w:tr>
    </w:tbl>
    <w:p w:rsidR="00E940F8" w:rsidP="009F0F60">
      <w:pPr>
        <w:pStyle w:val="BodyText"/>
      </w:pPr>
    </w:p>
    <w:p w:rsidR="00E940F8" w:rsidP="009F0F60">
      <w:pPr>
        <w:pStyle w:val="BodyText"/>
      </w:pPr>
    </w:p>
    <w:p w:rsidR="00000000" w:rsidRPr="009F0F60" w:rsidP="009F0F60">
      <w:pPr>
        <w:pStyle w:val="Heading1"/>
      </w:pPr>
      <w:bookmarkStart w:id="6" w:name="O_285367"/>
      <w:bookmarkEnd w:id="6"/>
      <w:r w:rsidRPr="009F0F60">
        <w:t>Employability Skills Information</w:t>
      </w:r>
    </w:p>
    <w:p w:rsidR="00000000" w:rsidRPr="009F0F60" w:rsidP="009F0F60">
      <w:pPr>
        <w:pStyle w:val="BodyText"/>
      </w:pPr>
      <w:r w:rsidRPr="009F0F60">
        <w:t>Refer to the Evidence Guide</w:t>
      </w:r>
    </w:p>
    <w:p w:rsidR="00000000" w:rsidRPr="009F0F60" w:rsidP="009F0F60">
      <w:pPr>
        <w:pStyle w:val="AllowPageBreak"/>
      </w:pPr>
    </w:p>
    <w:p w:rsidR="00000000" w:rsidRPr="009F0F60" w:rsidP="009F0F60">
      <w:pPr>
        <w:pStyle w:val="Heading1"/>
      </w:pPr>
      <w:bookmarkStart w:id="7" w:name="O_293164"/>
      <w:bookmarkEnd w:id="7"/>
      <w:r w:rsidRPr="009F0F60">
        <w:t>Elements and Performance Criteria Pre-Content</w:t>
      </w:r>
    </w:p>
    <w:tbl>
      <w:tblPr>
        <w:tblW w:w="0" w:type="auto"/>
        <w:tblLayout w:type="fixed"/>
        <w:tblCellMar>
          <w:left w:w="62" w:type="dxa"/>
          <w:right w:w="62" w:type="dxa"/>
        </w:tblCellMar>
        <w:tblLook w:val="0000"/>
      </w:tblPr>
      <w:tblGrid>
        <w:gridCol w:w="2700"/>
        <w:gridCol w:w="5760"/>
      </w:tblGrid>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5</w:t>
            </w:r>
            <w:r w:rsidRPr="009F0F6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t>Performance Criteria describe the required performance needed to demonstrate achievement of the element. Assessment of p</w:t>
            </w:r>
            <w:r w:rsidRPr="009F0F60">
              <w:t>erformance is to be consistent with the Evidence Guide.</w:t>
            </w:r>
          </w:p>
        </w:tc>
      </w:tr>
    </w:tbl>
    <w:p w:rsidR="00000000" w:rsidRPr="009F0F60" w:rsidP="009F0F60">
      <w:pPr>
        <w:pStyle w:val="BodyText"/>
      </w:pPr>
    </w:p>
    <w:p w:rsidR="00000000" w:rsidRPr="009F0F60" w:rsidP="009F0F60">
      <w:pPr>
        <w:pStyle w:val="AllowPageBreak"/>
      </w:pPr>
    </w:p>
    <w:p w:rsidR="00000000" w:rsidRPr="009F0F60" w:rsidP="009F0F60">
      <w:pPr>
        <w:pStyle w:val="Heading1"/>
      </w:pPr>
      <w:bookmarkStart w:id="8" w:name="O_239832"/>
      <w:bookmarkEnd w:id="8"/>
      <w:r w:rsidRPr="009F0F6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940F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PERFORMANCE CRITERIA</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1</w:t>
            </w:r>
          </w:p>
        </w:tc>
        <w:tc>
          <w:tcPr>
            <w:tcW w:w="2296" w:type="dxa"/>
            <w:vMerge w:val="restart"/>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Plan to undertake site control of third party works in the vicinity of a transmission gas/ petrochemical liquids pipeline</w:t>
            </w: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1.1</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Site is checked for specific hazards. Work schedule(s), specific requirements, drawings, plans, requirements, established procedur</w:t>
            </w:r>
            <w:r w:rsidRPr="009F0F60">
              <w:t>es and material and equipment are examined. The extent of preparation for the work is assessed</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1.2</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Work is prioritised and sequenced for the most efficient and effective outcome following </w:t>
            </w:r>
            <w:r w:rsidRPr="009F0F60">
              <w:t>consultation with others for completion within acceptable timefra</w:t>
            </w:r>
            <w:r w:rsidRPr="009F0F60">
              <w:t xml:space="preserve">mes to a quality standard and in accordance with established procedures </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1.3</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Risk control measures are identified, prioritised and evaluated against the work schedule</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1.4</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Relevant requirements and established procedures for the work are communicated to all persons and identified for all work sites</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1.5</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OHS, environmental and sustainable energy policies and procedures related to the work are identified to ensure safe syste</w:t>
            </w:r>
            <w:r w:rsidRPr="009F0F60">
              <w:t>ms of work are followed</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1.6</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Relevant work permits are secured to coordinate the performance of work according to requirements and established procedures </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1.7</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Resources including persons, equipment, tools and personal protective equipment required for the job are identified, scheduled, coordinated and confirmed in a safe and technical working order</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1.8</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Clients are provided with possible solutions and options </w:t>
            </w:r>
            <w:r w:rsidRPr="009F0F60">
              <w:t>within the scope, acceptable cost and requirements</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1.9</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Liaison and communication issues with authorised persons, authorities, clients and land owners are resolved and activities coordinated to carry out work</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1.10</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Persons participating in the work, including plant operators and contractors are fully briefed, inducted and respective responsibilities coordinated and authorised where applicable in accordance with establish procedures</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2</w:t>
            </w:r>
          </w:p>
        </w:tc>
        <w:tc>
          <w:tcPr>
            <w:tcW w:w="2296" w:type="dxa"/>
            <w:vMerge w:val="restart"/>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Carry out site control of third </w:t>
            </w:r>
            <w:r w:rsidRPr="009F0F60">
              <w:t>party works in the vicinity of a transmission gas pipeline</w:t>
            </w: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2.1</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OHS policies and procedures and safe work practices are followed to eliminate or minimise incidents and hazards</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2.2</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First Aid and other related work procedures are performed according to req</w:t>
            </w:r>
            <w:r w:rsidRPr="009F0F60">
              <w:t xml:space="preserve">uirements and established procedures </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2.3</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Lifting, climbing, working in confined spaces and aloft, techniques and practices are safely exercised according to requirements </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2.4</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Equipment faults are identified through inspection and testing of operational equipment in accordance with a work schedule and to requirements</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2.5</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Hazard warnings and safety signs are recognised and hazards are assessed and OHS risks are reported to the</w:t>
            </w:r>
            <w:r w:rsidRPr="009F0F60">
              <w:t xml:space="preserve"> immediate authorised persons for directions according to established procedures</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2.6</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Operating conditions of equipment are monitored</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2.7</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Negotiation processes occur with third parties to control the threat to the pipeline</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2.8</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Fault finding and troubleshooting techniques are applied to identify any repairs or maintenance that are required according to requirements and established procedures</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2.9</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Essential Knowledge and Associated Skills are applied to ensure completion in an agreed timeframe and to quality standards with a minimum of waste according to requirements</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2.10</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Solutions to non-routine problems are identified and actioned using Essenti</w:t>
            </w:r>
            <w:r w:rsidRPr="009F0F60">
              <w:t>al Knowledge and Associated Skills according to requirements</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2.11</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Ongoing checks of quality of the work are undertaken in accordance with requirements and established procedures to ensure a quality outcome is achieved for the client to a community and i</w:t>
            </w:r>
            <w:r w:rsidRPr="009F0F60">
              <w:t xml:space="preserve">ndustry standard </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3</w:t>
            </w:r>
          </w:p>
        </w:tc>
        <w:tc>
          <w:tcPr>
            <w:tcW w:w="2296" w:type="dxa"/>
            <w:vMerge w:val="restart"/>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Complete site control of third party works in the vicinity of a transmission gas/ petrochemical liquids pipeline</w:t>
            </w: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3.1</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Work undertaken is checked against works schedule for conformance with requirements, anomalies are reported and soluti</w:t>
            </w:r>
            <w:r w:rsidRPr="009F0F60">
              <w:t>ons identified in accordance with established procedures</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3.2</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Accidents and injuries are reported and followed up in accordance with requirements and established procedures </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3.3</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Work site is rehabilitated/cleaned up and confirmed safe and in accordance with established procedures </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3.4</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Tools, equipment and any surplus resources and materials are where appropriate, cleaned, checked and returned to storage in accordance with </w:t>
            </w:r>
            <w:r w:rsidRPr="009F0F60">
              <w:t xml:space="preserve">established procedures </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3.5</w:t>
            </w:r>
          </w:p>
        </w:tc>
        <w:tc>
          <w:tcPr>
            <w:tcW w:w="48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Relevant work permit(s) are signed off accordance with requirements</w:t>
            </w:r>
          </w:p>
        </w:tc>
      </w:tr>
      <w:tr w:rsidTr="00E940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3.6</w:t>
            </w:r>
          </w:p>
        </w:tc>
        <w:tc>
          <w:tcPr>
            <w:tcW w:w="486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t>Work completion records, reports as installed/modified drawing(s) and documentation and information is confirmed, processed and the appropriate person</w:t>
            </w:r>
            <w:r w:rsidRPr="009F0F60">
              <w:t xml:space="preserve">s notified </w:t>
            </w:r>
          </w:p>
        </w:tc>
      </w:tr>
    </w:tbl>
    <w:p w:rsidR="00E940F8" w:rsidP="009F0F60">
      <w:pPr>
        <w:pStyle w:val="BodyText"/>
      </w:pPr>
    </w:p>
    <w:p w:rsidR="00E940F8" w:rsidP="009F0F60">
      <w:pPr>
        <w:pStyle w:val="BodyText"/>
      </w:pPr>
    </w:p>
    <w:p w:rsidR="00000000" w:rsidRPr="009F0F60" w:rsidP="009F0F60">
      <w:pPr>
        <w:pStyle w:val="Heading1"/>
      </w:pPr>
      <w:bookmarkStart w:id="9" w:name="O_263623"/>
      <w:bookmarkEnd w:id="9"/>
      <w:r w:rsidRPr="009F0F60">
        <w:t>Required Skills and Knowledge</w:t>
      </w:r>
    </w:p>
    <w:tbl>
      <w:tblPr>
        <w:tblW w:w="0" w:type="auto"/>
        <w:tblLayout w:type="fixed"/>
        <w:tblCellMar>
          <w:left w:w="62" w:type="dxa"/>
          <w:right w:w="62" w:type="dxa"/>
        </w:tblCellMar>
        <w:tblLook w:val="0000"/>
      </w:tblPr>
      <w:tblGrid>
        <w:gridCol w:w="2700"/>
        <w:gridCol w:w="1080"/>
        <w:gridCol w:w="4680"/>
      </w:tblGrid>
      <w:tr w:rsidTr="00E940F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REQUIRED SKILLS AND KNOWLEDGE</w:t>
            </w:r>
          </w:p>
        </w:tc>
      </w:tr>
      <w:tr w:rsidTr="00E940F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6</w:t>
            </w:r>
            <w:r w:rsidRPr="009F0F60">
              <w:t>) This describes the essential skills and knowledge and their level, required for this unit.</w:t>
            </w:r>
          </w:p>
        </w:tc>
      </w:tr>
      <w:tr w:rsidTr="00E940F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Evidence shall show that knowledge has been acquired of safe working practices for site control of third party works in the vicinity of a transmission pipeline. The extent of the essential knowledge and associated skills (EKAS) required is given in Volume </w:t>
            </w:r>
            <w:r w:rsidRPr="009F0F60">
              <w:t>2 - Part 2.2 EKAS.  It forms an integral part of this unit.</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2.1.1</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Working in the gas sector</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2.1.4</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Apply relevant OHS regulations, policies and procedures</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2.1.5</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Maintain a safe, clean and healthy workplace</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2.1.6</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Work safely with hazardous materials and equipment</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2.1.7</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Apply safe manual handling techniques in the workplace</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2.1.9</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Respond to emergency and accident situations</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2.1.10</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Apply relevant environmental legislation, regulations and codes of practice </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2.1.11</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Protect and maintain the environment</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2.1.12</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Communicate in the workplace</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2.1.13</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Communicate effectively in a team</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2.1.14</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Read and interpret workplace docume</w:t>
            </w:r>
            <w:r w:rsidRPr="009F0F60">
              <w:t>nts</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2.1.15</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Complete routine workplace forms, memos and reports</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2.1.16</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Identify requirements of work activity</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2.1.17</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Apply basic planning skills </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2.1.18</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Conduct tasks to complete work activity</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2.1.21</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Problem solving</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2.1.22</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Confined spaces</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2.1.24</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Work-site environmental impact</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2.2.34</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Use tools, materials and equipment</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3.1.2</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Work independently in a Gas Industry environment</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3.4.5</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Interpreting topographical maps and information</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4.1.2</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Understand the effective operation of Gas Industry plant and equipment and materials</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4.1.3</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Communicating in the Gas Industry at a supervisory level</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4.1.4</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Gas Industry products and services</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4.1.5</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Interpreting Gas Industry drawings</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4.1.6</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OHS and First Aid for Gas Industry supervisors</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4.1.7</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Complete Gas Industry reports and documentation </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4.1.8</w:t>
            </w:r>
          </w:p>
        </w:tc>
        <w:tc>
          <w:tcPr>
            <w:tcW w:w="46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Use a personal computer</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 4.1.15</w:t>
            </w:r>
          </w:p>
        </w:tc>
        <w:tc>
          <w:tcPr>
            <w:tcW w:w="468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t>Drive Gas Industry vehicles</w:t>
            </w:r>
          </w:p>
        </w:tc>
      </w:tr>
    </w:tbl>
    <w:p w:rsidR="00E940F8" w:rsidP="009F0F60">
      <w:pPr>
        <w:pStyle w:val="BodyText"/>
      </w:pPr>
    </w:p>
    <w:p w:rsidR="00E940F8" w:rsidP="009F0F60">
      <w:pPr>
        <w:pStyle w:val="BodyText"/>
      </w:pPr>
    </w:p>
    <w:p w:rsidR="00000000" w:rsidRPr="009F0F60" w:rsidP="009F0F60">
      <w:pPr>
        <w:pStyle w:val="Heading1"/>
      </w:pPr>
      <w:bookmarkStart w:id="10" w:name="O_247815"/>
      <w:bookmarkEnd w:id="10"/>
      <w:r w:rsidRPr="009F0F60">
        <w:t>Evidence Guide</w:t>
      </w:r>
    </w:p>
    <w:tbl>
      <w:tblPr>
        <w:tblW w:w="0" w:type="auto"/>
        <w:tblLayout w:type="fixed"/>
        <w:tblCellMar>
          <w:left w:w="62" w:type="dxa"/>
          <w:right w:w="62" w:type="dxa"/>
        </w:tblCellMar>
        <w:tblLook w:val="0000"/>
      </w:tblPr>
      <w:tblGrid>
        <w:gridCol w:w="2160"/>
        <w:gridCol w:w="6300"/>
      </w:tblGrid>
      <w:tr w:rsidTr="00E940F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EVIDENCE GUIDE</w:t>
            </w:r>
          </w:p>
        </w:tc>
      </w:tr>
      <w:tr w:rsidTr="00E940F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8</w:t>
            </w:r>
            <w:r w:rsidRPr="009F0F60">
              <w:t>) The Evidence Guide forms an integral part of this Competency Standard Unit and shall be used in conjunction with all components parts of this unit and performed in accordance with the Assessment Guidelines of this Training Package.</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Overview of Assessme</w:t>
            </w:r>
            <w:r w:rsidRPr="009F0F60">
              <w:rPr>
                <w:rStyle w:val="SpecialBold"/>
              </w:rPr>
              <w:t>nt</w:t>
            </w:r>
          </w:p>
        </w:tc>
        <w:tc>
          <w:tcPr>
            <w:tcW w:w="630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8</w:t>
            </w:r>
            <w:r w:rsidRPr="009F0F60">
              <w:t>.</w:t>
            </w:r>
            <w:r w:rsidRPr="009F0F60">
              <w:rPr>
                <w:rStyle w:val="SpecialBold"/>
              </w:rPr>
              <w:t>1</w:t>
            </w:r>
            <w:r w:rsidRPr="009F0F60">
              <w:t>)</w:t>
            </w:r>
          </w:p>
          <w:p w:rsidR="00000000" w:rsidRPr="009F0F60" w:rsidP="009F0F60">
            <w:pPr>
              <w:pStyle w:val="BodyText"/>
            </w:pPr>
            <w:r w:rsidRPr="009F0F60">
              <w:t>Longitudinal competency development approaches to assessment, such as Profiling, require data to be reliably gathered in a form that can be consistently interpreted over time. This approach is best utilised in Apprenticeship programs and reduces as</w:t>
            </w:r>
            <w:r w:rsidRPr="009F0F60">
              <w:t>sessment intervention. It is the Industry's preferred model for apprenticeships. However, where summative (or final) assessment is used it is to include the application of the competency in the normal work environment or, at a minimum, the application of t</w:t>
            </w:r>
            <w:r w:rsidRPr="009F0F60">
              <w:t>he competency in a realistically simulated work environment. It is recognised that, in some circumstances, assessment in part or full can occur outside the workplace. However, it must be in accord with Industry regulatory policy in this regard.</w:t>
            </w:r>
          </w:p>
          <w:p w:rsidR="00000000" w:rsidRPr="009F0F60" w:rsidP="009F0F60">
            <w:pPr>
              <w:pStyle w:val="BodyText"/>
            </w:pPr>
            <w:r w:rsidRPr="009F0F60">
              <w:t>Methods chosen for a particular assessment will be influenced by various factors. These include the extent of the assessment, the most effective locations for the assessment activities to take place, access to physical resources, additional safety measures</w:t>
            </w:r>
            <w:r w:rsidRPr="009F0F60">
              <w:t xml:space="preserve"> that may be required and the critical nature of the competencies being assessed.</w:t>
            </w:r>
          </w:p>
          <w:p w:rsidR="00000000" w:rsidRPr="009F0F60" w:rsidP="009F0F60">
            <w:pPr>
              <w:pStyle w:val="BodyText"/>
            </w:pPr>
            <w:r w:rsidRPr="009F0F60">
              <w:t>The critical safety nature of working with electricity, electrical equipment, gas or any other hazardous substance/material carries risk in deeming a person competent. Hence,</w:t>
            </w:r>
            <w:r w:rsidRPr="009F0F60">
              <w:t xml:space="preserve"> sources of evidence need to be 'rich' in nature so as to minimise error in judgment.</w:t>
            </w:r>
          </w:p>
          <w:p w:rsidR="00000000" w:rsidRPr="009F0F60" w:rsidP="009F0F60">
            <w:pPr>
              <w:pStyle w:val="BodyText"/>
            </w:pPr>
            <w:r w:rsidRPr="009F0F60">
              <w:t xml:space="preserve">Activities associated with normal every day work have a bearing on the decision as to how much and how detailed the data gathered will contribute to its 'richness'. Some </w:t>
            </w:r>
            <w:r w:rsidRPr="009F0F60">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9F0F60">
              <w:t>Sample assessment instruments are included for Assessors in the Assessment Guidelines of this Training Package.</w:t>
            </w:r>
          </w:p>
        </w:tc>
      </w:tr>
    </w:tbl>
    <w:p w:rsidR="00000000" w:rsidRPr="009F0F60" w:rsidP="009F0F60">
      <w:pPr>
        <w:pStyle w:val="BodyText"/>
      </w:pPr>
    </w:p>
    <w:tbl>
      <w:tblPr>
        <w:tblW w:w="0" w:type="auto"/>
        <w:tblLayout w:type="fixed"/>
        <w:tblCellMar>
          <w:left w:w="62" w:type="dxa"/>
          <w:right w:w="62" w:type="dxa"/>
        </w:tblCellMar>
        <w:tblLook w:val="0000"/>
      </w:tblPr>
      <w:tblGrid>
        <w:gridCol w:w="2160"/>
        <w:gridCol w:w="360"/>
        <w:gridCol w:w="900"/>
        <w:gridCol w:w="1980"/>
        <w:gridCol w:w="3060"/>
      </w:tblGrid>
      <w:tr w:rsidTr="00E940F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8</w:t>
            </w:r>
            <w:r w:rsidRPr="009F0F60">
              <w:t>.</w:t>
            </w:r>
            <w:r w:rsidRPr="009F0F60">
              <w:rPr>
                <w:rStyle w:val="SpecialBold"/>
              </w:rPr>
              <w:t>2</w:t>
            </w:r>
            <w:r w:rsidRPr="009F0F60">
              <w:t>)</w:t>
            </w:r>
          </w:p>
          <w:p w:rsidR="00000000" w:rsidP="009F0F60">
            <w:pPr>
              <w:pStyle w:val="BodyText"/>
              <w:rPr>
                <w:lang w:val="en-NZ"/>
              </w:rPr>
            </w:pPr>
            <w:r w:rsidRPr="009F0F60">
              <w:t>Before the critical aspects of evidence are considered all p</w:t>
            </w:r>
            <w:r w:rsidRPr="009F0F60">
              <w:t>rerequisites shall be met.</w:t>
            </w:r>
          </w:p>
        </w:tc>
      </w:tr>
      <w:tr w:rsidTr="00E940F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t>Evidence for competence in this unit shall be considered holistically. Each element and associated Performance Criteria shall be demonstrated on at least two occasions in accordance with the 'Assessment Guidelines  UEG06'. E</w:t>
            </w:r>
            <w:r w:rsidRPr="009F0F60">
              <w:t>vidence shall also comprise:</w:t>
            </w:r>
          </w:p>
          <w:p w:rsidR="00000000" w:rsidP="009F0F60">
            <w:pPr>
              <w:pStyle w:val="ListBullet"/>
              <w:rPr>
                <w:lang w:val="en-NZ"/>
              </w:rPr>
            </w:pPr>
            <w:r w:rsidRPr="009F0F60">
              <w:t>A representative body of Performance Criteria demonstrated within the timeframes typically expected of the discipline, work function and industrial environment. In particular this shall incorporate evidence that shows a candida</w:t>
            </w:r>
            <w:r w:rsidRPr="009F0F60">
              <w:t>te is able to:</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F0F60" w:rsidP="009F0F60">
            <w:pPr>
              <w:pStyle w:val="ListBullet2"/>
            </w:pPr>
            <w:r w:rsidRPr="009F0F60">
              <w:t>Implement Occupational Health and Safety workplace procedures and practices including the use of risk control measures as specified in the Performance Criteria and range</w:t>
            </w:r>
          </w:p>
          <w:p w:rsidR="00000000" w:rsidRPr="009F0F60" w:rsidP="009F0F60">
            <w:pPr>
              <w:pStyle w:val="ListBullet2"/>
            </w:pPr>
            <w:r w:rsidRPr="009F0F60">
              <w:t>Apply sustainable energy principles and practices as specified in the Performance Criteria and range</w:t>
            </w:r>
          </w:p>
          <w:p w:rsidR="00000000" w:rsidRPr="009F0F60" w:rsidP="009F0F60">
            <w:pPr>
              <w:pStyle w:val="ListBullet2"/>
            </w:pPr>
            <w:r w:rsidRPr="009F0F60">
              <w:t>Demonstrate an understanding of the essential knowledge and associated skills as described in this unit to such an extent that the learner's performance ou</w:t>
            </w:r>
            <w:r w:rsidRPr="009F0F60">
              <w:t>tcome is reported in accordance with the preferred approach; namely a percentile graded result, where required by the regulated environment</w:t>
            </w:r>
          </w:p>
          <w:p w:rsidR="00000000" w:rsidRPr="009F0F60" w:rsidP="009F0F60">
            <w:pPr>
              <w:pStyle w:val="ListBullet2"/>
            </w:pPr>
            <w:r w:rsidRPr="009F0F60">
              <w:t>Demonstrate an appropriate level of skills enabling employment</w:t>
            </w:r>
          </w:p>
          <w:p w:rsidR="00000000" w:rsidP="009F0F60">
            <w:pPr>
              <w:pStyle w:val="ListBullet2"/>
              <w:rPr>
                <w:lang w:val="en-NZ"/>
              </w:rPr>
            </w:pPr>
            <w:r w:rsidRPr="009F0F60">
              <w:t>Conduct work observing the relevant anti-discriminati</w:t>
            </w:r>
            <w:r w:rsidRPr="009F0F60">
              <w:t>on legislation, regulations, polices and workplace procedures</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F0F60">
            <w:pPr>
              <w:pStyle w:val="ListBullet2"/>
              <w:rPr>
                <w:lang w:val="en-NZ"/>
              </w:rPr>
            </w:pPr>
            <w:r w:rsidRPr="009F0F60">
              <w:t>Demonstrate performance across a representative range of contexts from the prescribed items below.</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F0F60">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rPr>
                <w:rStyle w:val="SpecialBold"/>
              </w:rPr>
              <w:t>Range of tools</w:t>
            </w:r>
            <w:r w:rsidRPr="009F0F60">
              <w:t>/</w:t>
            </w:r>
            <w:r w:rsidRPr="009F0F60">
              <w:rPr>
                <w:rStyle w:val="SpecialBold"/>
              </w:rPr>
              <w:t>equipment</w:t>
            </w:r>
            <w:r w:rsidRPr="009F0F60">
              <w:t>/</w:t>
            </w:r>
            <w:r w:rsidRPr="009F0F60">
              <w:rPr>
                <w:rStyle w:val="SpecialBold"/>
              </w:rPr>
              <w:t>materials</w:t>
            </w:r>
            <w:r w:rsidRPr="009F0F60">
              <w:t>/</w:t>
            </w:r>
            <w:r w:rsidRPr="009F0F60">
              <w:rPr>
                <w:rStyle w:val="SpecialBold"/>
              </w:rPr>
              <w:t>procedures</w:t>
            </w:r>
            <w:r w:rsidRPr="009F0F60">
              <w:t>/</w:t>
            </w:r>
            <w:r w:rsidRPr="009F0F60">
              <w:br/>
            </w:r>
            <w:r w:rsidRPr="009F0F60">
              <w:rPr>
                <w:rStyle w:val="SpecialBold"/>
              </w:rPr>
              <w:t>workplaces</w:t>
            </w:r>
            <w:r w:rsidRPr="009F0F60">
              <w:t>/</w:t>
            </w:r>
            <w:r w:rsidRPr="009F0F60">
              <w:rPr>
                <w:rStyle w:val="SpecialBold"/>
              </w:rPr>
              <w:t>other variables</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F0F60">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r w:rsidRPr="009F0F60">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r w:rsidRPr="009F0F60">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rPr>
                <w:rStyle w:val="SpecialBold"/>
              </w:rPr>
              <w:t>Item List</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r w:rsidRPr="009F0F60">
              <w:t xml:space="preserve">Identify threats to the integrity of transmission pipelines </w:t>
            </w:r>
          </w:p>
          <w:p w:rsidR="00000000" w:rsidRPr="009F0F60" w:rsidP="009F0F60">
            <w:pPr>
              <w:pStyle w:val="BodyText"/>
            </w:pPr>
            <w:r w:rsidRPr="009F0F60">
              <w:t>Evaluate threats to the integrity of transmission pipelines</w:t>
            </w:r>
          </w:p>
          <w:p w:rsidR="00000000" w:rsidRPr="009F0F60" w:rsidP="009F0F60">
            <w:pPr>
              <w:pStyle w:val="BodyText"/>
            </w:pPr>
            <w:r w:rsidRPr="009F0F60">
              <w:t xml:space="preserve">Initiate control of threats to the integrity of transmission pipelines </w:t>
            </w:r>
          </w:p>
          <w:p w:rsidR="00000000" w:rsidRPr="009F0F60" w:rsidP="009F0F60">
            <w:pPr>
              <w:pStyle w:val="BodyText"/>
            </w:pPr>
            <w:r w:rsidRPr="009F0F60">
              <w:t>Working knowledge of coatings for corrosion protection</w:t>
            </w:r>
          </w:p>
          <w:p w:rsidR="00000000" w:rsidRPr="009F0F60" w:rsidP="009F0F60">
            <w:pPr>
              <w:pStyle w:val="BodyText"/>
            </w:pPr>
            <w:r w:rsidRPr="009F0F60">
              <w:t xml:space="preserve">Working knowledge of relevant sections of the latest version of AS2885.3 </w:t>
            </w:r>
          </w:p>
          <w:p w:rsidR="00000000" w:rsidRPr="009F0F60" w:rsidP="009F0F60">
            <w:pPr>
              <w:pStyle w:val="BodyText"/>
            </w:pPr>
            <w:r w:rsidRPr="009F0F60">
              <w:t>Working knowledge of requirements and techniques for sa</w:t>
            </w:r>
            <w:r w:rsidRPr="009F0F60">
              <w:t>fe excavations</w:t>
            </w:r>
          </w:p>
          <w:p w:rsidR="00000000" w:rsidRPr="009F0F60" w:rsidP="009F0F60">
            <w:pPr>
              <w:pStyle w:val="BodyText"/>
            </w:pPr>
            <w:r w:rsidRPr="009F0F60">
              <w:t>Working knowledge of construction machinery</w:t>
            </w:r>
          </w:p>
          <w:p w:rsidR="00000000" w:rsidRPr="009F0F60" w:rsidP="009F0F60">
            <w:pPr>
              <w:pStyle w:val="BodyText"/>
            </w:pPr>
            <w:r w:rsidRPr="009F0F60">
              <w:t>Working knowledge of requirements for safe use of explosives near a pipeline</w:t>
            </w:r>
          </w:p>
          <w:p w:rsidR="00000000" w:rsidRPr="009F0F60" w:rsidP="009F0F60">
            <w:pPr>
              <w:pStyle w:val="BodyText"/>
            </w:pPr>
            <w:r w:rsidRPr="009F0F60">
              <w:t>Working knowledge of requirements for safe use vibrating rollers in the vicinity of a pipeline</w:t>
            </w:r>
          </w:p>
          <w:p w:rsidR="00000000" w:rsidRPr="009F0F60" w:rsidP="009F0F60">
            <w:pPr>
              <w:pStyle w:val="BodyText"/>
            </w:pPr>
            <w:r w:rsidRPr="009F0F60">
              <w:t>Working knowledge of requ</w:t>
            </w:r>
            <w:r w:rsidRPr="009F0F60">
              <w:t>irements for safe loading on a pipeline</w:t>
            </w:r>
          </w:p>
          <w:p w:rsidR="00000000" w:rsidP="009F0F60">
            <w:pPr>
              <w:pStyle w:val="BodyText"/>
              <w:rPr>
                <w:lang w:val="en-NZ"/>
              </w:rPr>
            </w:pPr>
            <w:r w:rsidRPr="009F0F60">
              <w:t>Working knowledge of external interference physical and procedural protection measures</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r w:rsidRPr="009F0F60">
              <w:t>Interpret technical drawings and symbols</w:t>
            </w:r>
          </w:p>
          <w:p w:rsidR="00000000" w:rsidRPr="009F0F60" w:rsidP="009F0F60">
            <w:pPr>
              <w:pStyle w:val="BodyText"/>
            </w:pPr>
            <w:r w:rsidRPr="009F0F60">
              <w:t>Operation of gas detector</w:t>
            </w:r>
          </w:p>
          <w:p w:rsidR="00000000" w:rsidRPr="009F0F60" w:rsidP="009F0F60">
            <w:pPr>
              <w:pStyle w:val="BodyText"/>
            </w:pPr>
            <w:r w:rsidRPr="009F0F60">
              <w:t>Emergency response procedures</w:t>
            </w:r>
          </w:p>
          <w:p w:rsidR="00000000" w:rsidRPr="009F0F60" w:rsidP="009F0F60">
            <w:pPr>
              <w:pStyle w:val="BodyText"/>
            </w:pPr>
            <w:r w:rsidRPr="009F0F60">
              <w:t>Operate pipe locater</w:t>
            </w:r>
          </w:p>
          <w:p w:rsidR="00000000" w:rsidRPr="009F0F60" w:rsidP="009F0F60">
            <w:pPr>
              <w:pStyle w:val="BodyText"/>
            </w:pPr>
            <w:r w:rsidRPr="009F0F60">
              <w:t>Use of and interpret Dial Before You Dig report or its equivalent</w:t>
            </w:r>
          </w:p>
          <w:p w:rsidR="00000000" w:rsidRPr="009F0F60" w:rsidP="009F0F60">
            <w:pPr>
              <w:pStyle w:val="BodyText"/>
            </w:pPr>
            <w:r w:rsidRPr="009F0F60">
              <w:t>Work utilising relevant OHS legislation, regulations, codes of practice, policies and procedures</w:t>
            </w:r>
          </w:p>
          <w:p w:rsidR="00000000" w:rsidRPr="009F0F60" w:rsidP="009F0F60">
            <w:pPr>
              <w:pStyle w:val="BodyText"/>
            </w:pPr>
            <w:r w:rsidRPr="009F0F60">
              <w:t>Maintain a safe and clean workplace</w:t>
            </w:r>
          </w:p>
          <w:p w:rsidR="00000000" w:rsidRPr="009F0F60" w:rsidP="009F0F60">
            <w:pPr>
              <w:pStyle w:val="BodyText"/>
            </w:pPr>
            <w:r w:rsidRPr="009F0F60">
              <w:t>Work safely with hazardous materials and equipment</w:t>
            </w:r>
          </w:p>
          <w:p w:rsidR="00000000" w:rsidRPr="009F0F60" w:rsidP="009F0F60">
            <w:pPr>
              <w:pStyle w:val="BodyText"/>
            </w:pPr>
            <w:r w:rsidRPr="009F0F60">
              <w:t xml:space="preserve">Apply </w:t>
            </w:r>
            <w:r w:rsidRPr="009F0F60">
              <w:t>safe manual handling techniques</w:t>
            </w:r>
          </w:p>
          <w:p w:rsidR="00000000" w:rsidRPr="009F0F60" w:rsidP="009F0F60">
            <w:pPr>
              <w:pStyle w:val="BodyText"/>
            </w:pPr>
            <w:r w:rsidRPr="009F0F60">
              <w:t>Communicate effectively in the workplace</w:t>
            </w:r>
          </w:p>
          <w:p w:rsidR="00000000" w:rsidRPr="009F0F60" w:rsidP="009F0F60">
            <w:pPr>
              <w:pStyle w:val="BodyText"/>
            </w:pPr>
            <w:r w:rsidRPr="009F0F60">
              <w:t>Negotiation skills</w:t>
            </w:r>
          </w:p>
          <w:p w:rsidR="00000000" w:rsidRPr="009F0F60" w:rsidP="009F0F60">
            <w:pPr>
              <w:pStyle w:val="BodyText"/>
            </w:pPr>
            <w:r w:rsidRPr="009F0F60">
              <w:t>Apply basic planning skills</w:t>
            </w:r>
          </w:p>
          <w:p w:rsidR="00000000" w:rsidP="009F0F60">
            <w:pPr>
              <w:pStyle w:val="BodyText"/>
              <w:rPr>
                <w:lang w:val="en-NZ"/>
              </w:rPr>
            </w:pPr>
            <w:r w:rsidRPr="009F0F60">
              <w:t>First Aid certificate level 1</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C</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r w:rsidRPr="009F0F60">
              <w:t>Deal with an unplanned event by drawing on essential knowledge and associated s</w:t>
            </w:r>
            <w:r w:rsidRPr="009F0F60">
              <w:t xml:space="preserve">kills to provide appropriate solutions incorporated in the holistic assessment with the above listed items </w:t>
            </w:r>
          </w:p>
        </w:tc>
      </w:tr>
    </w:tbl>
    <w:p w:rsidR="00000000" w:rsidRPr="009F0F60" w:rsidP="009F0F60">
      <w:pPr>
        <w:pStyle w:val="BodyText"/>
      </w:pPr>
    </w:p>
    <w:tbl>
      <w:tblPr>
        <w:tblW w:w="0" w:type="auto"/>
        <w:tblLayout w:type="fixed"/>
        <w:tblCellMar>
          <w:left w:w="62" w:type="dxa"/>
          <w:right w:w="62" w:type="dxa"/>
        </w:tblCellMar>
        <w:tblLook w:val="0000"/>
      </w:tblPr>
      <w:tblGrid>
        <w:gridCol w:w="2160"/>
        <w:gridCol w:w="1620"/>
        <w:gridCol w:w="3117"/>
        <w:gridCol w:w="1563"/>
      </w:tblGrid>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8</w:t>
            </w:r>
            <w:r w:rsidRPr="009F0F60">
              <w:t>.</w:t>
            </w:r>
            <w:r w:rsidRPr="009F0F60">
              <w:rPr>
                <w:rStyle w:val="SpecialBold"/>
              </w:rPr>
              <w:t>3</w:t>
            </w:r>
            <w:r w:rsidRPr="009F0F60">
              <w:t>)</w:t>
            </w:r>
          </w:p>
          <w:p w:rsidR="00000000" w:rsidRPr="009F0F60" w:rsidP="009F0F60">
            <w:pPr>
              <w:pStyle w:val="BodyText"/>
            </w:pPr>
            <w:r w:rsidRPr="009F0F60">
              <w:t>This unit should be assessed as it relates to normal work practice using procedures, information and resources typical of a workplace. This should include:</w:t>
            </w:r>
          </w:p>
          <w:p w:rsidR="00000000" w:rsidRPr="009F0F60" w:rsidP="009F0F60">
            <w:pPr>
              <w:pStyle w:val="ListBullet"/>
            </w:pPr>
            <w:r w:rsidRPr="009F0F60">
              <w:t>OHS policy and work procedures and instructions.</w:t>
            </w:r>
          </w:p>
          <w:p w:rsidR="00000000" w:rsidRPr="009F0F60" w:rsidP="009F0F60">
            <w:pPr>
              <w:pStyle w:val="ListBullet"/>
            </w:pPr>
            <w:r w:rsidRPr="009F0F60">
              <w:t>Suitable work environment, facilities, equipment an</w:t>
            </w:r>
            <w:r w:rsidRPr="009F0F60">
              <w:t>d materials to undertake actual work as prescribed by this Competency Standard Unit.</w:t>
            </w:r>
          </w:p>
          <w:p w:rsidR="00000000" w:rsidRPr="009F0F60" w:rsidP="009F0F60">
            <w:pPr>
              <w:pStyle w:val="ListBullet"/>
            </w:pPr>
            <w:r w:rsidRPr="009F0F60">
              <w:t>Appropriate environmental regulation and work practices.</w:t>
            </w:r>
          </w:p>
          <w:p w:rsidR="00000000" w:rsidRPr="009F0F60" w:rsidP="009F0F60">
            <w:pPr>
              <w:pStyle w:val="ListBullet"/>
            </w:pPr>
            <w:r w:rsidRPr="009F0F60">
              <w:t>Appropriate organisational requirements.</w:t>
            </w:r>
          </w:p>
          <w:p w:rsidR="00000000" w:rsidP="009F0F60">
            <w:pPr>
              <w:pStyle w:val="ListBullet"/>
              <w:rPr>
                <w:lang w:val="en-NZ"/>
              </w:rPr>
            </w:pPr>
            <w:r w:rsidRPr="009F0F60">
              <w:t>Appropriate work environment, equipment and tools.</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In addition to the resources listed above, in Context of and specific resources for assessment, evidence should show demonstrated competency of site control of third party works in the vicinity of a transmission pipeline.</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 xml:space="preserve">Assessment of this competency </w:t>
            </w:r>
            <w:r w:rsidRPr="009F0F60">
              <w:t>must also be undertaken in either an actual workplace or under a simulated work environment. Assessment must also integrate the Key Competencies .</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8</w:t>
            </w:r>
            <w:r w:rsidRPr="009F0F60">
              <w:t>.</w:t>
            </w:r>
            <w:r w:rsidRPr="009F0F60">
              <w:rPr>
                <w:rStyle w:val="SpecialBold"/>
              </w:rPr>
              <w:t>4</w:t>
            </w:r>
            <w:r w:rsidRPr="009F0F60">
              <w:t>)</w:t>
            </w:r>
          </w:p>
          <w:p w:rsidR="00000000" w:rsidRPr="009F0F60" w:rsidP="009F0F60">
            <w:pPr>
              <w:pStyle w:val="BodyText"/>
            </w:pPr>
            <w:r w:rsidRPr="009F0F60">
              <w:t>This Competency Standard Unit shall be assessed by methods given in Volume 1, Part 3 'Assessment Guidelines'.</w:t>
            </w:r>
          </w:p>
          <w:p w:rsidR="00000000" w:rsidP="009F0F60">
            <w:pPr>
              <w:pStyle w:val="BodyText"/>
              <w:rPr>
                <w:lang w:val="en-NZ"/>
              </w:rPr>
            </w:pPr>
            <w:r w:rsidRPr="009F0F60">
              <w:t>Note:</w:t>
            </w:r>
            <w:r w:rsidRPr="009F0F60">
              <w:br/>
              <w:t xml:space="preserve">Competent performance with inherent safe working practices is expected in the Industry to which this Competency Standard Unit applies. This </w:t>
            </w:r>
            <w:r w:rsidRPr="009F0F60">
              <w:t>requires that the specified Essential Knowledge and Associated Skills are assessed in a structured environment which is primarily intended for learning/assessment and incorporates all necessary equipment and facilities for learners to develop and demonstra</w:t>
            </w:r>
            <w:r w:rsidRPr="009F0F60">
              <w:t>te the essential knowledge and associated skills described in this unit.</w:t>
            </w:r>
          </w:p>
        </w:tc>
      </w:tr>
      <w:tr w:rsidTr="00E940F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8</w:t>
            </w:r>
            <w:r w:rsidRPr="009F0F60">
              <w:t>.</w:t>
            </w:r>
            <w:r w:rsidRPr="009F0F60">
              <w:rPr>
                <w:rStyle w:val="SpecialBold"/>
              </w:rPr>
              <w:t>5</w:t>
            </w:r>
            <w:r w:rsidRPr="009F0F60">
              <w:t>)</w:t>
            </w:r>
          </w:p>
        </w:tc>
      </w:tr>
      <w:tr w:rsidTr="00E940F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There are no recommended concurrent assessments with this unit, however in some cases efficiencies may be gained in terms of learning and assessment effort being concurrently managed with allied Competency Standard Units where listed.</w:t>
            </w:r>
          </w:p>
        </w:tc>
      </w:tr>
      <w:tr w:rsidTr="00E940F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UEGNSG302A</w:t>
            </w:r>
          </w:p>
        </w:tc>
        <w:tc>
          <w:tcPr>
            <w:tcW w:w="4680" w:type="dxa"/>
            <w:gridSpan w:val="2"/>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Mainta</w:t>
            </w:r>
            <w:r w:rsidRPr="009F0F60">
              <w:t>in pipeline easements</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UEGNSG303A</w:t>
            </w:r>
          </w:p>
        </w:tc>
        <w:tc>
          <w:tcPr>
            <w:tcW w:w="4680" w:type="dxa"/>
            <w:gridSpan w:val="2"/>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Ground transmission pipeline surveillance</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UEGNSG308A</w:t>
            </w:r>
          </w:p>
        </w:tc>
        <w:tc>
          <w:tcPr>
            <w:tcW w:w="4680" w:type="dxa"/>
            <w:gridSpan w:val="2"/>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Identify, evaluate and control threats to transmission pipelines</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UEGNSG309A</w:t>
            </w:r>
          </w:p>
        </w:tc>
        <w:tc>
          <w:tcPr>
            <w:tcW w:w="4680" w:type="dxa"/>
            <w:gridSpan w:val="2"/>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First on site emergency response</w:t>
            </w:r>
          </w:p>
        </w:tc>
      </w:tr>
      <w:tr w:rsidTr="00E940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UEGNSG310A</w:t>
            </w:r>
          </w:p>
        </w:tc>
        <w:tc>
          <w:tcPr>
            <w:tcW w:w="4680" w:type="dxa"/>
            <w:gridSpan w:val="2"/>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Supervise and monitor contract staff</w:t>
            </w:r>
          </w:p>
        </w:tc>
      </w:tr>
      <w:tr w:rsidTr="00E940F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9F0F60" w:rsidP="009F0F60">
            <w:pPr>
              <w:pStyle w:val="BodyText"/>
            </w:pPr>
            <w:r w:rsidRPr="009F0F60">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8</w:t>
            </w:r>
            <w:r w:rsidRPr="009F0F60">
              <w:t>.</w:t>
            </w:r>
            <w:r w:rsidRPr="009F0F60">
              <w:rPr>
                <w:rStyle w:val="SpecialBold"/>
              </w:rPr>
              <w:t>6</w:t>
            </w:r>
            <w:r w:rsidRPr="009F0F60">
              <w:t>)</w:t>
            </w:r>
          </w:p>
          <w:p w:rsidR="00000000" w:rsidP="009F0F60">
            <w:pPr>
              <w:pStyle w:val="BodyText"/>
              <w:rPr>
                <w:lang w:val="en-NZ"/>
              </w:rPr>
            </w:pPr>
            <w:r w:rsidRPr="009F0F60">
              <w:t>Evidence that particular Key Competencies have been achieved within this Competency Standard Unit is in the context of the following Performance Criteria of evidence. See Volume 2, Part 4 for an explanation of Key Competencies and le</w:t>
            </w:r>
            <w:r w:rsidRPr="009F0F60">
              <w:t>vels of this Training Package.</w:t>
            </w:r>
          </w:p>
        </w:tc>
      </w:tr>
      <w:tr w:rsidTr="00E940F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r w:rsidRPr="009F0F60">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r w:rsidRPr="009F0F6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rPr>
                <w:rStyle w:val="SpecialBold"/>
              </w:rPr>
              <w:t>Performance Level</w:t>
            </w:r>
          </w:p>
        </w:tc>
      </w:tr>
      <w:tr w:rsidTr="00E940F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p>
          <w:p w:rsidR="00000000" w:rsidP="009F0F60">
            <w:pPr>
              <w:pStyle w:val="BodyText"/>
              <w:rPr>
                <w:lang w:val="en-NZ"/>
              </w:rPr>
            </w:pPr>
            <w:r w:rsidRPr="009F0F60">
              <w:t>3</w:t>
            </w:r>
          </w:p>
        </w:tc>
      </w:tr>
      <w:tr w:rsidTr="00E940F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p>
        </w:tc>
      </w:tr>
      <w:tr w:rsidTr="00E940F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p>
          <w:p w:rsidR="00000000" w:rsidP="009F0F60">
            <w:pPr>
              <w:pStyle w:val="BodyText"/>
              <w:rPr>
                <w:lang w:val="en-NZ"/>
              </w:rPr>
            </w:pPr>
            <w:r w:rsidRPr="009F0F60">
              <w:t>2</w:t>
            </w:r>
          </w:p>
        </w:tc>
      </w:tr>
      <w:tr w:rsidTr="00E940F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p>
        </w:tc>
      </w:tr>
      <w:tr w:rsidTr="00E940F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p>
          <w:p w:rsidR="00000000" w:rsidP="009F0F60">
            <w:pPr>
              <w:pStyle w:val="BodyText"/>
              <w:rPr>
                <w:lang w:val="en-NZ"/>
              </w:rPr>
            </w:pPr>
            <w:r w:rsidRPr="009F0F60">
              <w:t>2</w:t>
            </w:r>
          </w:p>
        </w:tc>
      </w:tr>
      <w:tr w:rsidTr="00E940F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1.2; 1.7;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p>
        </w:tc>
      </w:tr>
      <w:tr w:rsidTr="00E940F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p>
          <w:p w:rsidR="00000000" w:rsidP="009F0F60">
            <w:pPr>
              <w:pStyle w:val="BodyText"/>
              <w:rPr>
                <w:lang w:val="en-NZ"/>
              </w:rPr>
            </w:pPr>
            <w:r w:rsidRPr="009F0F60">
              <w:t>2</w:t>
            </w:r>
          </w:p>
        </w:tc>
      </w:tr>
      <w:tr w:rsidTr="00E940F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p>
        </w:tc>
      </w:tr>
      <w:tr w:rsidTr="00E940F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p>
          <w:p w:rsidR="00000000" w:rsidP="009F0F60">
            <w:pPr>
              <w:pStyle w:val="BodyText"/>
              <w:rPr>
                <w:lang w:val="en-NZ"/>
              </w:rPr>
            </w:pPr>
            <w:r w:rsidRPr="009F0F60">
              <w:t>N/A</w:t>
            </w:r>
          </w:p>
        </w:tc>
      </w:tr>
      <w:tr w:rsidTr="00E940F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p>
        </w:tc>
      </w:tr>
      <w:tr w:rsidTr="00E940F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p>
          <w:p w:rsidR="00000000" w:rsidP="009F0F60">
            <w:pPr>
              <w:pStyle w:val="BodyText"/>
              <w:rPr>
                <w:lang w:val="en-NZ"/>
              </w:rPr>
            </w:pPr>
            <w:r w:rsidRPr="009F0F60">
              <w:t>2</w:t>
            </w:r>
          </w:p>
        </w:tc>
      </w:tr>
      <w:tr w:rsidTr="00E940F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p>
        </w:tc>
      </w:tr>
      <w:tr w:rsidTr="00E940F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p>
          <w:p w:rsidR="00000000" w:rsidP="009F0F60">
            <w:pPr>
              <w:pStyle w:val="BodyText"/>
              <w:rPr>
                <w:lang w:val="en-NZ"/>
              </w:rPr>
            </w:pPr>
            <w:r w:rsidRPr="009F0F60">
              <w:t>2</w:t>
            </w:r>
          </w:p>
        </w:tc>
      </w:tr>
      <w:tr w:rsidTr="00E940F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p>
        </w:tc>
      </w:tr>
    </w:tbl>
    <w:p w:rsidR="00000000" w:rsidRPr="009F0F60" w:rsidP="009F0F60">
      <w:pPr>
        <w:pStyle w:val="BodyText"/>
      </w:pPr>
    </w:p>
    <w:tbl>
      <w:tblPr>
        <w:tblW w:w="0" w:type="auto"/>
        <w:tblLayout w:type="fixed"/>
        <w:tblCellMar>
          <w:left w:w="62" w:type="dxa"/>
          <w:right w:w="62" w:type="dxa"/>
        </w:tblCellMar>
        <w:tblLook w:val="0000"/>
      </w:tblPr>
      <w:tblGrid>
        <w:gridCol w:w="326"/>
        <w:gridCol w:w="1834"/>
        <w:gridCol w:w="6300"/>
      </w:tblGrid>
      <w:tr w:rsidTr="00E940F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F0F60" w:rsidP="009F0F60">
            <w:pPr>
              <w:pStyle w:val="BodyText"/>
            </w:pPr>
            <w:r w:rsidRPr="009F0F60">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9F0F60" w:rsidP="009F0F60">
            <w:pPr>
              <w:pStyle w:val="BodyText"/>
            </w:pPr>
            <w:r w:rsidRPr="009F0F60">
              <w:rPr>
                <w:rStyle w:val="SpecialBold"/>
              </w:rPr>
              <w:t>8</w:t>
            </w:r>
            <w:r w:rsidRPr="009F0F60">
              <w:t>.</w:t>
            </w:r>
            <w:r w:rsidRPr="009F0F60">
              <w:rPr>
                <w:rStyle w:val="SpecialBold"/>
              </w:rPr>
              <w:t>7</w:t>
            </w:r>
            <w:r w:rsidRPr="009F0F60">
              <w:t>)</w:t>
            </w:r>
          </w:p>
          <w:p w:rsidR="00000000" w:rsidP="009F0F60">
            <w:pPr>
              <w:pStyle w:val="BodyText"/>
              <w:rPr>
                <w:lang w:val="en-NZ"/>
              </w:rPr>
            </w:pPr>
            <w:r w:rsidRPr="009F0F60">
              <w:t xml:space="preserve">Evidence that competency in this unit incorporates skills enabling employment is in the context of the following performance. See Volume 2, Part 5 for definitions and an explanation of skills enabling employment. </w:t>
            </w:r>
          </w:p>
        </w:tc>
      </w:tr>
      <w:tr w:rsidTr="00E940F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r w:rsidRPr="009F0F60">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rPr>
                <w:rStyle w:val="SpecialBold"/>
              </w:rPr>
              <w:t>Exa</w:t>
            </w:r>
            <w:r w:rsidRPr="009F0F60">
              <w:rPr>
                <w:rStyle w:val="SpecialBold"/>
              </w:rPr>
              <w:t>mple of Application</w:t>
            </w:r>
          </w:p>
        </w:tc>
      </w:tr>
      <w:tr w:rsidTr="00E940F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Criteria for examples of application:</w:t>
            </w:r>
          </w:p>
        </w:tc>
      </w:tr>
      <w:tr w:rsidTr="00E940F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All</w:t>
            </w:r>
          </w:p>
        </w:tc>
      </w:tr>
      <w:tr w:rsidTr="00E940F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Criteria for examples of application:</w:t>
            </w:r>
          </w:p>
        </w:tc>
      </w:tr>
      <w:tr w:rsidTr="00E940F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1.3; 2.11</w:t>
            </w:r>
          </w:p>
        </w:tc>
      </w:tr>
      <w:tr w:rsidTr="00E940F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Criteria for examples of application:</w:t>
            </w:r>
          </w:p>
        </w:tc>
      </w:tr>
      <w:tr w:rsidTr="00E940F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3.6</w:t>
            </w:r>
          </w:p>
        </w:tc>
      </w:tr>
      <w:tr w:rsidTr="00E940F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Criteria for examples of application:</w:t>
            </w:r>
          </w:p>
        </w:tc>
      </w:tr>
      <w:tr w:rsidTr="00E940F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1.4; 1.9; 2.11</w:t>
            </w:r>
          </w:p>
        </w:tc>
      </w:tr>
      <w:tr w:rsidTr="00E940F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w:t>
            </w:r>
            <w:r w:rsidRPr="009F0F60">
              <w:t>eria for examples of application:</w:t>
            </w:r>
          </w:p>
        </w:tc>
      </w:tr>
      <w:tr w:rsidTr="00E940F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1.3</w:t>
            </w:r>
          </w:p>
        </w:tc>
      </w:tr>
      <w:tr w:rsidTr="00E940F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F60">
            <w:pPr>
              <w:pStyle w:val="BodyText"/>
              <w:rPr>
                <w:lang w:val="en-NZ"/>
              </w:rPr>
            </w:pPr>
            <w:r w:rsidRPr="009F0F60">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F60">
            <w:pPr>
              <w:pStyle w:val="BodyText"/>
              <w:rPr>
                <w:lang w:val="en-NZ"/>
              </w:rPr>
            </w:pPr>
            <w:r w:rsidRPr="009F0F60">
              <w:t>Refer to the following Performance Criteria for examples of application:</w:t>
            </w:r>
          </w:p>
        </w:tc>
      </w:tr>
      <w:tr w:rsidTr="00E940F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F0F60" w:rsidP="009F0F60">
            <w:pPr>
              <w:pStyle w:val="BodyText"/>
            </w:pPr>
            <w:r w:rsidRPr="009F0F60">
              <w:t>2.11</w:t>
            </w:r>
          </w:p>
        </w:tc>
      </w:tr>
    </w:tbl>
    <w:p w:rsidR="00E940F8" w:rsidP="009F0F60">
      <w:pPr>
        <w:pStyle w:val="BodyText"/>
      </w:pPr>
    </w:p>
    <w:p w:rsidR="00E940F8" w:rsidP="009F0F60">
      <w:pPr>
        <w:pStyle w:val="BodyText"/>
      </w:pPr>
    </w:p>
    <w:p w:rsidR="00000000" w:rsidRPr="009F0F60" w:rsidP="009F0F60">
      <w:pPr>
        <w:pStyle w:val="Heading1"/>
      </w:pPr>
      <w:bookmarkStart w:id="11" w:name="O_255799"/>
      <w:bookmarkEnd w:id="11"/>
      <w:r w:rsidRPr="009F0F60">
        <w:t>Range Statement</w:t>
      </w:r>
    </w:p>
    <w:tbl>
      <w:tblPr>
        <w:tblW w:w="0" w:type="auto"/>
        <w:tblLayout w:type="fixed"/>
        <w:tblCellMar>
          <w:left w:w="62" w:type="dxa"/>
          <w:right w:w="62" w:type="dxa"/>
        </w:tblCellMar>
        <w:tblLook w:val="0000"/>
      </w:tblPr>
      <w:tblGrid>
        <w:gridCol w:w="8460"/>
      </w:tblGrid>
      <w:tr w:rsidTr="00E940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RANGE STATEMENT</w:t>
            </w:r>
          </w:p>
        </w:tc>
      </w:tr>
      <w:tr w:rsidTr="00E940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7</w:t>
            </w:r>
            <w:r w:rsidRPr="009F0F60">
              <w:t>) This relates to the competency standard unit as a whole providing the range of contexts and conditions to which the Performance Criteria apply. It allows for different work environments and situations that will affect performance.</w:t>
            </w:r>
          </w:p>
        </w:tc>
      </w:tr>
      <w:tr w:rsidTr="00E940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t>This Competency Standa</w:t>
            </w:r>
            <w:r w:rsidRPr="009F0F60">
              <w:t>rd Unit shall/may be demonstrated in relation to site control of third party works in the vicinity of a transmission pipeline.</w:t>
            </w:r>
          </w:p>
          <w:p w:rsidR="00000000" w:rsidRPr="009F0F60" w:rsidP="009F0F60">
            <w:pPr>
              <w:pStyle w:val="BodyText"/>
            </w:pPr>
            <w:r w:rsidRPr="009F0F60">
              <w:t>The following constants and variables included in the element/Performance Criteria in this unit are fully described in the Defini</w:t>
            </w:r>
            <w:r w:rsidRPr="009F0F60">
              <w:t>tions Section of this volume and form an integral part of the Range Statement of this unit:</w:t>
            </w:r>
          </w:p>
          <w:p w:rsidR="00000000" w:rsidRPr="009F0F60" w:rsidP="009F0F60">
            <w:pPr>
              <w:pStyle w:val="BodyText"/>
            </w:pPr>
            <w:r w:rsidRPr="009F0F60">
              <w:t>Tools and equipment (4)</w:t>
            </w:r>
          </w:p>
          <w:p w:rsidR="00000000" w:rsidRPr="009F0F60" w:rsidP="009F0F60">
            <w:pPr>
              <w:pStyle w:val="BodyText"/>
            </w:pPr>
            <w:r w:rsidRPr="009F0F60">
              <w:t>Maps and drawings</w:t>
            </w:r>
          </w:p>
          <w:p w:rsidR="00000000" w:rsidRPr="009F0F60" w:rsidP="009F0F60">
            <w:pPr>
              <w:pStyle w:val="BodyText"/>
            </w:pPr>
            <w:r w:rsidRPr="009F0F60">
              <w:t>Established procedures</w:t>
            </w:r>
          </w:p>
          <w:p w:rsidR="00000000" w:rsidRPr="009F0F60" w:rsidP="009F0F60">
            <w:pPr>
              <w:pStyle w:val="BodyText"/>
            </w:pPr>
            <w:r w:rsidRPr="009F0F60">
              <w:t>PPE and First Aid equipment</w:t>
            </w:r>
          </w:p>
          <w:p w:rsidR="00000000" w:rsidRPr="009F0F60" w:rsidP="009F0F60">
            <w:pPr>
              <w:pStyle w:val="BodyText"/>
            </w:pPr>
            <w:r w:rsidRPr="009F0F60">
              <w:t>Traffic control</w:t>
            </w:r>
          </w:p>
          <w:p w:rsidR="00000000" w:rsidRPr="009F0F60" w:rsidP="009F0F60">
            <w:pPr>
              <w:pStyle w:val="BodyText"/>
            </w:pPr>
            <w:r w:rsidRPr="009F0F60">
              <w:t xml:space="preserve">Facility </w:t>
            </w:r>
          </w:p>
          <w:p w:rsidR="00000000" w:rsidRPr="009F0F60" w:rsidP="009F0F60">
            <w:pPr>
              <w:pStyle w:val="BodyText"/>
            </w:pPr>
            <w:r w:rsidRPr="009F0F60">
              <w:t>Event</w:t>
            </w:r>
          </w:p>
        </w:tc>
      </w:tr>
    </w:tbl>
    <w:p w:rsidR="00E940F8" w:rsidP="009F0F60">
      <w:pPr>
        <w:pStyle w:val="BodyText"/>
      </w:pPr>
    </w:p>
    <w:p w:rsidR="00E940F8" w:rsidP="009F0F60">
      <w:pPr>
        <w:pStyle w:val="BodyText"/>
      </w:pPr>
    </w:p>
    <w:p w:rsidR="00000000" w:rsidRPr="009F0F60" w:rsidP="009F0F60">
      <w:pPr>
        <w:pStyle w:val="Heading1"/>
      </w:pPr>
      <w:bookmarkStart w:id="12" w:name="O_296812"/>
      <w:bookmarkEnd w:id="12"/>
      <w:r w:rsidRPr="009F0F60">
        <w:t>Unit Sector(s)</w:t>
      </w:r>
    </w:p>
    <w:p w:rsidR="00000000" w:rsidRPr="009F0F60" w:rsidP="009F0F60">
      <w:pPr>
        <w:pStyle w:val="BodyText"/>
      </w:pPr>
      <w:r w:rsidRPr="009F0F60">
        <w:t>Not Applicable</w:t>
      </w:r>
    </w:p>
    <w:p w:rsidR="00000000" w:rsidRPr="009F0F60" w:rsidP="009F0F60">
      <w:pPr>
        <w:pStyle w:val="AllowPageBreak"/>
      </w:pPr>
    </w:p>
    <w:p w:rsidR="00000000" w:rsidRPr="009F0F60" w:rsidP="009F0F60">
      <w:pPr>
        <w:pStyle w:val="Heading1"/>
      </w:pPr>
      <w:bookmarkStart w:id="13" w:name="O_229531"/>
      <w:bookmarkEnd w:id="13"/>
      <w:r w:rsidRPr="009F0F6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940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2</w:t>
            </w:r>
            <w:r w:rsidRPr="009F0F60">
              <w:t>.</w:t>
            </w:r>
            <w:r w:rsidRPr="009F0F60">
              <w:rPr>
                <w:rStyle w:val="SpecialBold"/>
              </w:rPr>
              <w:t>2</w:t>
            </w:r>
            <w:r w:rsidRPr="009F0F60">
              <w:t xml:space="preserve">) </w:t>
            </w:r>
          </w:p>
          <w:p w:rsidR="00000000" w:rsidP="009F0F60">
            <w:pPr>
              <w:pStyle w:val="BodyText"/>
              <w:rPr>
                <w:lang w:val="en-NZ"/>
              </w:rPr>
            </w:pPr>
            <w:r w:rsidRPr="009F0F60">
              <w:t>Participants are best equipped to achieve this unit if they have reading, writing and numeracy skills indicated by the following scales. Description of each sca</w:t>
            </w:r>
            <w:r w:rsidRPr="009F0F60">
              <w:t>le is given in Volume 2, Part 3 'Literacy and Numeracy'</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Reading</w:t>
            </w:r>
          </w:p>
        </w:tc>
        <w:tc>
          <w:tcPr>
            <w:tcW w:w="805"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4</w:t>
            </w:r>
          </w:p>
        </w:tc>
        <w:tc>
          <w:tcPr>
            <w:tcW w:w="1184"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Writing</w:t>
            </w:r>
          </w:p>
        </w:tc>
        <w:tc>
          <w:tcPr>
            <w:tcW w:w="805"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4</w:t>
            </w:r>
          </w:p>
        </w:tc>
        <w:tc>
          <w:tcPr>
            <w:tcW w:w="1172"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t>Numeracy</w:t>
            </w:r>
          </w:p>
        </w:tc>
        <w:tc>
          <w:tcPr>
            <w:tcW w:w="805"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t>4</w:t>
            </w:r>
          </w:p>
        </w:tc>
      </w:tr>
    </w:tbl>
    <w:p w:rsidR="00E940F8" w:rsidP="009F0F60">
      <w:pPr>
        <w:pStyle w:val="BodyText"/>
      </w:pPr>
    </w:p>
    <w:p w:rsidR="00E940F8" w:rsidP="009F0F60">
      <w:pPr>
        <w:pStyle w:val="BodyText"/>
      </w:pPr>
    </w:p>
    <w:p w:rsidR="00000000" w:rsidRPr="009F0F60" w:rsidP="009F0F60">
      <w:pPr>
        <w:pStyle w:val="Heading1"/>
      </w:pPr>
      <w:bookmarkStart w:id="14" w:name="O_229534"/>
      <w:bookmarkEnd w:id="14"/>
      <w:r w:rsidRPr="009F0F60">
        <w:t>Competency Field</w:t>
      </w:r>
    </w:p>
    <w:tbl>
      <w:tblPr>
        <w:tblW w:w="0" w:type="auto"/>
        <w:tblLayout w:type="fixed"/>
        <w:tblCellMar>
          <w:left w:w="62" w:type="dxa"/>
          <w:right w:w="62" w:type="dxa"/>
        </w:tblCellMar>
        <w:tblLook w:val="0000"/>
      </w:tblPr>
      <w:tblGrid>
        <w:gridCol w:w="2700"/>
        <w:gridCol w:w="5760"/>
      </w:tblGrid>
      <w:tr w:rsidTr="00E940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F0F60">
            <w:pPr>
              <w:pStyle w:val="BodyText"/>
              <w:rPr>
                <w:lang w:val="en-NZ"/>
              </w:rPr>
            </w:pPr>
            <w:r w:rsidRPr="009F0F60">
              <w:rPr>
                <w:rStyle w:val="SpecialBold"/>
              </w:rPr>
              <w:t>4</w:t>
            </w:r>
            <w:r w:rsidRPr="009F0F60">
              <w:t xml:space="preserve">) </w:t>
            </w:r>
          </w:p>
        </w:tc>
      </w:tr>
      <w:tr w:rsidTr="00E94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0F60" w:rsidP="009F0F60">
            <w:pPr>
              <w:pStyle w:val="BodyText"/>
            </w:pPr>
            <w:r w:rsidRPr="009F0F60">
              <w:t>Transmission.</w:t>
            </w:r>
          </w:p>
        </w:tc>
      </w:tr>
    </w:tbl>
    <w:p w:rsidR="00E940F8" w:rsidP="009F0F60">
      <w:pPr>
        <w:pStyle w:val="BodyText"/>
      </w:pPr>
    </w:p>
    <w:p w:rsidR="00E940F8" w:rsidP="009F0F60">
      <w:pPr>
        <w:pStyle w:val="BodyText"/>
      </w:pPr>
    </w:p>
    <w:p w:rsidR="00000000" w:rsidRPr="009F0F60" w:rsidP="009F0F60"/>
    <w:sectPr w:rsidSect="009F0F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0F8" w:rsidP="00E940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0F8" w:rsidP="009F0F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E940F8" w:rsidP="009F0F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940F8" w:rsidP="009F0F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60" w:rsidRPr="00E940F8" w:rsidP="00E940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0F8" w:rsidRPr="002D2AF8" w:rsidP="009F0F60">
    <w:pPr>
      <w:pStyle w:val="Header"/>
      <w:framePr w:wrap="around"/>
    </w:pPr>
    <w:r>
      <w:fldChar w:fldCharType="begin"/>
    </w:r>
    <w:r>
      <w:instrText xml:space="preserve"> TITLE   \* MERGEFORMAT </w:instrText>
    </w:r>
    <w:r>
      <w:fldChar w:fldCharType="separate"/>
    </w:r>
    <w:r>
      <w:t>UEGNSG311A Site control of third party works in the vicinity of a transmission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940F8" w:rsidP="009F0F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9EE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3EA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5E3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F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F60"/>
    <w:pPr>
      <w:spacing w:before="360" w:after="60"/>
      <w:outlineLvl w:val="0"/>
    </w:pPr>
    <w:rPr>
      <w:sz w:val="32"/>
    </w:rPr>
  </w:style>
  <w:style w:type="paragraph" w:styleId="Heading2">
    <w:name w:val="heading 2"/>
    <w:basedOn w:val="HeadingBase"/>
    <w:next w:val="BodyText"/>
    <w:link w:val="Heading2Char"/>
    <w:qFormat/>
    <w:rsid w:val="009F0F60"/>
    <w:pPr>
      <w:keepLines/>
      <w:spacing w:before="240" w:after="120"/>
      <w:outlineLvl w:val="1"/>
    </w:pPr>
    <w:rPr>
      <w:sz w:val="28"/>
      <w:szCs w:val="40"/>
    </w:rPr>
  </w:style>
  <w:style w:type="paragraph" w:styleId="Heading3">
    <w:name w:val="heading 3"/>
    <w:basedOn w:val="HeadingBase"/>
    <w:next w:val="BodyText"/>
    <w:link w:val="Heading3Char"/>
    <w:qFormat/>
    <w:rsid w:val="009F0F60"/>
    <w:pPr>
      <w:spacing w:before="180" w:after="120"/>
      <w:outlineLvl w:val="2"/>
    </w:pPr>
    <w:rPr>
      <w:spacing w:val="-10"/>
      <w:kern w:val="32"/>
    </w:rPr>
  </w:style>
  <w:style w:type="paragraph" w:styleId="Heading4">
    <w:name w:val="heading 4"/>
    <w:basedOn w:val="HeadingBase"/>
    <w:next w:val="BodyText"/>
    <w:link w:val="Heading4Char"/>
    <w:qFormat/>
    <w:rsid w:val="009F0F60"/>
    <w:pPr>
      <w:spacing w:before="160" w:after="120"/>
      <w:outlineLvl w:val="3"/>
    </w:pPr>
    <w:rPr>
      <w:sz w:val="22"/>
    </w:rPr>
  </w:style>
  <w:style w:type="paragraph" w:styleId="Heading5">
    <w:name w:val="heading 5"/>
    <w:basedOn w:val="HeadingBase"/>
    <w:next w:val="Normal"/>
    <w:link w:val="Heading5Char"/>
    <w:qFormat/>
    <w:rsid w:val="009F0F60"/>
    <w:pPr>
      <w:spacing w:before="80"/>
      <w:outlineLvl w:val="4"/>
    </w:pPr>
    <w:rPr>
      <w:color w:val="918585"/>
      <w:sz w:val="20"/>
    </w:rPr>
  </w:style>
  <w:style w:type="paragraph" w:styleId="Heading6">
    <w:name w:val="heading 6"/>
    <w:basedOn w:val="HeadingBase"/>
    <w:next w:val="Normal"/>
    <w:link w:val="Heading6Char"/>
    <w:qFormat/>
    <w:rsid w:val="009F0F60"/>
    <w:pPr>
      <w:spacing w:before="60"/>
      <w:outlineLvl w:val="5"/>
    </w:pPr>
    <w:rPr>
      <w:color w:val="918585"/>
      <w:sz w:val="20"/>
    </w:rPr>
  </w:style>
  <w:style w:type="paragraph" w:styleId="Heading7">
    <w:name w:val="heading 7"/>
    <w:basedOn w:val="Normal"/>
    <w:next w:val="Normal"/>
    <w:link w:val="Heading7Char"/>
    <w:qFormat/>
    <w:rsid w:val="009F0F60"/>
    <w:pPr>
      <w:ind w:left="720"/>
      <w:outlineLvl w:val="6"/>
    </w:pPr>
    <w:rPr>
      <w:i/>
    </w:rPr>
  </w:style>
  <w:style w:type="paragraph" w:styleId="Heading8">
    <w:name w:val="heading 8"/>
    <w:basedOn w:val="Normal"/>
    <w:next w:val="Normal"/>
    <w:link w:val="Heading8Char"/>
    <w:qFormat/>
    <w:rsid w:val="009F0F60"/>
    <w:pPr>
      <w:ind w:left="720"/>
      <w:outlineLvl w:val="7"/>
    </w:pPr>
    <w:rPr>
      <w:i/>
    </w:rPr>
  </w:style>
  <w:style w:type="paragraph" w:styleId="Heading9">
    <w:name w:val="heading 9"/>
    <w:basedOn w:val="Normal"/>
    <w:next w:val="Normal"/>
    <w:link w:val="Heading9Char"/>
    <w:qFormat/>
    <w:rsid w:val="009F0F60"/>
    <w:pPr>
      <w:ind w:left="720"/>
      <w:outlineLvl w:val="8"/>
    </w:pPr>
    <w:rPr>
      <w:i/>
    </w:rPr>
  </w:style>
  <w:style w:type="character" w:default="1" w:styleId="DefaultParagraphFont">
    <w:name w:val="Default Paragraph Font"/>
    <w:uiPriority w:val="1"/>
    <w:unhideWhenUsed/>
    <w:rsid w:val="009F0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F60"/>
  </w:style>
  <w:style w:type="character" w:customStyle="1" w:styleId="Heading1Char">
    <w:name w:val="Heading 1 Char"/>
    <w:basedOn w:val="DefaultParagraphFont"/>
    <w:link w:val="Heading1"/>
    <w:rsid w:val="009F0F60"/>
    <w:rPr>
      <w:rFonts w:ascii="Times New Roman" w:eastAsia="Times New Roman" w:hAnsi="Times New Roman" w:cs="Times New Roman"/>
      <w:b/>
      <w:sz w:val="32"/>
      <w:szCs w:val="20"/>
      <w:lang w:eastAsia="en-US"/>
    </w:rPr>
  </w:style>
  <w:style w:type="paragraph" w:styleId="BodyText">
    <w:name w:val="Body Text"/>
    <w:basedOn w:val="Normal"/>
    <w:link w:val="BodyTextChar"/>
    <w:rsid w:val="009F0F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0F60"/>
    <w:rPr>
      <w:rFonts w:ascii="Times New Roman" w:eastAsia="Times New Roman" w:hAnsi="Times New Roman" w:cs="Times New Roman"/>
      <w:sz w:val="24"/>
      <w:lang w:eastAsia="en-US"/>
    </w:rPr>
  </w:style>
  <w:style w:type="paragraph" w:styleId="Footer">
    <w:name w:val="footer"/>
    <w:basedOn w:val="Normal"/>
    <w:link w:val="FooterChar"/>
    <w:rsid w:val="009F0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F60"/>
    <w:rPr>
      <w:rFonts w:ascii="Times New Roman" w:eastAsia="Times New Roman" w:hAnsi="Times New Roman" w:cs="Times New Roman"/>
      <w:sz w:val="16"/>
      <w:lang w:eastAsia="en-US"/>
    </w:rPr>
  </w:style>
  <w:style w:type="paragraph" w:styleId="ListBullet">
    <w:name w:val="List Bullet"/>
    <w:basedOn w:val="List"/>
    <w:rsid w:val="009F0F60"/>
    <w:pPr>
      <w:numPr>
        <w:numId w:val="13"/>
      </w:numPr>
      <w:tabs>
        <w:tab w:val="clear" w:pos="340"/>
      </w:tabs>
      <w:spacing w:before="40" w:after="40"/>
    </w:pPr>
  </w:style>
  <w:style w:type="character" w:customStyle="1" w:styleId="SpecialBold">
    <w:name w:val="Special Bold"/>
    <w:basedOn w:val="DefaultParagraphFont"/>
    <w:rsid w:val="009F0F60"/>
    <w:rPr>
      <w:b/>
      <w:spacing w:val="0"/>
    </w:rPr>
  </w:style>
  <w:style w:type="paragraph" w:styleId="ListBullet2">
    <w:name w:val="List Bullet 2"/>
    <w:basedOn w:val="List2"/>
    <w:rsid w:val="009F0F60"/>
    <w:pPr>
      <w:numPr>
        <w:numId w:val="14"/>
      </w:numPr>
      <w:tabs>
        <w:tab w:val="clear" w:pos="680"/>
      </w:tabs>
    </w:pPr>
  </w:style>
  <w:style w:type="paragraph" w:customStyle="1" w:styleId="SuperHeading">
    <w:name w:val="SuperHeading"/>
    <w:basedOn w:val="Normal"/>
    <w:rsid w:val="009F0F60"/>
    <w:pPr>
      <w:spacing w:before="240" w:after="120"/>
      <w:outlineLvl w:val="0"/>
    </w:pPr>
    <w:rPr>
      <w:rFonts w:ascii="Times New Roman" w:hAnsi="Times New Roman"/>
      <w:b/>
      <w:sz w:val="28"/>
    </w:rPr>
  </w:style>
  <w:style w:type="paragraph" w:customStyle="1" w:styleId="AllowPageBreak">
    <w:name w:val="AllowPageBreak"/>
    <w:rsid w:val="009F0F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0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F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F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F60"/>
    <w:rPr>
      <w:rFonts w:ascii="Courier New" w:eastAsia="Times New Roman" w:hAnsi="Courier New" w:cs="Times New Roman"/>
      <w:i/>
      <w:szCs w:val="20"/>
      <w:lang w:eastAsia="en-US"/>
    </w:rPr>
  </w:style>
  <w:style w:type="paragraph" w:customStyle="1" w:styleId="HeadingBase">
    <w:name w:val="Heading Base"/>
    <w:rsid w:val="009F0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F60"/>
    <w:pPr>
      <w:tabs>
        <w:tab w:val="right" w:leader="dot" w:pos="9072"/>
      </w:tabs>
      <w:ind w:left="567"/>
    </w:pPr>
    <w:rPr>
      <w:szCs w:val="22"/>
    </w:rPr>
  </w:style>
  <w:style w:type="paragraph" w:customStyle="1" w:styleId="TOCBase">
    <w:name w:val="TOC Base"/>
    <w:rsid w:val="009F0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F60"/>
    <w:pPr>
      <w:tabs>
        <w:tab w:val="right" w:leader="dot" w:pos="9072"/>
      </w:tabs>
      <w:spacing w:before="40" w:after="40"/>
      <w:ind w:left="284"/>
    </w:pPr>
    <w:rPr>
      <w:rFonts w:ascii="Times New Roman" w:hAnsi="Times New Roman"/>
    </w:rPr>
  </w:style>
  <w:style w:type="paragraph" w:styleId="TOC1">
    <w:name w:val="toc 1"/>
    <w:basedOn w:val="TOCBase"/>
    <w:next w:val="Normal"/>
    <w:rsid w:val="009F0F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0F60"/>
    <w:pPr>
      <w:spacing w:before="5040"/>
      <w:jc w:val="center"/>
    </w:pPr>
    <w:rPr>
      <w:sz w:val="48"/>
      <w:szCs w:val="72"/>
      <w:lang w:val="en-US"/>
    </w:rPr>
  </w:style>
  <w:style w:type="character" w:customStyle="1" w:styleId="TitleChar">
    <w:name w:val="Title Char"/>
    <w:basedOn w:val="DefaultParagraphFont"/>
    <w:link w:val="Title"/>
    <w:rsid w:val="009F0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F60"/>
    <w:pPr>
      <w:tabs>
        <w:tab w:val="left" w:pos="3600"/>
        <w:tab w:val="left" w:pos="3958"/>
      </w:tabs>
    </w:pPr>
  </w:style>
  <w:style w:type="paragraph" w:styleId="List">
    <w:name w:val="List"/>
    <w:basedOn w:val="BodyText"/>
    <w:next w:val="BodyText"/>
    <w:rsid w:val="009F0F60"/>
    <w:pPr>
      <w:tabs>
        <w:tab w:val="left" w:pos="340"/>
      </w:tabs>
      <w:spacing w:before="60" w:after="60"/>
      <w:ind w:left="340" w:hanging="340"/>
    </w:pPr>
  </w:style>
  <w:style w:type="paragraph" w:customStyle="1" w:styleId="Note">
    <w:name w:val="Note"/>
    <w:basedOn w:val="BodyText"/>
    <w:rsid w:val="009F0F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F60"/>
    <w:pPr>
      <w:framePr w:wrap="auto" w:hAnchor="text" w:y="6049"/>
    </w:pPr>
    <w:rPr>
      <w:color w:val="000000"/>
      <w:sz w:val="40"/>
    </w:rPr>
  </w:style>
  <w:style w:type="paragraph" w:customStyle="1" w:styleId="TOCTitle">
    <w:name w:val="TOCTitle"/>
    <w:basedOn w:val="Heading1"/>
    <w:rsid w:val="009F0F60"/>
    <w:pPr>
      <w:spacing w:after="240"/>
      <w:jc w:val="center"/>
      <w:outlineLvl w:val="9"/>
    </w:pPr>
    <w:rPr>
      <w:caps/>
    </w:rPr>
  </w:style>
  <w:style w:type="paragraph" w:customStyle="1" w:styleId="Version">
    <w:name w:val="Version"/>
    <w:rsid w:val="009F0F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F60"/>
    <w:pPr>
      <w:keepNext w:val="0"/>
      <w:tabs>
        <w:tab w:val="right" w:pos="4176"/>
      </w:tabs>
      <w:ind w:left="198" w:hanging="198"/>
    </w:pPr>
    <w:rPr>
      <w:rFonts w:ascii="Garamond" w:hAnsi="Garamond"/>
    </w:rPr>
  </w:style>
  <w:style w:type="paragraph" w:styleId="IndexHeading">
    <w:name w:val="index heading"/>
    <w:basedOn w:val="Normal"/>
    <w:next w:val="Index1"/>
    <w:semiHidden/>
    <w:rsid w:val="009F0F60"/>
    <w:pPr>
      <w:spacing w:before="120" w:after="120"/>
    </w:pPr>
    <w:rPr>
      <w:rFonts w:ascii="Arial" w:hAnsi="Arial"/>
      <w:b/>
      <w:color w:val="918585"/>
      <w:sz w:val="24"/>
    </w:rPr>
  </w:style>
  <w:style w:type="paragraph" w:styleId="Header">
    <w:name w:val="header"/>
    <w:basedOn w:val="Normal"/>
    <w:link w:val="HeaderChar"/>
    <w:rsid w:val="009F0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F60"/>
    <w:rPr>
      <w:rFonts w:ascii="Times New Roman" w:eastAsia="Times New Roman" w:hAnsi="Times New Roman" w:cs="Times New Roman"/>
      <w:sz w:val="16"/>
      <w:szCs w:val="20"/>
      <w:lang w:val="en-GB" w:eastAsia="en-US"/>
    </w:rPr>
  </w:style>
  <w:style w:type="paragraph" w:customStyle="1" w:styleId="Chapter">
    <w:name w:val="Chapter"/>
    <w:basedOn w:val="Normal"/>
    <w:rsid w:val="009F0F60"/>
    <w:pPr>
      <w:spacing w:before="240"/>
    </w:pPr>
    <w:rPr>
      <w:rFonts w:ascii="Times New Roman" w:hAnsi="Times New Roman"/>
      <w:smallCaps/>
      <w:spacing w:val="80"/>
      <w:sz w:val="28"/>
    </w:rPr>
  </w:style>
  <w:style w:type="paragraph" w:customStyle="1" w:styleId="InChapter">
    <w:name w:val="InChapter"/>
    <w:basedOn w:val="Heading3"/>
    <w:rsid w:val="009F0F60"/>
    <w:pPr>
      <w:spacing w:after="240"/>
      <w:outlineLvl w:val="9"/>
    </w:pPr>
    <w:rPr>
      <w:noProof/>
    </w:rPr>
  </w:style>
  <w:style w:type="paragraph" w:styleId="Index2">
    <w:name w:val="index 2"/>
    <w:basedOn w:val="Normal"/>
    <w:next w:val="Normal"/>
    <w:semiHidden/>
    <w:rsid w:val="009F0F60"/>
    <w:pPr>
      <w:tabs>
        <w:tab w:val="right" w:pos="4176"/>
      </w:tabs>
      <w:ind w:left="568" w:hanging="284"/>
    </w:pPr>
    <w:rPr>
      <w:rFonts w:ascii="Garamond" w:hAnsi="Garamond"/>
    </w:rPr>
  </w:style>
  <w:style w:type="paragraph" w:customStyle="1" w:styleId="Byline">
    <w:name w:val="Byline"/>
    <w:rsid w:val="009F0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F60"/>
    <w:pPr>
      <w:tabs>
        <w:tab w:val="clear" w:pos="3600"/>
        <w:tab w:val="clear" w:pos="3958"/>
      </w:tabs>
      <w:jc w:val="right"/>
    </w:pPr>
  </w:style>
  <w:style w:type="character" w:styleId="Emphasis">
    <w:name w:val="Emphasis"/>
    <w:basedOn w:val="DefaultParagraphFont"/>
    <w:qFormat/>
    <w:rsid w:val="009F0F60"/>
    <w:rPr>
      <w:i/>
    </w:rPr>
  </w:style>
  <w:style w:type="paragraph" w:styleId="Caption">
    <w:name w:val="caption"/>
    <w:basedOn w:val="BodyText"/>
    <w:next w:val="Normal"/>
    <w:qFormat/>
    <w:rsid w:val="009F0F60"/>
    <w:pPr>
      <w:framePr w:w="2268" w:hSpace="181" w:vSpace="181" w:wrap="around" w:vAnchor="text" w:hAnchor="page" w:x="1135" w:y="285" w:anchorLock="1"/>
    </w:pPr>
    <w:rPr>
      <w:i/>
    </w:rPr>
  </w:style>
  <w:style w:type="paragraph" w:customStyle="1" w:styleId="MiniTOCTitle">
    <w:name w:val="MiniTOCTitle"/>
    <w:basedOn w:val="Heading4"/>
    <w:rsid w:val="009F0F60"/>
    <w:pPr>
      <w:spacing w:before="240"/>
      <w:outlineLvl w:val="9"/>
    </w:pPr>
    <w:rPr>
      <w:noProof/>
      <w:sz w:val="24"/>
    </w:rPr>
  </w:style>
  <w:style w:type="paragraph" w:customStyle="1" w:styleId="MiniTOCItem">
    <w:name w:val="MiniTOCItem"/>
    <w:basedOn w:val="ListBullet"/>
    <w:rsid w:val="009F0F60"/>
    <w:pPr>
      <w:numPr>
        <w:numId w:val="0"/>
      </w:numPr>
      <w:tabs>
        <w:tab w:val="right" w:leader="dot" w:pos="6521"/>
      </w:tabs>
      <w:spacing w:before="0" w:after="0"/>
    </w:pPr>
  </w:style>
  <w:style w:type="paragraph" w:customStyle="1" w:styleId="TOFTitle">
    <w:name w:val="TOFTitle"/>
    <w:basedOn w:val="TOCTitle"/>
    <w:rsid w:val="009F0F60"/>
  </w:style>
  <w:style w:type="paragraph" w:styleId="TableofFigures">
    <w:name w:val="table of figures"/>
    <w:basedOn w:val="Normal"/>
    <w:next w:val="Normal"/>
    <w:semiHidden/>
    <w:rsid w:val="009F0F60"/>
    <w:pPr>
      <w:tabs>
        <w:tab w:val="right" w:leader="dot" w:pos="9072"/>
      </w:tabs>
      <w:ind w:left="970" w:hanging="403"/>
    </w:pPr>
    <w:rPr>
      <w:rFonts w:ascii="Times New Roman" w:hAnsi="Times New Roman"/>
      <w:b/>
    </w:rPr>
  </w:style>
  <w:style w:type="paragraph" w:styleId="ListNumber">
    <w:name w:val="List Number"/>
    <w:basedOn w:val="List"/>
    <w:rsid w:val="009F0F60"/>
    <w:pPr>
      <w:numPr>
        <w:numId w:val="11"/>
      </w:numPr>
    </w:pPr>
  </w:style>
  <w:style w:type="character" w:customStyle="1" w:styleId="WingdingSymbols">
    <w:name w:val="Wingding Symbols"/>
    <w:rsid w:val="009F0F60"/>
    <w:rPr>
      <w:rFonts w:ascii="Wingdings" w:hAnsi="Wingdings"/>
    </w:rPr>
  </w:style>
  <w:style w:type="paragraph" w:customStyle="1" w:styleId="TableHeading">
    <w:name w:val="Table Heading"/>
    <w:basedOn w:val="HeadingBase"/>
    <w:rsid w:val="009F0F60"/>
    <w:pPr>
      <w:keepLines/>
      <w:pBdr>
        <w:bottom w:val="single" w:sz="6" w:space="1" w:color="918585"/>
      </w:pBdr>
      <w:spacing w:before="240"/>
    </w:pPr>
  </w:style>
  <w:style w:type="character" w:customStyle="1" w:styleId="HotSpot">
    <w:name w:val="HotSpot"/>
    <w:rsid w:val="009F0F60"/>
    <w:rPr>
      <w:color w:val="0033CC"/>
      <w:u w:val="none"/>
    </w:rPr>
  </w:style>
  <w:style w:type="paragraph" w:customStyle="1" w:styleId="BodyTextRight">
    <w:name w:val="Body Text Right"/>
    <w:basedOn w:val="BodyText"/>
    <w:rsid w:val="009F0F60"/>
    <w:pPr>
      <w:spacing w:before="0" w:after="0"/>
      <w:jc w:val="right"/>
    </w:pPr>
  </w:style>
  <w:style w:type="paragraph" w:styleId="Index3">
    <w:name w:val="index 3"/>
    <w:basedOn w:val="ListNumber2"/>
    <w:next w:val="Normal"/>
    <w:semiHidden/>
    <w:rsid w:val="009F0F60"/>
    <w:pPr>
      <w:numPr>
        <w:numId w:val="0"/>
      </w:numPr>
      <w:tabs>
        <w:tab w:val="right" w:leader="dot" w:pos="4176"/>
      </w:tabs>
    </w:pPr>
  </w:style>
  <w:style w:type="paragraph" w:styleId="ListNumber2">
    <w:name w:val="List Number 2"/>
    <w:basedOn w:val="List2"/>
    <w:rsid w:val="009F0F60"/>
    <w:pPr>
      <w:numPr>
        <w:numId w:val="10"/>
      </w:numPr>
      <w:tabs>
        <w:tab w:val="clear" w:pos="1060"/>
      </w:tabs>
    </w:pPr>
  </w:style>
  <w:style w:type="paragraph" w:customStyle="1" w:styleId="MarginNote">
    <w:name w:val="Margin Note"/>
    <w:basedOn w:val="BodyText"/>
    <w:rsid w:val="009F0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F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F60"/>
    <w:rPr>
      <w:sz w:val="32"/>
    </w:rPr>
  </w:style>
  <w:style w:type="paragraph" w:customStyle="1" w:styleId="HeadingProcedure">
    <w:name w:val="Heading Procedure"/>
    <w:basedOn w:val="HeadingBase"/>
    <w:next w:val="Normal"/>
    <w:rsid w:val="009F0F60"/>
    <w:pPr>
      <w:tabs>
        <w:tab w:val="left" w:pos="0"/>
      </w:tabs>
      <w:spacing w:before="120" w:after="60"/>
    </w:pPr>
    <w:rPr>
      <w:i/>
      <w:color w:val="918585"/>
      <w:sz w:val="22"/>
    </w:rPr>
  </w:style>
  <w:style w:type="paragraph" w:customStyle="1" w:styleId="TableBodyText">
    <w:name w:val="Table Body Text"/>
    <w:basedOn w:val="BodyText"/>
    <w:rsid w:val="009F0F60"/>
    <w:pPr>
      <w:spacing w:before="60" w:after="60"/>
    </w:pPr>
  </w:style>
  <w:style w:type="paragraph" w:styleId="ListContinue">
    <w:name w:val="List Continue"/>
    <w:basedOn w:val="List"/>
    <w:rsid w:val="009F0F60"/>
    <w:pPr>
      <w:ind w:firstLine="0"/>
    </w:pPr>
  </w:style>
  <w:style w:type="paragraph" w:customStyle="1" w:styleId="ListNote">
    <w:name w:val="List Note"/>
    <w:basedOn w:val="List"/>
    <w:rsid w:val="009F0F60"/>
    <w:pPr>
      <w:pBdr>
        <w:top w:val="single" w:sz="6" w:space="2" w:color="918585"/>
        <w:bottom w:val="single" w:sz="6" w:space="2" w:color="918585"/>
      </w:pBdr>
      <w:tabs>
        <w:tab w:val="left" w:pos="1021"/>
      </w:tabs>
      <w:ind w:firstLine="0"/>
    </w:pPr>
  </w:style>
  <w:style w:type="paragraph" w:customStyle="1" w:styleId="Warning">
    <w:name w:val="Warning"/>
    <w:basedOn w:val="BodyText"/>
    <w:rsid w:val="009F0F60"/>
    <w:pPr>
      <w:shd w:val="clear" w:color="auto" w:fill="D9D9D9"/>
      <w:tabs>
        <w:tab w:val="left" w:pos="992"/>
      </w:tabs>
      <w:ind w:left="119" w:right="119"/>
    </w:pPr>
    <w:rPr>
      <w:sz w:val="20"/>
    </w:rPr>
  </w:style>
  <w:style w:type="paragraph" w:customStyle="1" w:styleId="MarginIcons">
    <w:name w:val="Margin Icons"/>
    <w:basedOn w:val="BodyText"/>
    <w:rsid w:val="009F0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F60"/>
    <w:rPr>
      <w:rFonts w:ascii="Courier New" w:hAnsi="Courier New"/>
    </w:rPr>
  </w:style>
  <w:style w:type="paragraph" w:customStyle="1" w:styleId="NoteBullet">
    <w:name w:val="Note Bullet"/>
    <w:basedOn w:val="Note"/>
    <w:rsid w:val="009F0F60"/>
    <w:pPr>
      <w:tabs>
        <w:tab w:val="clear" w:pos="680"/>
      </w:tabs>
      <w:spacing w:before="60" w:after="60"/>
    </w:pPr>
  </w:style>
  <w:style w:type="paragraph" w:customStyle="1" w:styleId="SubHeading2">
    <w:name w:val="SubHeading2"/>
    <w:basedOn w:val="HeadingBase"/>
    <w:rsid w:val="009F0F60"/>
    <w:pPr>
      <w:spacing w:before="240" w:after="60"/>
    </w:pPr>
    <w:rPr>
      <w:sz w:val="20"/>
    </w:rPr>
  </w:style>
  <w:style w:type="paragraph" w:customStyle="1" w:styleId="SubHeading1">
    <w:name w:val="SubHeading1"/>
    <w:basedOn w:val="HeadingBase"/>
    <w:rsid w:val="009F0F60"/>
    <w:pPr>
      <w:spacing w:before="240" w:after="60"/>
    </w:pPr>
    <w:rPr>
      <w:color w:val="918585"/>
      <w:sz w:val="22"/>
    </w:rPr>
  </w:style>
  <w:style w:type="paragraph" w:customStyle="1" w:styleId="SideHeading">
    <w:name w:val="Side Heading"/>
    <w:basedOn w:val="HeadingBase"/>
    <w:rsid w:val="009F0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F60"/>
    <w:pPr>
      <w:numPr>
        <w:numId w:val="12"/>
      </w:numPr>
    </w:pPr>
  </w:style>
  <w:style w:type="paragraph" w:styleId="PlainText">
    <w:name w:val="Plain Text"/>
    <w:basedOn w:val="Normal"/>
    <w:link w:val="PlainTextChar"/>
    <w:rsid w:val="009F0F60"/>
    <w:rPr>
      <w:sz w:val="20"/>
    </w:rPr>
  </w:style>
  <w:style w:type="character" w:customStyle="1" w:styleId="PlainTextChar">
    <w:name w:val="Plain Text Char"/>
    <w:basedOn w:val="DefaultParagraphFont"/>
    <w:link w:val="PlainText"/>
    <w:rsid w:val="009F0F60"/>
    <w:rPr>
      <w:rFonts w:ascii="Courier New" w:eastAsia="Times New Roman" w:hAnsi="Courier New" w:cs="Times New Roman"/>
      <w:sz w:val="20"/>
      <w:szCs w:val="20"/>
      <w:lang w:eastAsia="en-US"/>
    </w:rPr>
  </w:style>
  <w:style w:type="character" w:customStyle="1" w:styleId="MenuOption">
    <w:name w:val="Menu Option"/>
    <w:basedOn w:val="DefaultParagraphFont"/>
    <w:rsid w:val="009F0F60"/>
    <w:rPr>
      <w:b/>
      <w:smallCaps/>
    </w:rPr>
  </w:style>
  <w:style w:type="paragraph" w:customStyle="1" w:styleId="TableListNumber">
    <w:name w:val="Table List Number"/>
    <w:basedOn w:val="ListNumber"/>
    <w:rsid w:val="009F0F60"/>
    <w:pPr>
      <w:numPr>
        <w:numId w:val="0"/>
      </w:numPr>
    </w:pPr>
  </w:style>
  <w:style w:type="paragraph" w:styleId="TOC4">
    <w:name w:val="toc 4"/>
    <w:basedOn w:val="TOCBase"/>
    <w:next w:val="Normal"/>
    <w:semiHidden/>
    <w:rsid w:val="009F0F60"/>
    <w:pPr>
      <w:tabs>
        <w:tab w:val="right" w:leader="dot" w:pos="9071"/>
      </w:tabs>
      <w:ind w:left="1701"/>
    </w:pPr>
  </w:style>
  <w:style w:type="paragraph" w:customStyle="1" w:styleId="ListAlpha">
    <w:name w:val="List Alpha"/>
    <w:basedOn w:val="List"/>
    <w:rsid w:val="009F0F60"/>
    <w:pPr>
      <w:numPr>
        <w:numId w:val="9"/>
      </w:numPr>
    </w:pPr>
  </w:style>
  <w:style w:type="paragraph" w:customStyle="1" w:styleId="ListAlpha2">
    <w:name w:val="List Alpha 2"/>
    <w:basedOn w:val="List2"/>
    <w:rsid w:val="009F0F60"/>
    <w:pPr>
      <w:numPr>
        <w:numId w:val="8"/>
      </w:numPr>
    </w:pPr>
  </w:style>
  <w:style w:type="paragraph" w:styleId="List2">
    <w:name w:val="List 2"/>
    <w:basedOn w:val="BodyText"/>
    <w:rsid w:val="009F0F60"/>
    <w:pPr>
      <w:tabs>
        <w:tab w:val="left" w:pos="680"/>
      </w:tabs>
      <w:spacing w:before="60" w:after="60"/>
      <w:ind w:left="680" w:hanging="340"/>
    </w:pPr>
  </w:style>
  <w:style w:type="paragraph" w:styleId="List3">
    <w:name w:val="List 3"/>
    <w:basedOn w:val="BodyText"/>
    <w:rsid w:val="009F0F60"/>
    <w:pPr>
      <w:tabs>
        <w:tab w:val="left" w:pos="1021"/>
      </w:tabs>
      <w:spacing w:before="60" w:after="60"/>
      <w:ind w:left="1020" w:hanging="340"/>
    </w:pPr>
  </w:style>
  <w:style w:type="paragraph" w:styleId="List4">
    <w:name w:val="List 4"/>
    <w:basedOn w:val="BodyText"/>
    <w:rsid w:val="009F0F60"/>
    <w:pPr>
      <w:tabs>
        <w:tab w:val="left" w:pos="1361"/>
      </w:tabs>
      <w:spacing w:before="60" w:after="60"/>
      <w:ind w:left="1361" w:hanging="340"/>
    </w:pPr>
  </w:style>
  <w:style w:type="paragraph" w:styleId="List5">
    <w:name w:val="List 5"/>
    <w:basedOn w:val="BodyText"/>
    <w:rsid w:val="009F0F60"/>
    <w:pPr>
      <w:tabs>
        <w:tab w:val="left" w:pos="1701"/>
      </w:tabs>
      <w:spacing w:before="60" w:after="60"/>
      <w:ind w:left="1701" w:hanging="340"/>
    </w:pPr>
  </w:style>
  <w:style w:type="paragraph" w:styleId="ListBullet3">
    <w:name w:val="List Bullet 3"/>
    <w:basedOn w:val="List3"/>
    <w:rsid w:val="009F0F60"/>
    <w:pPr>
      <w:numPr>
        <w:numId w:val="15"/>
      </w:numPr>
      <w:tabs>
        <w:tab w:val="clear" w:pos="1021"/>
      </w:tabs>
      <w:ind w:left="1037" w:hanging="357"/>
    </w:pPr>
  </w:style>
  <w:style w:type="paragraph" w:styleId="ListBullet4">
    <w:name w:val="List Bullet 4"/>
    <w:basedOn w:val="List4"/>
    <w:rsid w:val="009F0F60"/>
    <w:pPr>
      <w:numPr>
        <w:numId w:val="3"/>
      </w:numPr>
    </w:pPr>
  </w:style>
  <w:style w:type="paragraph" w:styleId="ListBullet5">
    <w:name w:val="List Bullet 5"/>
    <w:basedOn w:val="List5"/>
    <w:rsid w:val="009F0F60"/>
    <w:pPr>
      <w:numPr>
        <w:numId w:val="4"/>
      </w:numPr>
    </w:pPr>
  </w:style>
  <w:style w:type="paragraph" w:styleId="ListContinue2">
    <w:name w:val="List Continue 2"/>
    <w:basedOn w:val="List2"/>
    <w:rsid w:val="009F0F60"/>
    <w:pPr>
      <w:ind w:firstLine="0"/>
    </w:pPr>
  </w:style>
  <w:style w:type="paragraph" w:styleId="ListContinue3">
    <w:name w:val="List Continue 3"/>
    <w:basedOn w:val="List3"/>
    <w:rsid w:val="009F0F60"/>
    <w:pPr>
      <w:ind w:left="1021" w:firstLine="0"/>
    </w:pPr>
  </w:style>
  <w:style w:type="paragraph" w:styleId="ListContinue4">
    <w:name w:val="List Continue 4"/>
    <w:basedOn w:val="List4"/>
    <w:rsid w:val="009F0F60"/>
    <w:pPr>
      <w:ind w:firstLine="0"/>
    </w:pPr>
  </w:style>
  <w:style w:type="paragraph" w:styleId="ListContinue5">
    <w:name w:val="List Continue 5"/>
    <w:basedOn w:val="List5"/>
    <w:rsid w:val="009F0F60"/>
    <w:pPr>
      <w:ind w:firstLine="0"/>
    </w:pPr>
  </w:style>
  <w:style w:type="paragraph" w:styleId="ListNumber3">
    <w:name w:val="List Number 3"/>
    <w:basedOn w:val="List3"/>
    <w:rsid w:val="009F0F60"/>
    <w:pPr>
      <w:numPr>
        <w:numId w:val="5"/>
      </w:numPr>
    </w:pPr>
  </w:style>
  <w:style w:type="paragraph" w:styleId="ListNumber4">
    <w:name w:val="List Number 4"/>
    <w:basedOn w:val="List4"/>
    <w:rsid w:val="009F0F60"/>
    <w:pPr>
      <w:numPr>
        <w:numId w:val="6"/>
      </w:numPr>
    </w:pPr>
  </w:style>
  <w:style w:type="paragraph" w:styleId="ListNumber5">
    <w:name w:val="List Number 5"/>
    <w:basedOn w:val="List5"/>
    <w:rsid w:val="009F0F60"/>
    <w:pPr>
      <w:numPr>
        <w:numId w:val="7"/>
      </w:numPr>
    </w:pPr>
  </w:style>
  <w:style w:type="paragraph" w:styleId="BlockText">
    <w:name w:val="Block Text"/>
    <w:basedOn w:val="Normal"/>
    <w:rsid w:val="009F0F60"/>
    <w:pPr>
      <w:spacing w:after="120"/>
      <w:ind w:left="1440" w:right="1440"/>
    </w:pPr>
  </w:style>
  <w:style w:type="character" w:customStyle="1" w:styleId="Subscript">
    <w:name w:val="Subscript"/>
    <w:basedOn w:val="DefaultParagraphFont"/>
    <w:rsid w:val="009F0F60"/>
    <w:rPr>
      <w:sz w:val="16"/>
      <w:vertAlign w:val="subscript"/>
    </w:rPr>
  </w:style>
  <w:style w:type="character" w:customStyle="1" w:styleId="Superscript">
    <w:name w:val="Superscript"/>
    <w:basedOn w:val="DefaultParagraphFont"/>
    <w:rsid w:val="009F0F60"/>
    <w:rPr>
      <w:sz w:val="16"/>
      <w:vertAlign w:val="superscript"/>
    </w:rPr>
  </w:style>
  <w:style w:type="character" w:customStyle="1" w:styleId="Symbols">
    <w:name w:val="Symbols"/>
    <w:basedOn w:val="DefaultParagraphFont"/>
    <w:rsid w:val="009F0F60"/>
    <w:rPr>
      <w:rFonts w:ascii="Symbol" w:hAnsi="Symbol"/>
    </w:rPr>
  </w:style>
  <w:style w:type="character" w:customStyle="1" w:styleId="MenuOptions">
    <w:name w:val="Menu Options"/>
    <w:basedOn w:val="DefaultParagraphFont"/>
    <w:rsid w:val="009F0F60"/>
    <w:rPr>
      <w:rFonts w:ascii="Arial Narrow" w:hAnsi="Arial Narrow"/>
      <w:smallCaps/>
    </w:rPr>
  </w:style>
  <w:style w:type="character" w:customStyle="1" w:styleId="Buttons">
    <w:name w:val="Buttons"/>
    <w:basedOn w:val="DefaultParagraphFont"/>
    <w:rsid w:val="009F0F60"/>
    <w:rPr>
      <w:b/>
    </w:rPr>
  </w:style>
  <w:style w:type="character" w:customStyle="1" w:styleId="Underlined">
    <w:name w:val="Underlined"/>
    <w:basedOn w:val="DefaultParagraphFont"/>
    <w:rsid w:val="009F0F60"/>
    <w:rPr>
      <w:u w:val="single"/>
    </w:rPr>
  </w:style>
  <w:style w:type="paragraph" w:customStyle="1" w:styleId="TableBodyTextRight">
    <w:name w:val="Table Body Text Right"/>
    <w:basedOn w:val="TableBodyText"/>
    <w:rsid w:val="009F0F60"/>
    <w:pPr>
      <w:widowControl w:val="0"/>
      <w:autoSpaceDE w:val="0"/>
      <w:autoSpaceDN w:val="0"/>
      <w:adjustRightInd w:val="0"/>
      <w:jc w:val="right"/>
    </w:pPr>
    <w:rPr>
      <w:rFonts w:cs="Arial"/>
      <w:szCs w:val="18"/>
    </w:rPr>
  </w:style>
  <w:style w:type="paragraph" w:customStyle="1" w:styleId="CopyrightText">
    <w:name w:val="Copyright Text"/>
    <w:basedOn w:val="BodyText"/>
    <w:rsid w:val="009F0F60"/>
    <w:rPr>
      <w:sz w:val="18"/>
    </w:rPr>
  </w:style>
  <w:style w:type="paragraph" w:customStyle="1" w:styleId="BodySmallRight">
    <w:name w:val="Body Small Right"/>
    <w:basedOn w:val="BodyTextRight"/>
    <w:rsid w:val="009F0F60"/>
    <w:rPr>
      <w:sz w:val="18"/>
      <w:szCs w:val="18"/>
    </w:rPr>
  </w:style>
  <w:style w:type="paragraph" w:customStyle="1" w:styleId="MarginEdition">
    <w:name w:val="Margin Edition"/>
    <w:basedOn w:val="MarginNote"/>
    <w:rsid w:val="009F0F60"/>
    <w:pPr>
      <w:spacing w:before="0" w:after="0"/>
    </w:pPr>
    <w:rPr>
      <w:rFonts w:ascii="Times New Roman" w:hAnsi="Times New Roman"/>
      <w:color w:val="999999"/>
    </w:rPr>
  </w:style>
  <w:style w:type="paragraph" w:customStyle="1" w:styleId="Spacer">
    <w:name w:val="Spacer"/>
    <w:basedOn w:val="Normal"/>
    <w:rsid w:val="009F0F60"/>
    <w:rPr>
      <w:sz w:val="2"/>
      <w:szCs w:val="2"/>
    </w:rPr>
  </w:style>
  <w:style w:type="character" w:customStyle="1" w:styleId="Small">
    <w:name w:val="Small"/>
    <w:basedOn w:val="DefaultParagraphFont"/>
    <w:rsid w:val="009F0F60"/>
    <w:rPr>
      <w:sz w:val="16"/>
    </w:rPr>
  </w:style>
  <w:style w:type="paragraph" w:customStyle="1" w:styleId="WideTable">
    <w:name w:val="Wide Table"/>
    <w:basedOn w:val="Normal"/>
    <w:rsid w:val="009F0F60"/>
    <w:pPr>
      <w:ind w:left="-1418"/>
    </w:pPr>
    <w:rPr>
      <w:sz w:val="2"/>
      <w:szCs w:val="2"/>
    </w:rPr>
  </w:style>
  <w:style w:type="character" w:styleId="PageNumber">
    <w:name w:val="page number"/>
    <w:basedOn w:val="DefaultParagraphFont"/>
    <w:rsid w:val="009F0F60"/>
  </w:style>
  <w:style w:type="paragraph" w:styleId="Quote">
    <w:name w:val="Quote"/>
    <w:basedOn w:val="Heading1"/>
    <w:link w:val="QuoteChar"/>
    <w:qFormat/>
    <w:rsid w:val="009F0F60"/>
    <w:rPr>
      <w:b w:val="0"/>
      <w:sz w:val="72"/>
      <w:szCs w:val="72"/>
      <w:lang w:val="en-NZ"/>
    </w:rPr>
  </w:style>
  <w:style w:type="character" w:customStyle="1" w:styleId="QuoteChar">
    <w:name w:val="Quote Char"/>
    <w:basedOn w:val="DefaultParagraphFont"/>
    <w:link w:val="Quote"/>
    <w:rsid w:val="009F0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F60"/>
    <w:pPr>
      <w:pageBreakBefore/>
    </w:pPr>
  </w:style>
  <w:style w:type="paragraph" w:customStyle="1" w:styleId="Border">
    <w:name w:val="Border"/>
    <w:basedOn w:val="Normal"/>
    <w:qFormat/>
    <w:rsid w:val="009F0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F60"/>
    <w:rPr>
      <w:b/>
      <w:bCs/>
      <w:i/>
      <w:iCs/>
      <w:color w:val="auto"/>
    </w:rPr>
  </w:style>
  <w:style w:type="paragraph" w:styleId="IntenseQuote">
    <w:name w:val="Intense Quote"/>
    <w:basedOn w:val="Normal"/>
    <w:next w:val="Normal"/>
    <w:link w:val="IntenseQuoteChar"/>
    <w:uiPriority w:val="30"/>
    <w:qFormat/>
    <w:rsid w:val="009F0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F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F60"/>
    <w:rPr>
      <w:smallCaps/>
      <w:color w:val="auto"/>
      <w:u w:val="single"/>
    </w:rPr>
  </w:style>
  <w:style w:type="character" w:styleId="IntenseReference">
    <w:name w:val="Intense Reference"/>
    <w:basedOn w:val="DefaultParagraphFont"/>
    <w:uiPriority w:val="32"/>
    <w:qFormat/>
    <w:rsid w:val="009F0F60"/>
    <w:rPr>
      <w:b/>
      <w:bCs/>
      <w:smallCaps/>
      <w:color w:val="auto"/>
      <w:spacing w:val="5"/>
      <w:u w:val="single"/>
    </w:rPr>
  </w:style>
  <w:style w:type="paragraph" w:customStyle="1" w:styleId="2ColumnHeading">
    <w:name w:val="2Column Heading"/>
    <w:basedOn w:val="BodyText"/>
    <w:qFormat/>
    <w:rsid w:val="009F0F60"/>
    <w:pPr>
      <w:spacing w:after="60"/>
      <w:ind w:left="-2268"/>
    </w:pPr>
    <w:rPr>
      <w:b/>
    </w:rPr>
  </w:style>
  <w:style w:type="paragraph" w:customStyle="1" w:styleId="Heading1TOC">
    <w:name w:val="Heading1 TOC"/>
    <w:basedOn w:val="Normal"/>
    <w:qFormat/>
    <w:rsid w:val="009F0F60"/>
    <w:pPr>
      <w:spacing w:before="240" w:after="120"/>
    </w:pPr>
    <w:rPr>
      <w:rFonts w:ascii="Times New Roman" w:hAnsi="Times New Roman"/>
      <w:b/>
      <w:sz w:val="32"/>
    </w:rPr>
  </w:style>
  <w:style w:type="paragraph" w:customStyle="1" w:styleId="Heading2TOC">
    <w:name w:val="Heading2 TOC"/>
    <w:basedOn w:val="Normal"/>
    <w:qFormat/>
    <w:rsid w:val="009F0F60"/>
    <w:pPr>
      <w:spacing w:before="240" w:after="60"/>
    </w:pPr>
    <w:rPr>
      <w:rFonts w:ascii="Times New Roman" w:hAnsi="Times New Roman"/>
      <w:b/>
      <w:sz w:val="28"/>
    </w:rPr>
  </w:style>
  <w:style w:type="character" w:customStyle="1" w:styleId="Underline">
    <w:name w:val="Underline"/>
    <w:basedOn w:val="DefaultParagraphFont"/>
    <w:qFormat/>
    <w:rsid w:val="009F0F60"/>
    <w:rPr>
      <w:u w:val="single"/>
    </w:rPr>
  </w:style>
  <w:style w:type="character" w:customStyle="1" w:styleId="BoldandItalics">
    <w:name w:val="Bold and Italics"/>
    <w:qFormat/>
    <w:rsid w:val="009F0F60"/>
    <w:rPr>
      <w:b/>
      <w:i/>
      <w:u w:val="none"/>
    </w:rPr>
  </w:style>
  <w:style w:type="paragraph" w:styleId="BalloonText">
    <w:name w:val="Balloon Text"/>
    <w:basedOn w:val="Normal"/>
    <w:link w:val="BalloonTextChar"/>
    <w:rsid w:val="009F0F60"/>
    <w:rPr>
      <w:rFonts w:ascii="Tahoma" w:hAnsi="Tahoma" w:cs="Tahoma"/>
      <w:sz w:val="16"/>
      <w:szCs w:val="16"/>
    </w:rPr>
  </w:style>
  <w:style w:type="character" w:customStyle="1" w:styleId="BalloonTextChar">
    <w:name w:val="Balloon Text Char"/>
    <w:basedOn w:val="DefaultParagraphFont"/>
    <w:link w:val="BalloonText"/>
    <w:rsid w:val="009F0F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F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0F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F60"/>
    <w:rPr>
      <w:b/>
      <w:color w:val="660033"/>
      <w:spacing w:val="0"/>
    </w:rPr>
  </w:style>
  <w:style w:type="paragraph" w:customStyle="1" w:styleId="Nameditemlist">
    <w:name w:val="Named item list"/>
    <w:basedOn w:val="BodyText"/>
    <w:qFormat/>
    <w:rsid w:val="009F0F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2799</Words>
  <Characters>16463</Characters>
  <Application>Microsoft Office Word</Application>
  <DocSecurity>0</DocSecurity>
  <Lines>822</Lines>
  <Paragraphs>326</Paragraphs>
  <ScaleCrop>false</ScaleCrop>
  <Company>Author-it Software Corporation Ltd.</Company>
  <LinksUpToDate>false</LinksUpToDate>
  <CharactersWithSpaces>18974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UEGNSG311A Site control of third party works in the vicinity of a transmission pipeline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2012-10-10T07:33:00Z</dcterms:created>
  <dcterms:modified xsi:type="dcterms:W3CDTF">2012-10-10T07:33:00Z</dcterms:modified>
</cp:coreProperties>
</file>