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EE2" w:rsidP="001F4EE2">
      <w:pPr>
        <w:pStyle w:val="Title"/>
      </w:pPr>
      <w:bookmarkStart w:id="0" w:name="_GoBack"/>
      <w:bookmarkEnd w:id="0"/>
      <w:r>
        <w:fldChar w:fldCharType="begin"/>
      </w:r>
      <w:r>
        <w:instrText xml:space="preserve"> TITLE   \* MERGEFORMAT </w:instrText>
      </w:r>
      <w:r>
        <w:fldChar w:fldCharType="separate"/>
      </w:r>
      <w:r>
        <w:t>UEGNSG305A Coordinate gas transmission pipeline repair and modifications</w:t>
      </w:r>
      <w:r>
        <w:fldChar w:fldCharType="end"/>
      </w:r>
    </w:p>
    <w:p w:rsidR="001F4EE2" w:rsidP="001F4EE2">
      <w:pPr>
        <w:pStyle w:val="Version"/>
        <w:sectPr w:rsidSect="007952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2CB" w:rsidP="007952CB">
      <w:pPr>
        <w:pStyle w:val="SuperHeading"/>
      </w:pPr>
      <w:r w:rsidRPr="007952CB">
        <w:t>UEGNSG305A Coordinate gas transmission pipeline repair and modifications</w:t>
      </w:r>
    </w:p>
    <w:p w:rsidR="00000000" w:rsidRPr="007952CB" w:rsidP="007952CB">
      <w:pPr>
        <w:pStyle w:val="Heading1"/>
      </w:pPr>
      <w:bookmarkStart w:id="1" w:name="O_275112"/>
      <w:bookmarkEnd w:id="1"/>
      <w:r w:rsidRPr="007952CB">
        <w:t>Modification History</w:t>
      </w:r>
    </w:p>
    <w:p w:rsidR="00000000" w:rsidRPr="007952CB" w:rsidP="007952CB">
      <w:pPr>
        <w:pStyle w:val="BodyText"/>
      </w:pPr>
      <w:r w:rsidRPr="007952CB">
        <w:t>Not Applicable</w:t>
      </w:r>
    </w:p>
    <w:p w:rsidR="00000000" w:rsidRPr="007952CB" w:rsidP="007952CB">
      <w:pPr>
        <w:pStyle w:val="AllowPageBreak"/>
      </w:pPr>
    </w:p>
    <w:p w:rsidR="00000000" w:rsidRPr="007952CB" w:rsidP="007952CB">
      <w:pPr>
        <w:pStyle w:val="Heading1"/>
      </w:pPr>
      <w:bookmarkStart w:id="2" w:name="O_229494"/>
      <w:bookmarkEnd w:id="2"/>
      <w:r w:rsidRPr="007952CB">
        <w:t>Unit Descriptor</w:t>
      </w:r>
    </w:p>
    <w:tbl>
      <w:tblPr>
        <w:tblW w:w="0" w:type="auto"/>
        <w:tblLayout w:type="fixed"/>
        <w:tblCellMar>
          <w:left w:w="62" w:type="dxa"/>
          <w:right w:w="62" w:type="dxa"/>
        </w:tblCellMar>
        <w:tblLook w:val="0000"/>
      </w:tblPr>
      <w:tblGrid>
        <w:gridCol w:w="2700"/>
        <w:gridCol w:w="5760"/>
      </w:tblGrid>
      <w:tr w:rsidTr="001F4E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1</w:t>
            </w:r>
            <w:r w:rsidRPr="007952CB">
              <w:t xml:space="preserve">) </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This Competency Standard Unit covers the coordination of gas transmission pipeline repair and modifications. Inspection and testing techniques are included for this competency standard. It encompasses identifying and attending to leaks which may be classif</w:t>
            </w:r>
            <w:r w:rsidRPr="007952CB">
              <w:t>ied into Class 1  repair until completed; Class 2  repair within 7 days; Class 3 monitor, repair not economic; Class 4  no leak found and includes coordinating and where appropriate undertaking the repair, modification and minor maintenance of equipment.</w:t>
            </w:r>
          </w:p>
        </w:tc>
      </w:tr>
    </w:tbl>
    <w:p w:rsidR="001F4EE2" w:rsidP="007952CB">
      <w:pPr>
        <w:pStyle w:val="BodyText"/>
      </w:pPr>
    </w:p>
    <w:p w:rsidR="001F4EE2" w:rsidP="007952CB">
      <w:pPr>
        <w:pStyle w:val="BodyText"/>
      </w:pPr>
    </w:p>
    <w:p w:rsidR="00000000" w:rsidRPr="007952CB" w:rsidP="007952CB">
      <w:pPr>
        <w:pStyle w:val="Heading1"/>
      </w:pPr>
      <w:bookmarkStart w:id="3" w:name="O_229497"/>
      <w:bookmarkEnd w:id="3"/>
      <w:r w:rsidRPr="007952CB">
        <w:t>Application of the Unit</w:t>
      </w:r>
    </w:p>
    <w:tbl>
      <w:tblPr>
        <w:tblW w:w="0" w:type="auto"/>
        <w:tblLayout w:type="fixed"/>
        <w:tblCellMar>
          <w:left w:w="62" w:type="dxa"/>
          <w:right w:w="62" w:type="dxa"/>
        </w:tblCellMar>
        <w:tblLook w:val="0000"/>
      </w:tblPr>
      <w:tblGrid>
        <w:gridCol w:w="2700"/>
        <w:gridCol w:w="5760"/>
      </w:tblGrid>
      <w:tr w:rsidTr="001F4E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3</w:t>
            </w:r>
            <w:r w:rsidRPr="007952CB">
              <w:t xml:space="preserve">) </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 xml:space="preserve">This competency standard shall apply to any basic and safe work site where Gas Industry operations occur. It could also apply, where applicable to other workplaces in the electricity </w:t>
            </w:r>
            <w:r w:rsidRPr="007952CB">
              <w:t>supply industry (transmission and distribution and generation), the electrotechnology industry and the water industry, subject to all Occupational Health and Safety and duty of care requirements being met for the workplace.</w:t>
            </w:r>
          </w:p>
        </w:tc>
      </w:tr>
    </w:tbl>
    <w:p w:rsidR="001F4EE2" w:rsidP="007952CB">
      <w:pPr>
        <w:pStyle w:val="BodyText"/>
      </w:pPr>
    </w:p>
    <w:p w:rsidR="001F4EE2" w:rsidP="007952CB">
      <w:pPr>
        <w:pStyle w:val="BodyText"/>
      </w:pPr>
    </w:p>
    <w:p w:rsidR="00000000" w:rsidRPr="007952CB" w:rsidP="007952CB">
      <w:pPr>
        <w:pStyle w:val="Heading1"/>
      </w:pPr>
      <w:bookmarkStart w:id="4" w:name="O_229498"/>
      <w:bookmarkEnd w:id="4"/>
      <w:r w:rsidRPr="007952CB">
        <w:t>Licensing/Regulatory Information</w:t>
      </w:r>
    </w:p>
    <w:tbl>
      <w:tblPr>
        <w:tblW w:w="0" w:type="auto"/>
        <w:tblLayout w:type="fixed"/>
        <w:tblCellMar>
          <w:left w:w="62" w:type="dxa"/>
          <w:right w:w="62" w:type="dxa"/>
        </w:tblCellMar>
        <w:tblLook w:val="0000"/>
      </w:tblPr>
      <w:tblGrid>
        <w:gridCol w:w="2700"/>
        <w:gridCol w:w="5760"/>
      </w:tblGrid>
      <w:tr w:rsidTr="001F4E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3</w:t>
            </w:r>
            <w:r w:rsidRPr="007952CB">
              <w:t>.</w:t>
            </w:r>
            <w:r w:rsidRPr="007952CB">
              <w:rPr>
                <w:rStyle w:val="SpecialBold"/>
              </w:rPr>
              <w:t>1</w:t>
            </w:r>
            <w:r w:rsidRPr="007952CB">
              <w:t xml:space="preserve">) </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 xml:space="preserve">The skills and knowledge described in this unit are not subject to licence regulation other than those directly </w:t>
            </w:r>
            <w:r w:rsidRPr="007952CB">
              <w:t>related to Occupational Health and Safety, gas/electricity/water industry safety an</w:t>
            </w:r>
            <w:r w:rsidRPr="007952CB">
              <w:t>d compliance, industrial relations, environmental protection, telecommunications, anti discrimination and training. Commonwealth, State/Territory or Local Government legislation and regulations may exist that limits the age of persons who can operate certa</w:t>
            </w:r>
            <w:r w:rsidRPr="007952CB">
              <w:t>in equipment.</w:t>
            </w:r>
          </w:p>
        </w:tc>
      </w:tr>
    </w:tbl>
    <w:p w:rsidR="001F4EE2" w:rsidP="007952CB">
      <w:pPr>
        <w:pStyle w:val="BodyText"/>
      </w:pPr>
    </w:p>
    <w:p w:rsidR="001F4EE2" w:rsidP="007952CB">
      <w:pPr>
        <w:pStyle w:val="BodyText"/>
      </w:pPr>
    </w:p>
    <w:p w:rsidR="00000000" w:rsidRPr="007952CB" w:rsidP="007952CB">
      <w:pPr>
        <w:pStyle w:val="Heading1"/>
      </w:pPr>
      <w:bookmarkStart w:id="5" w:name="O_229495"/>
      <w:bookmarkEnd w:id="5"/>
      <w:r w:rsidRPr="007952CB">
        <w:t>Pre-Requisites</w:t>
      </w:r>
    </w:p>
    <w:tbl>
      <w:tblPr>
        <w:tblW w:w="0" w:type="auto"/>
        <w:tblLayout w:type="fixed"/>
        <w:tblCellMar>
          <w:left w:w="62" w:type="dxa"/>
          <w:right w:w="62" w:type="dxa"/>
        </w:tblCellMar>
        <w:tblLook w:val="0000"/>
      </w:tblPr>
      <w:tblGrid>
        <w:gridCol w:w="2700"/>
        <w:gridCol w:w="1800"/>
        <w:gridCol w:w="3960"/>
      </w:tblGrid>
      <w:tr w:rsidTr="001F4E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Prerequisite Unit</w:t>
            </w:r>
            <w:r w:rsidRPr="007952CB">
              <w:t>(</w:t>
            </w:r>
            <w:r w:rsidRPr="007952CB">
              <w:rPr>
                <w:rStyle w:val="SpecialBold"/>
              </w:rPr>
              <w:t>s</w:t>
            </w:r>
            <w:r w:rsidRPr="007952CB">
              <w:t>)</w:t>
            </w:r>
          </w:p>
        </w:tc>
        <w:tc>
          <w:tcPr>
            <w:tcW w:w="576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2</w:t>
            </w:r>
            <w:r w:rsidRPr="007952CB">
              <w:t xml:space="preserve">) </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2</w:t>
            </w:r>
            <w:r w:rsidRPr="007952CB">
              <w:t>.</w:t>
            </w:r>
            <w:r w:rsidRPr="007952CB">
              <w:rPr>
                <w:rStyle w:val="SpecialBold"/>
              </w:rPr>
              <w:t>1</w:t>
            </w:r>
            <w:r w:rsidRPr="007952CB">
              <w:t xml:space="preserve">) </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Granting of competency in this unit shall be made only after competency in the following unit(s) has/have been confirmed:</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Nil</w:t>
            </w:r>
          </w:p>
        </w:tc>
        <w:tc>
          <w:tcPr>
            <w:tcW w:w="3960" w:type="dxa"/>
            <w:tcBorders>
              <w:top w:val="nil"/>
              <w:left w:val="nil"/>
              <w:bottom w:val="nil"/>
              <w:right w:val="nil"/>
            </w:tcBorders>
            <w:tcMar>
              <w:top w:w="0" w:type="dxa"/>
              <w:left w:w="62" w:type="dxa"/>
              <w:bottom w:w="0" w:type="dxa"/>
              <w:right w:w="62" w:type="dxa"/>
            </w:tcMar>
          </w:tcPr>
          <w:p w:rsidR="00000000" w:rsidRPr="007952CB" w:rsidP="007952CB">
            <w:pPr>
              <w:pStyle w:val="BodyText"/>
            </w:pPr>
          </w:p>
        </w:tc>
      </w:tr>
    </w:tbl>
    <w:p w:rsidR="001F4EE2" w:rsidP="007952CB">
      <w:pPr>
        <w:pStyle w:val="BodyText"/>
      </w:pPr>
    </w:p>
    <w:p w:rsidR="001F4EE2" w:rsidP="007952CB">
      <w:pPr>
        <w:pStyle w:val="BodyText"/>
      </w:pPr>
    </w:p>
    <w:p w:rsidR="00000000" w:rsidRPr="007952CB" w:rsidP="007952CB">
      <w:pPr>
        <w:pStyle w:val="Heading1"/>
      </w:pPr>
      <w:bookmarkStart w:id="6" w:name="O_285361"/>
      <w:bookmarkEnd w:id="6"/>
      <w:r w:rsidRPr="007952CB">
        <w:t>Employability Skills Information</w:t>
      </w:r>
    </w:p>
    <w:p w:rsidR="00000000" w:rsidRPr="007952CB" w:rsidP="007952CB">
      <w:pPr>
        <w:pStyle w:val="BodyText"/>
      </w:pPr>
      <w:r w:rsidRPr="007952CB">
        <w:t>Refer to the Evidence Guide</w:t>
      </w:r>
    </w:p>
    <w:p w:rsidR="00000000" w:rsidRPr="007952CB" w:rsidP="007952CB">
      <w:pPr>
        <w:pStyle w:val="AllowPageBreak"/>
      </w:pPr>
    </w:p>
    <w:p w:rsidR="00000000" w:rsidRPr="007952CB" w:rsidP="007952CB">
      <w:pPr>
        <w:pStyle w:val="Heading1"/>
      </w:pPr>
      <w:bookmarkStart w:id="7" w:name="O_293158"/>
      <w:bookmarkEnd w:id="7"/>
      <w:r w:rsidRPr="007952CB">
        <w:t>Elements and Performance Criteria Pre-Content</w:t>
      </w:r>
    </w:p>
    <w:tbl>
      <w:tblPr>
        <w:tblW w:w="0" w:type="auto"/>
        <w:tblLayout w:type="fixed"/>
        <w:tblCellMar>
          <w:left w:w="62" w:type="dxa"/>
          <w:right w:w="62" w:type="dxa"/>
        </w:tblCellMar>
        <w:tblLook w:val="0000"/>
      </w:tblPr>
      <w:tblGrid>
        <w:gridCol w:w="2700"/>
        <w:gridCol w:w="5760"/>
      </w:tblGrid>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5</w:t>
            </w:r>
            <w:r w:rsidRPr="007952C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Performance Criteria describe the required performance nee</w:t>
            </w:r>
            <w:r w:rsidRPr="007952CB">
              <w:t>ded to demonstrate achievement of the element. Assessment of performance is to be consistent with the Evidence Guide.</w:t>
            </w:r>
          </w:p>
        </w:tc>
      </w:tr>
    </w:tbl>
    <w:p w:rsidR="00000000" w:rsidRPr="007952CB" w:rsidP="007952CB">
      <w:pPr>
        <w:pStyle w:val="BodyText"/>
      </w:pPr>
    </w:p>
    <w:p w:rsidR="00000000" w:rsidRPr="007952CB" w:rsidP="007952CB">
      <w:pPr>
        <w:pStyle w:val="AllowPageBreak"/>
      </w:pPr>
    </w:p>
    <w:p w:rsidR="00000000" w:rsidRPr="007952CB" w:rsidP="007952CB">
      <w:pPr>
        <w:pStyle w:val="Heading1"/>
      </w:pPr>
      <w:bookmarkStart w:id="8" w:name="O_239826"/>
      <w:bookmarkEnd w:id="8"/>
      <w:r w:rsidRPr="007952C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F4EE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PERFORMANCE CRITERIA</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w:t>
            </w:r>
          </w:p>
        </w:tc>
        <w:tc>
          <w:tcPr>
            <w:tcW w:w="2296" w:type="dxa"/>
            <w:vMerge w:val="restart"/>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Prepare and plan for coordination of repairs and modifications of a gas transmission pipeline</w:t>
            </w: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1.1</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Information concerning the identified repair/modification is conveyed to all parties and work schedule(s), including drawings, plans, requirements, establishe</w:t>
            </w:r>
            <w:r w:rsidRPr="007952CB">
              <w:t>d procedures and material lists are received, analysed and confirmed if necessary by site inspection</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1.2</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Necessary plans, specifications and other relevant information and established procedures for the work are communicated to all persons and identifie</w:t>
            </w:r>
            <w:r w:rsidRPr="007952CB">
              <w:t>d for all work sites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1.3</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 xml:space="preserve">OHS, environmental and sustainable energy policies and procedures related to the coordinating of gas transmission pipeline repairs and modifications </w:t>
            </w:r>
            <w:r w:rsidRPr="007952CB">
              <w:t xml:space="preserve">are obtained and confirmed for the purposes of the work performed and communicated </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1.4</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Work is prioritised and sequenced following consultation with others for completion within acceptable timeframes and in accordance with established procedures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1.5</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Hazards are identified, OHS risks assessed and control measures are prioritised, implemented and monitored including emergency exits kept clear according to established procedures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1.6</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Relevant work permits are obtained to access, isolate/de-energise systems and perform work according to requirements and established procedures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1.7</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 xml:space="preserve">Resources including persons, equipment, tools and personal protective equipment required for the job are </w:t>
            </w:r>
            <w:r w:rsidRPr="007952CB">
              <w:t>identified, scheduled and obtained and confirmed in working order</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1.8</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Relevant persons at worksite are confirmed to be current in First Aid and other related work procedures according to requirements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1.9</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Liaison and communication issues with authoris</w:t>
            </w:r>
            <w:r w:rsidRPr="007952CB">
              <w:t>ed persons, authorities, clients and land owners are resolved and activities coordinated to carry out work</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1.10</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Site is prepared according to the work schedule and to minimise risk and damage to property, commerce and individuals in accordance with established procedures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1.11</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Persons participating in the work, including plant operators and contractors are fully b</w:t>
            </w:r>
            <w:r w:rsidRPr="007952CB">
              <w:t xml:space="preserve">riefed and respective responsibilities confirmed where applicable in accordance with established procedures </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1.12</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 xml:space="preserve">Road signs, barriers and warning devices are positioned in accordance with requirements </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2</w:t>
            </w:r>
          </w:p>
        </w:tc>
        <w:tc>
          <w:tcPr>
            <w:tcW w:w="2296"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Coordinate pipeline repairs or modifications for gas transmission pipelines and notify completion of work</w:t>
            </w: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2.1</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OHS policies and procedures and safe work practices are followed to eliminate or minimise incidents and hazards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2.2</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 xml:space="preserve">Lifting, climbing, working </w:t>
            </w:r>
            <w:r w:rsidRPr="007952CB">
              <w:t>in confined spaces, excavations, trenches. or aloft, and use of power tools, techniques and practices are safely followed and currency according to requirements confirmed</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2.3</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Essential Knowledge and Associated Skills is applied to the coordinating of ga</w:t>
            </w:r>
            <w:r w:rsidRPr="007952CB">
              <w:t>s transmission pipeline repairs and modifications to ensure completion in an agreed timeframe and to quality standards with a minimum of waste according to requirements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2.4</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 xml:space="preserve">Coordination of gas transmission pipeline repairs and modifications is carried out in accordance with the work schedule and to established procedures </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2.5</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Hazard warnings and safety signs are recognised and hazards are assessed and OHS risks are reporte</w:t>
            </w:r>
            <w:r w:rsidRPr="007952CB">
              <w:t>d to the immediate authorised persons for directions according to established procedures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2.6</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Repair work is monitored and unplanned events and amendments and modifications in the coordinating pipeline repair and modifications are undertaken with the sco</w:t>
            </w:r>
            <w:r w:rsidRPr="007952CB">
              <w:t xml:space="preserve">pe of established procedures </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2.7</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Known solutions to a variety of problems are applied using Essential Knowledge and Associated Skills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2.8</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A</w:t>
            </w:r>
            <w:r w:rsidRPr="007952CB">
              <w:t>ll required testing procedures are followed and ongoing checks of quality of the work are undertaken in accordance with given instructions and established procedures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3</w:t>
            </w:r>
          </w:p>
        </w:tc>
        <w:tc>
          <w:tcPr>
            <w:tcW w:w="2296"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Re-establish transmission pipeline to operational conditions and notify completion of w</w:t>
            </w:r>
            <w:r w:rsidRPr="007952CB">
              <w:t>ork</w:t>
            </w: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3.1</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System is re-established in order to meet transmission pipeline requirements and the work undertaken is checked against works schedule for conformance with requirements, anomalies are reported in accordance with established procedures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3.2</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Accide</w:t>
            </w:r>
            <w:r w:rsidRPr="007952CB">
              <w:t>nts and injuries are reported in accordance with established procedures where applicable</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3.3</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Work site is rehabilitated, cleaned up and made safe in accordance with given instructions and established procedures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3.4</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Tools, equipment and any surplus resources and materials are, where appropriate, cleaned, checked and returned to storage in accordance with established procedures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3.5</w:t>
            </w:r>
          </w:p>
        </w:tc>
        <w:tc>
          <w:tcPr>
            <w:tcW w:w="48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Relevant work permit(s) are signed off and equipment is returned to service in accord</w:t>
            </w:r>
            <w:r w:rsidRPr="007952CB">
              <w:t>ance with requirements</w:t>
            </w:r>
          </w:p>
        </w:tc>
      </w:tr>
      <w:tr w:rsidTr="001F4EE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3.6</w:t>
            </w:r>
          </w:p>
        </w:tc>
        <w:tc>
          <w:tcPr>
            <w:tcW w:w="48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Records and drawings are updated to reflect repair/modifications and work completion records, reports as installed and documentation finalised and processed and appropriate persons notified</w:t>
            </w:r>
          </w:p>
        </w:tc>
      </w:tr>
    </w:tbl>
    <w:p w:rsidR="001F4EE2" w:rsidP="007952CB">
      <w:pPr>
        <w:pStyle w:val="BodyText"/>
      </w:pPr>
    </w:p>
    <w:p w:rsidR="001F4EE2" w:rsidP="007952CB">
      <w:pPr>
        <w:pStyle w:val="BodyText"/>
      </w:pPr>
    </w:p>
    <w:p w:rsidR="00000000" w:rsidRPr="007952CB" w:rsidP="007952CB">
      <w:pPr>
        <w:pStyle w:val="Heading1"/>
      </w:pPr>
      <w:bookmarkStart w:id="9" w:name="O_263617"/>
      <w:bookmarkEnd w:id="9"/>
      <w:r w:rsidRPr="007952CB">
        <w:t>Required Skills and Knowledge</w:t>
      </w:r>
    </w:p>
    <w:tbl>
      <w:tblPr>
        <w:tblW w:w="0" w:type="auto"/>
        <w:tblLayout w:type="fixed"/>
        <w:tblCellMar>
          <w:left w:w="62" w:type="dxa"/>
          <w:right w:w="62" w:type="dxa"/>
        </w:tblCellMar>
        <w:tblLook w:val="0000"/>
      </w:tblPr>
      <w:tblGrid>
        <w:gridCol w:w="2700"/>
        <w:gridCol w:w="1080"/>
        <w:gridCol w:w="4680"/>
      </w:tblGrid>
      <w:tr w:rsidTr="001F4EE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REQUIRED SKILLS AND KNOWLEDGE</w:t>
            </w:r>
          </w:p>
        </w:tc>
      </w:tr>
      <w:tr w:rsidTr="001F4EE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6</w:t>
            </w:r>
            <w:r w:rsidRPr="007952CB">
              <w:t>) This describes the essential skills and knowledge and their level, required for this unit.</w:t>
            </w:r>
          </w:p>
        </w:tc>
      </w:tr>
      <w:tr w:rsidTr="001F4EE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Evidence shall show that knowledge has been acquired of safe working practices for the coordinat</w:t>
            </w:r>
            <w:r w:rsidRPr="007952CB">
              <w:t>ion of gas transmission pipeline repair and modifications. The extent of the essential knowledge and associated skills (EKAS) required is given in Volume 2 - Part 2.2 EKAS.  It forms an integral part of this unit.</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3.2.11</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Prepare for testing and inspection of pipeline system</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3.2.12</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Select and use appropriate tools and equipment to inspect and test the pipeline system in accordance with procedures and legislative requirements</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3.2.13</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Record and interpret test data</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w:t>
            </w:r>
            <w:r w:rsidRPr="007952CB">
              <w:t xml:space="preserve"> 3.2.14</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Monitor pipeline system during repair work</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3.2.15</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Carry out repair work and make amendments or modifications as required</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3.2.16</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Re-establish system and restore site</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3.2.17</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Maintain records</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3.2.18</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Obtain information relevant to pipeline repair and modification</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3.2.19</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Liaise and communicate with relevant parties</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3.2.20</w:t>
            </w:r>
          </w:p>
        </w:tc>
        <w:tc>
          <w:tcPr>
            <w:tcW w:w="46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Prepare work site for repairs/modifications work</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G 3.2.21</w:t>
            </w:r>
          </w:p>
        </w:tc>
        <w:tc>
          <w:tcPr>
            <w:tcW w:w="468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Organise required equipment, materials and persons</w:t>
            </w:r>
          </w:p>
        </w:tc>
      </w:tr>
    </w:tbl>
    <w:p w:rsidR="001F4EE2" w:rsidP="007952CB">
      <w:pPr>
        <w:pStyle w:val="BodyText"/>
      </w:pPr>
    </w:p>
    <w:p w:rsidR="001F4EE2" w:rsidP="007952CB">
      <w:pPr>
        <w:pStyle w:val="BodyText"/>
      </w:pPr>
    </w:p>
    <w:p w:rsidR="00000000" w:rsidRPr="007952CB" w:rsidP="007952CB">
      <w:pPr>
        <w:pStyle w:val="Heading1"/>
      </w:pPr>
      <w:bookmarkStart w:id="10" w:name="O_247809"/>
      <w:bookmarkEnd w:id="10"/>
      <w:r w:rsidRPr="007952CB">
        <w:t>Evidence Guide</w:t>
      </w:r>
    </w:p>
    <w:tbl>
      <w:tblPr>
        <w:tblW w:w="0" w:type="auto"/>
        <w:tblLayout w:type="fixed"/>
        <w:tblCellMar>
          <w:left w:w="62" w:type="dxa"/>
          <w:right w:w="62" w:type="dxa"/>
        </w:tblCellMar>
        <w:tblLook w:val="0000"/>
      </w:tblPr>
      <w:tblGrid>
        <w:gridCol w:w="2160"/>
        <w:gridCol w:w="360"/>
        <w:gridCol w:w="900"/>
        <w:gridCol w:w="720"/>
        <w:gridCol w:w="1080"/>
        <w:gridCol w:w="3240"/>
      </w:tblGrid>
      <w:tr w:rsidTr="001F4EE2">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EVIDENCE GUIDE</w:t>
            </w:r>
          </w:p>
        </w:tc>
      </w:tr>
      <w:tr w:rsidTr="001F4EE2">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8</w:t>
            </w:r>
            <w:r w:rsidRPr="007952CB">
              <w:t>) The Evidence Guide forms an integral part of this Unit and shall be used in conjunction with all components parts of the unit and performed in accordance with the Assessment Guidelines of this Training Package</w:t>
            </w:r>
            <w:r w:rsidRPr="007952CB">
              <w:t>.</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Overview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8</w:t>
            </w:r>
            <w:r w:rsidRPr="007952CB">
              <w:t>.</w:t>
            </w:r>
            <w:r w:rsidRPr="007952CB">
              <w:rPr>
                <w:rStyle w:val="SpecialBold"/>
              </w:rPr>
              <w:t>1</w:t>
            </w:r>
            <w:r w:rsidRPr="007952CB">
              <w:t>)</w:t>
            </w:r>
          </w:p>
          <w:p w:rsidR="00000000" w:rsidRPr="007952CB" w:rsidP="007952CB">
            <w:pPr>
              <w:pStyle w:val="BodyText"/>
            </w:pPr>
            <w:r w:rsidRPr="007952CB">
              <w:t>Longitudinal competency development approaches to assessment, such as Profiling, require data to be reliably gathered in a form that can be consistently interpreted over time. This approach is best utilised in Apprentice</w:t>
            </w:r>
            <w:r w:rsidRPr="007952CB">
              <w:t>ship programs and reduces assessment intervention. It is the Industry's preferred model for apprenticeships. However, where summative (or final) assessment is used it is to include the application of the competency in the normal work environment or, at a m</w:t>
            </w:r>
            <w:r w:rsidRPr="007952CB">
              <w:t>inimum, the application of the competency in a realistically simulated work environment. It is recognised that, in some circumstances, assessment in part or full can occur outside the workplace. However, it must be in accord with Industry regulatory policy</w:t>
            </w:r>
            <w:r w:rsidRPr="007952CB">
              <w:t xml:space="preserve"> in this regard.</w:t>
            </w:r>
          </w:p>
          <w:p w:rsidR="00000000" w:rsidRPr="007952CB" w:rsidP="007952CB">
            <w:pPr>
              <w:pStyle w:val="BodyText"/>
            </w:pPr>
            <w:r w:rsidRPr="007952CB">
              <w:t>Methods chosen for a particular assessment will be influenced by various factors. These include the extent of the assessment, the most effective locations for the assessment activities to take place, access to physical resources, additiona</w:t>
            </w:r>
            <w:r w:rsidRPr="007952CB">
              <w:t>l safety measures that may be required and the critical nature of the competencies being assessed.</w:t>
            </w:r>
          </w:p>
          <w:p w:rsidR="00000000" w:rsidRPr="007952CB" w:rsidP="007952CB">
            <w:pPr>
              <w:pStyle w:val="BodyText"/>
            </w:pPr>
            <w:r w:rsidRPr="007952CB">
              <w:t>The critical safety nature of working with electricity, electrical equipment, gas or any other hazardous substance/material carries risk in deeming a person competent. Hence, sources of evidence need to be 'rich' in nature so as to minimise error in judgme</w:t>
            </w:r>
            <w:r w:rsidRPr="007952CB">
              <w:t>nt.</w:t>
            </w:r>
          </w:p>
          <w:p w:rsidR="00000000" w:rsidP="007952CB">
            <w:pPr>
              <w:pStyle w:val="BodyText"/>
              <w:rPr>
                <w:lang w:val="en-NZ"/>
              </w:rPr>
            </w:pPr>
            <w:r w:rsidRPr="007952CB">
              <w:t>Activities associated with normal every day work have a bearing on the decision as to how much and how detailed the data gathered will contribute to its 'richness'. Some skills are more critical to safety and operational requirements while the same ski</w:t>
            </w:r>
            <w:r w:rsidRPr="007952CB">
              <w:t>lls may be more or less frequently practiced. These points are raised for the assessors to consider when choosing an assessment method and developing assessment instruments. Sample assessment instruments are included for Assessors in the Assessment Guideli</w:t>
            </w:r>
            <w:r w:rsidRPr="007952CB">
              <w:t>nes of this Training Package.</w:t>
            </w:r>
          </w:p>
        </w:tc>
      </w:tr>
      <w:tr w:rsidTr="001F4EE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 xml:space="preserve">Critical aspects of evidence required to demonstrate </w:t>
            </w:r>
            <w:r w:rsidRPr="007952CB">
              <w:rPr>
                <w:rStyle w:val="SpecialBold"/>
              </w:rPr>
              <w:t>competency in this unit</w:t>
            </w:r>
          </w:p>
        </w:tc>
        <w:tc>
          <w:tcPr>
            <w:tcW w:w="6300" w:type="dxa"/>
            <w:gridSpan w:val="5"/>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8</w:t>
            </w:r>
            <w:r w:rsidRPr="007952CB">
              <w:t>.</w:t>
            </w:r>
            <w:r w:rsidRPr="007952CB">
              <w:rPr>
                <w:rStyle w:val="SpecialBold"/>
              </w:rPr>
              <w:t>2</w:t>
            </w:r>
            <w:r w:rsidRPr="007952CB">
              <w:t>)</w:t>
            </w:r>
          </w:p>
          <w:p w:rsidR="00000000" w:rsidP="007952CB">
            <w:pPr>
              <w:pStyle w:val="BodyText"/>
              <w:rPr>
                <w:lang w:val="en-NZ"/>
              </w:rPr>
            </w:pPr>
            <w:r w:rsidRPr="007952CB">
              <w:t>Before the critical aspects of evidence are considered all prerequisites shall be met.</w:t>
            </w:r>
          </w:p>
        </w:tc>
      </w:tr>
      <w:tr w:rsidTr="001F4EE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Evidence for competence in this unit shall be considered holistically. Each element and associated Performance Criteria shall be demonstrated on at least two occasions in accordance with the 'Assessment Guidelines  UEG06'. Evidence shall also comprise:</w:t>
            </w:r>
          </w:p>
        </w:tc>
      </w:tr>
      <w:tr w:rsidTr="001F4EE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rsidP="007952CB">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952CB">
            <w:pPr>
              <w:pStyle w:val="ListBullet"/>
              <w:rPr>
                <w:lang w:val="en-NZ"/>
              </w:rPr>
            </w:pPr>
            <w:r w:rsidRPr="007952CB">
              <w:t>A representative body of Performance Criteria demonstrated within the timeframes typically expected of the discipline, work function and industrial environment. In particular this shall incorporate evidence that shows a candidate is able to:</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RPr="007952CB" w:rsidP="007952CB">
            <w:pPr>
              <w:pStyle w:val="ListBullet2"/>
            </w:pPr>
            <w:r w:rsidRPr="007952CB">
              <w:t>Implement Occupational Health and Safety workplace procedures and practices including the use of risk control measures as specified in the Performance Criteria and range</w:t>
            </w:r>
          </w:p>
          <w:p w:rsidR="00000000" w:rsidRPr="007952CB" w:rsidP="007952CB">
            <w:pPr>
              <w:pStyle w:val="ListBullet2"/>
            </w:pPr>
            <w:r w:rsidRPr="007952CB">
              <w:t>Apply sustainable energy principles and practices as specified in the Performance Crit</w:t>
            </w:r>
            <w:r w:rsidRPr="007952CB">
              <w:t>eria and range</w:t>
            </w:r>
          </w:p>
          <w:p w:rsidR="00000000" w:rsidRPr="007952CB" w:rsidP="007952CB">
            <w:pPr>
              <w:pStyle w:val="ListBullet2"/>
            </w:pPr>
            <w:r w:rsidRPr="007952CB">
              <w:t>Demonstrate an understanding of the essential knowledge and associated skills as described in this unit to such an extent that the learner's performance outcome is reported in accordance with the preferred approach; namely a percentile grade</w:t>
            </w:r>
            <w:r w:rsidRPr="007952CB">
              <w:t>d result, where required by the regulated environment</w:t>
            </w:r>
          </w:p>
          <w:p w:rsidR="00000000" w:rsidRPr="007952CB" w:rsidP="007952CB">
            <w:pPr>
              <w:pStyle w:val="ListBullet2"/>
            </w:pPr>
            <w:r w:rsidRPr="007952CB">
              <w:t>Demonstrate an appropriate level of skills enabling employment</w:t>
            </w:r>
          </w:p>
          <w:p w:rsidR="00000000" w:rsidP="007952CB">
            <w:pPr>
              <w:pStyle w:val="ListBullet2"/>
              <w:rPr>
                <w:lang w:val="en-NZ"/>
              </w:rPr>
            </w:pPr>
            <w:r w:rsidRPr="007952CB">
              <w:t>Conduct work observing the relevant anti-discrimination legislation, regulations, polices and workplace procedures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952CB">
            <w:pPr>
              <w:pStyle w:val="ListBullet2"/>
              <w:rPr>
                <w:lang w:val="en-NZ"/>
              </w:rPr>
            </w:pPr>
            <w:r w:rsidRPr="007952CB">
              <w:t>Demonstrate performance across a representative range of contexts from the prescribed items below.</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952CB">
            <w:pPr>
              <w:pStyle w:val="BodyText"/>
              <w:keepNext w:val="0"/>
              <w:keepLines w:val="0"/>
              <w:contextualSpacing w:val="0"/>
            </w:pPr>
          </w:p>
        </w:tc>
        <w:tc>
          <w:tcPr>
            <w:tcW w:w="594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rPr>
                <w:rStyle w:val="SpecialBold"/>
              </w:rPr>
              <w:t>Range of tools</w:t>
            </w:r>
            <w:r w:rsidRPr="007952CB">
              <w:t>/</w:t>
            </w:r>
            <w:r w:rsidRPr="007952CB">
              <w:rPr>
                <w:rStyle w:val="SpecialBold"/>
              </w:rPr>
              <w:t>equipment</w:t>
            </w:r>
            <w:r w:rsidRPr="007952CB">
              <w:t>/</w:t>
            </w:r>
            <w:r w:rsidRPr="007952CB">
              <w:rPr>
                <w:rStyle w:val="SpecialBold"/>
              </w:rPr>
              <w:t>materials</w:t>
            </w:r>
            <w:r w:rsidRPr="007952CB">
              <w:t>/</w:t>
            </w:r>
            <w:r w:rsidRPr="007952CB">
              <w:rPr>
                <w:rStyle w:val="SpecialBold"/>
              </w:rPr>
              <w:t>procedures</w:t>
            </w:r>
            <w:r w:rsidRPr="007952CB">
              <w:t>/</w:t>
            </w:r>
            <w:r w:rsidRPr="007952CB">
              <w:rPr>
                <w:rStyle w:val="SpecialBold"/>
              </w:rPr>
              <w:t>workplaces</w:t>
            </w:r>
            <w:r w:rsidRPr="007952CB">
              <w:t>/</w:t>
            </w:r>
            <w:r w:rsidRPr="007952CB">
              <w:rPr>
                <w:rStyle w:val="SpecialBold"/>
              </w:rPr>
              <w:t>other variables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952CB">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rPr>
                <w:rStyle w:val="SpecialBold"/>
              </w:rPr>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rPr>
                <w:rStyle w:val="SpecialBold"/>
              </w:rPr>
              <w:t>Item List</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t>Relevant knowledge of AS 1697</w:t>
            </w:r>
          </w:p>
          <w:p w:rsidR="00000000" w:rsidRPr="007952CB" w:rsidP="007952CB">
            <w:pPr>
              <w:pStyle w:val="BodyText"/>
            </w:pPr>
            <w:r w:rsidRPr="007952CB">
              <w:t>Relevant knowledge of AS 2885</w:t>
            </w:r>
          </w:p>
          <w:p w:rsidR="00000000" w:rsidRPr="007952CB" w:rsidP="007952CB">
            <w:pPr>
              <w:pStyle w:val="BodyText"/>
            </w:pPr>
            <w:r w:rsidRPr="007952CB">
              <w:t>Relevant knowledge of AS 2865</w:t>
            </w:r>
          </w:p>
          <w:p w:rsidR="00000000" w:rsidRPr="007952CB" w:rsidP="007952CB">
            <w:pPr>
              <w:pStyle w:val="BodyText"/>
            </w:pPr>
            <w:r w:rsidRPr="007952CB">
              <w:t>Interpret technical drawings and symbols</w:t>
            </w:r>
          </w:p>
          <w:p w:rsidR="00000000" w:rsidRPr="007952CB" w:rsidP="007952CB">
            <w:pPr>
              <w:pStyle w:val="BodyText"/>
            </w:pPr>
            <w:r w:rsidRPr="007952CB">
              <w:t>Documentation (permits, schedules)</w:t>
            </w:r>
          </w:p>
          <w:p w:rsidR="00000000" w:rsidRPr="007952CB" w:rsidP="007952CB">
            <w:pPr>
              <w:pStyle w:val="BodyText"/>
            </w:pPr>
            <w:r w:rsidRPr="007952CB">
              <w:t>Risk assessment implemented</w:t>
            </w:r>
          </w:p>
          <w:p w:rsidR="00000000" w:rsidRPr="007952CB" w:rsidP="007952CB">
            <w:pPr>
              <w:pStyle w:val="BodyText"/>
            </w:pPr>
            <w:r w:rsidRPr="007952CB">
              <w:t>Implementation of Safety Procedures</w:t>
            </w:r>
          </w:p>
          <w:p w:rsidR="00000000" w:rsidRPr="007952CB" w:rsidP="007952CB">
            <w:pPr>
              <w:pStyle w:val="BodyText"/>
            </w:pPr>
            <w:r w:rsidRPr="007952CB">
              <w:t>Able to communicate instructions/schedules</w:t>
            </w:r>
          </w:p>
          <w:p w:rsidR="00000000" w:rsidRPr="007952CB" w:rsidP="007952CB">
            <w:pPr>
              <w:pStyle w:val="BodyText"/>
            </w:pPr>
            <w:r w:rsidRPr="007952CB">
              <w:t>Approvals from authorities</w:t>
            </w:r>
          </w:p>
          <w:p w:rsidR="00000000" w:rsidRPr="007952CB" w:rsidP="007952CB">
            <w:pPr>
              <w:pStyle w:val="BodyText"/>
            </w:pPr>
            <w:r w:rsidRPr="007952CB">
              <w:t>Emergency Response procedures</w:t>
            </w:r>
          </w:p>
          <w:p w:rsidR="00000000" w:rsidRPr="007952CB" w:rsidP="007952CB">
            <w:pPr>
              <w:pStyle w:val="BodyText"/>
            </w:pPr>
            <w:r w:rsidRPr="007952CB">
              <w:t>Environmental Code of Practice applied</w:t>
            </w:r>
          </w:p>
          <w:p w:rsidR="00000000" w:rsidP="007952CB">
            <w:pPr>
              <w:pStyle w:val="BodyText"/>
              <w:rPr>
                <w:lang w:val="en-NZ"/>
              </w:rPr>
            </w:pPr>
            <w:r w:rsidRPr="007952CB">
              <w:t>Communicate with other authorities and Stakeholders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At Least 2</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t>Basic knowledge of:</w:t>
            </w:r>
          </w:p>
          <w:p w:rsidR="00000000" w:rsidRPr="007952CB" w:rsidP="007952CB">
            <w:pPr>
              <w:pStyle w:val="BodyText"/>
            </w:pPr>
            <w:r w:rsidRPr="007952CB">
              <w:t>Steel pipeline coating repair</w:t>
            </w:r>
          </w:p>
          <w:p w:rsidR="00000000" w:rsidRPr="007952CB" w:rsidP="007952CB">
            <w:pPr>
              <w:pStyle w:val="BodyText"/>
            </w:pPr>
            <w:r w:rsidRPr="007952CB">
              <w:t>Steel pipeline coating testing</w:t>
            </w:r>
          </w:p>
          <w:p w:rsidR="00000000" w:rsidP="007952CB">
            <w:pPr>
              <w:pStyle w:val="BodyText"/>
              <w:rPr>
                <w:lang w:val="en-NZ"/>
              </w:rPr>
            </w:pPr>
            <w:r w:rsidRPr="007952CB">
              <w:t>Steel field joint coating</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t>Purging a pipeline:</w:t>
            </w:r>
          </w:p>
          <w:p w:rsidR="00000000" w:rsidRPr="007952CB" w:rsidP="007952CB">
            <w:pPr>
              <w:pStyle w:val="BodyText"/>
            </w:pPr>
            <w:r w:rsidRPr="007952CB">
              <w:t>Purging Procedures</w:t>
            </w:r>
          </w:p>
          <w:p w:rsidR="00000000" w:rsidRPr="007952CB" w:rsidP="007952CB">
            <w:pPr>
              <w:pStyle w:val="BodyText"/>
            </w:pPr>
            <w:r w:rsidRPr="007952CB">
              <w:t xml:space="preserve">Relevant compliance with AS 2885 </w:t>
            </w:r>
          </w:p>
          <w:p w:rsidR="00000000" w:rsidRPr="007952CB" w:rsidP="007952CB">
            <w:pPr>
              <w:pStyle w:val="BodyText"/>
            </w:pPr>
            <w:r w:rsidRPr="007952CB">
              <w:t>Operation of Gas Detector</w:t>
            </w:r>
          </w:p>
          <w:p w:rsidR="00000000" w:rsidRPr="007952CB" w:rsidP="007952CB">
            <w:pPr>
              <w:pStyle w:val="BodyText"/>
            </w:pPr>
            <w:r w:rsidRPr="007952CB">
              <w:t>Isolating, venting and purging gas pipeline systems</w:t>
            </w:r>
          </w:p>
          <w:p w:rsidR="00000000" w:rsidRPr="007952CB" w:rsidP="007952CB">
            <w:pPr>
              <w:pStyle w:val="BodyText"/>
            </w:pPr>
            <w:r w:rsidRPr="007952CB">
              <w:t>Communication with authorities</w:t>
            </w:r>
          </w:p>
          <w:p w:rsidR="00000000" w:rsidP="007952CB">
            <w:pPr>
              <w:pStyle w:val="BodyText"/>
              <w:rPr>
                <w:lang w:val="en-NZ"/>
              </w:rPr>
            </w:pPr>
            <w:r w:rsidRPr="007952CB">
              <w:t>Related environmental issues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At Least 2</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t>Basic knowledge only:</w:t>
            </w:r>
          </w:p>
          <w:p w:rsidR="00000000" w:rsidRPr="007952CB" w:rsidP="007952CB">
            <w:pPr>
              <w:pStyle w:val="BodyText"/>
            </w:pPr>
            <w:r w:rsidRPr="007952CB">
              <w:t>City Gate operation.</w:t>
            </w:r>
          </w:p>
          <w:p w:rsidR="00000000" w:rsidRPr="007952CB" w:rsidP="007952CB">
            <w:pPr>
              <w:pStyle w:val="BodyText"/>
            </w:pPr>
            <w:r w:rsidRPr="007952CB">
              <w:t>Line Valve operation</w:t>
            </w:r>
          </w:p>
          <w:p w:rsidR="00000000" w:rsidP="007952CB">
            <w:pPr>
              <w:pStyle w:val="BodyText"/>
              <w:rPr>
                <w:lang w:val="en-NZ"/>
              </w:rPr>
            </w:pPr>
            <w:r w:rsidRPr="007952CB">
              <w:t>Pressure control procedure</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t>Basic understanding only:</w:t>
            </w:r>
          </w:p>
          <w:p w:rsidR="00000000" w:rsidRPr="007952CB" w:rsidP="007952CB">
            <w:pPr>
              <w:pStyle w:val="BodyText"/>
            </w:pPr>
            <w:r w:rsidRPr="007952CB">
              <w:t>Trenching</w:t>
            </w:r>
          </w:p>
          <w:p w:rsidR="00000000" w:rsidP="007952CB">
            <w:pPr>
              <w:pStyle w:val="BodyText"/>
              <w:rPr>
                <w:lang w:val="en-NZ"/>
              </w:rPr>
            </w:pPr>
            <w:r w:rsidRPr="007952CB">
              <w:t>Shoring</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t>Basic understanding only:</w:t>
            </w:r>
          </w:p>
          <w:p w:rsidR="00000000" w:rsidRPr="007952CB" w:rsidP="007952CB">
            <w:pPr>
              <w:pStyle w:val="BodyText"/>
            </w:pPr>
            <w:r w:rsidRPr="007952CB">
              <w:t>Pipeline Cathodic Protection.</w:t>
            </w:r>
          </w:p>
          <w:p w:rsidR="00000000" w:rsidP="007952CB">
            <w:pPr>
              <w:pStyle w:val="BodyText"/>
              <w:rPr>
                <w:lang w:val="en-NZ"/>
              </w:rPr>
            </w:pPr>
            <w:r w:rsidRPr="007952CB">
              <w:t>Relevant electrical safety</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G</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t>Re-commission pipeline.</w:t>
            </w:r>
          </w:p>
          <w:p w:rsidR="00000000" w:rsidRPr="007952CB" w:rsidP="007952CB">
            <w:pPr>
              <w:pStyle w:val="BodyText"/>
            </w:pPr>
            <w:r w:rsidRPr="007952CB">
              <w:t>Pressure control procedure</w:t>
            </w:r>
          </w:p>
          <w:p w:rsidR="00000000" w:rsidRPr="007952CB" w:rsidP="007952CB">
            <w:pPr>
              <w:pStyle w:val="BodyText"/>
            </w:pPr>
            <w:r w:rsidRPr="007952CB">
              <w:t>All testing of repairs checked/completed</w:t>
            </w:r>
          </w:p>
          <w:p w:rsidR="00000000" w:rsidP="007952CB">
            <w:pPr>
              <w:pStyle w:val="BodyText"/>
              <w:rPr>
                <w:lang w:val="en-NZ"/>
              </w:rPr>
            </w:pPr>
            <w:r w:rsidRPr="007952CB">
              <w:t>Pressure is according to specifications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H</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All</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t>Final Inspections are carried out</w:t>
            </w:r>
          </w:p>
          <w:p w:rsidR="00000000" w:rsidRPr="007952CB" w:rsidP="007952CB">
            <w:pPr>
              <w:pStyle w:val="BodyText"/>
            </w:pPr>
            <w:r w:rsidRPr="007952CB">
              <w:t>Site rehabilitation/reinstatement carried out</w:t>
            </w:r>
          </w:p>
          <w:p w:rsidR="00000000" w:rsidRPr="007952CB" w:rsidP="007952CB">
            <w:pPr>
              <w:pStyle w:val="BodyText"/>
            </w:pPr>
            <w:r w:rsidRPr="007952CB">
              <w:t>Drawings/plans updated</w:t>
            </w:r>
          </w:p>
          <w:p w:rsidR="00000000" w:rsidRPr="007952CB" w:rsidP="007952CB">
            <w:pPr>
              <w:pStyle w:val="BodyText"/>
            </w:pPr>
            <w:r w:rsidRPr="007952CB">
              <w:t>Reports completed</w:t>
            </w:r>
          </w:p>
          <w:p w:rsidR="00000000" w:rsidP="007952CB">
            <w:pPr>
              <w:pStyle w:val="BodyText"/>
              <w:rPr>
                <w:lang w:val="en-NZ"/>
              </w:rPr>
            </w:pPr>
            <w:r w:rsidRPr="007952CB">
              <w:t>Sign Off Procedures carried out</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I</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Deal with an unplanned event by drawing on essential</w:t>
            </w:r>
            <w:r w:rsidRPr="007952CB">
              <w:t xml:space="preserve"> knowledge and associated skills to provide appropriate solutions incorporated in the holistic assessment with the above listed items </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Context of and specific resources for assessment</w:t>
            </w:r>
          </w:p>
        </w:tc>
        <w:tc>
          <w:tcPr>
            <w:tcW w:w="6300" w:type="dxa"/>
            <w:gridSpan w:val="5"/>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8</w:t>
            </w:r>
            <w:r w:rsidRPr="007952CB">
              <w:t>.</w:t>
            </w:r>
            <w:r w:rsidRPr="007952CB">
              <w:rPr>
                <w:rStyle w:val="SpecialBold"/>
              </w:rPr>
              <w:t>3</w:t>
            </w:r>
            <w:r w:rsidRPr="007952CB">
              <w:t>)</w:t>
            </w:r>
          </w:p>
          <w:p w:rsidR="00000000" w:rsidRPr="007952CB" w:rsidP="007952CB">
            <w:pPr>
              <w:pStyle w:val="BodyText"/>
            </w:pPr>
            <w:r w:rsidRPr="007952CB">
              <w:t>This unit should be assessed as it relates to normal work practice</w:t>
            </w:r>
            <w:r w:rsidRPr="007952CB">
              <w:t xml:space="preserve"> using procedures, information and resources typical of a workplace. This should include:</w:t>
            </w:r>
          </w:p>
          <w:p w:rsidR="00000000" w:rsidRPr="007952CB" w:rsidP="007952CB">
            <w:pPr>
              <w:pStyle w:val="ListBullet"/>
            </w:pPr>
            <w:r w:rsidRPr="007952CB">
              <w:t>OHS policy and work procedures and instructions.</w:t>
            </w:r>
          </w:p>
          <w:p w:rsidR="00000000" w:rsidRPr="007952CB" w:rsidP="007952CB">
            <w:pPr>
              <w:pStyle w:val="ListBullet"/>
            </w:pPr>
            <w:r w:rsidRPr="007952CB">
              <w:t>Suitable work environment, facilities, equipment and materials to undertake actual work as prescribed by this Competency Standard Unit.</w:t>
            </w:r>
          </w:p>
          <w:p w:rsidR="00000000" w:rsidRPr="007952CB" w:rsidP="007952CB">
            <w:pPr>
              <w:pStyle w:val="ListBullet"/>
            </w:pPr>
            <w:r w:rsidRPr="007952CB">
              <w:t>Appropriate environmental regulation and work practices.</w:t>
            </w:r>
          </w:p>
          <w:p w:rsidR="00000000" w:rsidRPr="007952CB" w:rsidP="007952CB">
            <w:pPr>
              <w:pStyle w:val="ListBullet"/>
            </w:pPr>
            <w:r w:rsidRPr="007952CB">
              <w:t>Appropriate organisational requirements.</w:t>
            </w:r>
          </w:p>
          <w:p w:rsidR="00000000" w:rsidP="007952CB">
            <w:pPr>
              <w:pStyle w:val="ListBullet"/>
              <w:rPr>
                <w:lang w:val="en-NZ"/>
              </w:rPr>
            </w:pPr>
            <w:r w:rsidRPr="007952CB">
              <w:t>Appropriate work envir</w:t>
            </w:r>
            <w:r w:rsidRPr="007952CB">
              <w:t>onment, equipment and tools.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In addition to the resources listed above, in Context of and specific resources for assessment, evidence should show demonstrated competency in coordinating gas transmission pipeline repair and modifications.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Assess</w:t>
            </w:r>
            <w:r w:rsidRPr="007952CB">
              <w:t>ment of this competency must also be undertaken in either an actual workplace or under a simulated work environment. Assessment must also integrate the Key Competencies .</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Method of assessment</w:t>
            </w:r>
          </w:p>
        </w:tc>
        <w:tc>
          <w:tcPr>
            <w:tcW w:w="6300" w:type="dxa"/>
            <w:gridSpan w:val="5"/>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8</w:t>
            </w:r>
            <w:r w:rsidRPr="007952CB">
              <w:t>.</w:t>
            </w:r>
            <w:r w:rsidRPr="007952CB">
              <w:rPr>
                <w:rStyle w:val="SpecialBold"/>
              </w:rPr>
              <w:t>4</w:t>
            </w:r>
            <w:r w:rsidRPr="007952CB">
              <w:t>)</w:t>
            </w:r>
          </w:p>
          <w:p w:rsidR="00000000" w:rsidRPr="007952CB" w:rsidP="007952CB">
            <w:pPr>
              <w:pStyle w:val="BodyText"/>
            </w:pPr>
            <w:r w:rsidRPr="007952CB">
              <w:t>This Competency Standard Unit shall be assessed by methods given in Volume 1, Part 3 'Assessment Guidelines'.</w:t>
            </w:r>
          </w:p>
          <w:p w:rsidR="00000000" w:rsidP="007952CB">
            <w:pPr>
              <w:pStyle w:val="BodyText"/>
              <w:rPr>
                <w:lang w:val="en-NZ"/>
              </w:rPr>
            </w:pPr>
            <w:r w:rsidRPr="007952CB">
              <w:t>Note:</w:t>
            </w:r>
            <w:r w:rsidRPr="007952CB">
              <w:br/>
              <w:t xml:space="preserve">Competent performance with inherent safe working practices is expected in the Industry to which this Competency Standard Unit applies. This </w:t>
            </w:r>
            <w:r w:rsidRPr="007952CB">
              <w:t>requires that the specified Essential Knowledge and Associated Skills are assessed in a structured environment which is primarily intended for learning/assessment and incorporates all necessary equipment and facilities for learners to develop and demonstra</w:t>
            </w:r>
            <w:r w:rsidRPr="007952CB">
              <w:t>te the essential knowledge and associated skills described in this unit.</w:t>
            </w:r>
          </w:p>
        </w:tc>
      </w:tr>
      <w:tr w:rsidTr="001F4EE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Concurrent assessment and relationship with other units</w:t>
            </w:r>
          </w:p>
        </w:tc>
        <w:tc>
          <w:tcPr>
            <w:tcW w:w="6300" w:type="dxa"/>
            <w:gridSpan w:val="5"/>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8</w:t>
            </w:r>
            <w:r w:rsidRPr="007952CB">
              <w:t>.</w:t>
            </w:r>
            <w:r w:rsidRPr="007952CB">
              <w:rPr>
                <w:rStyle w:val="SpecialBold"/>
              </w:rPr>
              <w:t>5</w:t>
            </w:r>
            <w:r w:rsidRPr="007952CB">
              <w:t>)</w:t>
            </w:r>
          </w:p>
        </w:tc>
      </w:tr>
      <w:tr w:rsidTr="001F4EE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5"/>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 xml:space="preserve">There are no recommended concurrent assessments </w:t>
            </w:r>
            <w:r w:rsidRPr="007952CB">
              <w:t>with this unit, however in some cases efficiencies may be gained in terms of learning and assessment effort being concurrently managed with allied Competency Standard Units where listed.</w:t>
            </w:r>
          </w:p>
        </w:tc>
      </w:tr>
      <w:tr w:rsidTr="001F4EE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UEGNSG102A</w:t>
            </w:r>
          </w:p>
        </w:tc>
        <w:tc>
          <w:tcPr>
            <w:tcW w:w="432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 xml:space="preserve">Carry out work activities in a utilities industry </w:t>
            </w:r>
            <w:r w:rsidRPr="007952CB">
              <w:t>work environment</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UEGNSG103A</w:t>
            </w:r>
          </w:p>
        </w:tc>
        <w:tc>
          <w:tcPr>
            <w:tcW w:w="432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Comply with workplace OHS procedures and practices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UEGNSG104A</w:t>
            </w:r>
          </w:p>
        </w:tc>
        <w:tc>
          <w:tcPr>
            <w:tcW w:w="432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Comply with environmental policies and procedures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UEGNSG105A</w:t>
            </w:r>
          </w:p>
        </w:tc>
        <w:tc>
          <w:tcPr>
            <w:tcW w:w="432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Establish the work site</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BSBCMN302A</w:t>
            </w:r>
          </w:p>
        </w:tc>
        <w:tc>
          <w:tcPr>
            <w:tcW w:w="432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Organise Personal work priorities and professional development</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BSBFLM312A</w:t>
            </w:r>
          </w:p>
        </w:tc>
        <w:tc>
          <w:tcPr>
            <w:tcW w:w="432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Contribute to team effectiveness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BSBFLM303A</w:t>
            </w:r>
          </w:p>
        </w:tc>
        <w:tc>
          <w:tcPr>
            <w:tcW w:w="4320" w:type="dxa"/>
            <w:gridSpan w:val="2"/>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Contribute to effective workplace relationships</w:t>
            </w:r>
          </w:p>
        </w:tc>
      </w:tr>
      <w:tr w:rsidTr="001F4EE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BSBCMN311A</w:t>
            </w:r>
          </w:p>
        </w:tc>
        <w:tc>
          <w:tcPr>
            <w:tcW w:w="4320" w:type="dxa"/>
            <w:gridSpan w:val="2"/>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Maintain workplace safety</w:t>
            </w:r>
          </w:p>
        </w:tc>
      </w:tr>
    </w:tbl>
    <w:p w:rsidR="00000000" w:rsidRPr="007952CB" w:rsidP="007952CB">
      <w:pPr>
        <w:pStyle w:val="BodyText"/>
      </w:pPr>
    </w:p>
    <w:tbl>
      <w:tblPr>
        <w:tblW w:w="0" w:type="auto"/>
        <w:tblLayout w:type="fixed"/>
        <w:tblCellMar>
          <w:left w:w="62" w:type="dxa"/>
          <w:right w:w="62" w:type="dxa"/>
        </w:tblCellMar>
        <w:tblLook w:val="0000"/>
      </w:tblPr>
      <w:tblGrid>
        <w:gridCol w:w="2160"/>
        <w:gridCol w:w="4737"/>
        <w:gridCol w:w="1563"/>
      </w:tblGrid>
      <w:tr w:rsidTr="001F4EE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7952CB" w:rsidP="007952CB">
            <w:pPr>
              <w:pStyle w:val="BodyText"/>
            </w:pPr>
            <w:r w:rsidRPr="007952C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8</w:t>
            </w:r>
            <w:r w:rsidRPr="007952CB">
              <w:t>.</w:t>
            </w:r>
            <w:r w:rsidRPr="007952CB">
              <w:rPr>
                <w:rStyle w:val="SpecialBold"/>
              </w:rPr>
              <w:t>6</w:t>
            </w:r>
            <w:r w:rsidRPr="007952CB">
              <w:t>)</w:t>
            </w:r>
          </w:p>
          <w:p w:rsidR="00000000" w:rsidP="007952CB">
            <w:pPr>
              <w:pStyle w:val="BodyText"/>
              <w:rPr>
                <w:lang w:val="en-NZ"/>
              </w:rPr>
            </w:pPr>
            <w:r w:rsidRPr="007952CB">
              <w:t>Evidence that particular Key Competencies have been achieved within this Competency Standard Unit is in the context of the following Performance Criteria of evidence. See Volume 2, Part 4 for an explanation of Key Competencies and levels of this Training P</w:t>
            </w:r>
            <w:r w:rsidRPr="007952CB">
              <w:t>ackage.</w:t>
            </w:r>
          </w:p>
        </w:tc>
      </w:tr>
      <w:tr w:rsidTr="001F4EE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rPr>
                <w:rStyle w:val="SpecialBold"/>
              </w:rPr>
              <w:t>Performance Level</w:t>
            </w:r>
          </w:p>
        </w:tc>
      </w:tr>
      <w:tr w:rsidTr="001F4EE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p>
          <w:p w:rsidR="00000000" w:rsidP="007952CB">
            <w:pPr>
              <w:pStyle w:val="BodyText"/>
              <w:rPr>
                <w:lang w:val="en-NZ"/>
              </w:rPr>
            </w:pPr>
            <w:r w:rsidRPr="007952CB">
              <w:t>3</w:t>
            </w:r>
          </w:p>
        </w:tc>
      </w:tr>
      <w:tr w:rsidTr="001F4EE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p>
        </w:tc>
      </w:tr>
      <w:tr w:rsidTr="001F4EE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p>
          <w:p w:rsidR="00000000" w:rsidP="007952CB">
            <w:pPr>
              <w:pStyle w:val="BodyText"/>
              <w:rPr>
                <w:lang w:val="en-NZ"/>
              </w:rPr>
            </w:pPr>
            <w:r w:rsidRPr="007952CB">
              <w:t>2</w:t>
            </w:r>
          </w:p>
        </w:tc>
      </w:tr>
      <w:tr w:rsidTr="001F4EE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p>
        </w:tc>
      </w:tr>
      <w:tr w:rsidTr="001F4EE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w:t>
            </w:r>
            <w:r w:rsidRPr="007952CB">
              <w:t>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p>
          <w:p w:rsidR="00000000" w:rsidP="007952CB">
            <w:pPr>
              <w:pStyle w:val="BodyText"/>
              <w:rPr>
                <w:lang w:val="en-NZ"/>
              </w:rPr>
            </w:pPr>
            <w:r w:rsidRPr="007952CB">
              <w:t>2</w:t>
            </w:r>
          </w:p>
        </w:tc>
      </w:tr>
      <w:tr w:rsidTr="001F4EE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p>
        </w:tc>
      </w:tr>
      <w:tr w:rsidTr="001F4EE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p>
          <w:p w:rsidR="00000000" w:rsidP="007952CB">
            <w:pPr>
              <w:pStyle w:val="BodyText"/>
              <w:rPr>
                <w:lang w:val="en-NZ"/>
              </w:rPr>
            </w:pPr>
            <w:r w:rsidRPr="007952CB">
              <w:t>1</w:t>
            </w:r>
          </w:p>
        </w:tc>
      </w:tr>
      <w:tr w:rsidTr="001F4EE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p>
        </w:tc>
      </w:tr>
      <w:tr w:rsidTr="001F4EE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p>
          <w:p w:rsidR="00000000" w:rsidP="007952CB">
            <w:pPr>
              <w:pStyle w:val="BodyText"/>
              <w:rPr>
                <w:lang w:val="en-NZ"/>
              </w:rPr>
            </w:pPr>
            <w:r w:rsidRPr="007952CB">
              <w:t>N/A</w:t>
            </w:r>
          </w:p>
        </w:tc>
      </w:tr>
      <w:tr w:rsidTr="001F4EE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p>
        </w:tc>
      </w:tr>
      <w:tr w:rsidTr="001F4EE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p>
          <w:p w:rsidR="00000000" w:rsidP="007952CB">
            <w:pPr>
              <w:pStyle w:val="BodyText"/>
              <w:rPr>
                <w:lang w:val="en-NZ"/>
              </w:rPr>
            </w:pPr>
            <w:r w:rsidRPr="007952CB">
              <w:t>2</w:t>
            </w:r>
          </w:p>
        </w:tc>
      </w:tr>
      <w:tr w:rsidTr="001F4EE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p>
        </w:tc>
      </w:tr>
      <w:tr w:rsidTr="001F4EE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p>
          <w:p w:rsidR="00000000" w:rsidP="007952CB">
            <w:pPr>
              <w:pStyle w:val="BodyText"/>
              <w:rPr>
                <w:lang w:val="en-NZ"/>
              </w:rPr>
            </w:pPr>
            <w:r w:rsidRPr="007952CB">
              <w:t>2</w:t>
            </w:r>
          </w:p>
        </w:tc>
      </w:tr>
      <w:tr w:rsidTr="001F4EE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p>
        </w:tc>
      </w:tr>
    </w:tbl>
    <w:p w:rsidR="00000000" w:rsidRPr="007952CB" w:rsidP="007952CB">
      <w:pPr>
        <w:pStyle w:val="BodyText"/>
      </w:pPr>
    </w:p>
    <w:tbl>
      <w:tblPr>
        <w:tblW w:w="0" w:type="auto"/>
        <w:tblLayout w:type="fixed"/>
        <w:tblCellMar>
          <w:left w:w="62" w:type="dxa"/>
          <w:right w:w="62" w:type="dxa"/>
        </w:tblCellMar>
        <w:tblLook w:val="0000"/>
      </w:tblPr>
      <w:tblGrid>
        <w:gridCol w:w="326"/>
        <w:gridCol w:w="1834"/>
        <w:gridCol w:w="6300"/>
      </w:tblGrid>
      <w:tr w:rsidTr="001F4EE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7952CB" w:rsidP="007952CB">
            <w:pPr>
              <w:pStyle w:val="BodyText"/>
            </w:pPr>
            <w:r w:rsidRPr="007952CB">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7952CB" w:rsidP="007952CB">
            <w:pPr>
              <w:pStyle w:val="BodyText"/>
            </w:pPr>
            <w:r w:rsidRPr="007952CB">
              <w:rPr>
                <w:rStyle w:val="SpecialBold"/>
              </w:rPr>
              <w:t>8</w:t>
            </w:r>
            <w:r w:rsidRPr="007952CB">
              <w:t>.</w:t>
            </w:r>
            <w:r w:rsidRPr="007952CB">
              <w:rPr>
                <w:rStyle w:val="SpecialBold"/>
              </w:rPr>
              <w:t>7</w:t>
            </w:r>
            <w:r w:rsidRPr="007952CB">
              <w:t>)</w:t>
            </w:r>
          </w:p>
          <w:p w:rsidR="00000000" w:rsidP="007952CB">
            <w:pPr>
              <w:pStyle w:val="BodyText"/>
              <w:rPr>
                <w:lang w:val="en-NZ"/>
              </w:rPr>
            </w:pPr>
            <w:r w:rsidRPr="007952CB">
              <w:t xml:space="preserve">Evidence that competency in this unit incorporates skills enabling employment is in the context of </w:t>
            </w:r>
            <w:r w:rsidRPr="007952CB">
              <w:t xml:space="preserve">the following performance. See Volume 2, Part 5 for definitions and an explanation of skills enabling employment. </w:t>
            </w:r>
          </w:p>
        </w:tc>
      </w:tr>
      <w:tr w:rsidTr="001F4EE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rPr>
                <w:rStyle w:val="SpecialBold"/>
              </w:rPr>
              <w:t>Example of Application</w:t>
            </w:r>
          </w:p>
        </w:tc>
      </w:tr>
      <w:tr w:rsidTr="001F4E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r>
      <w:tr w:rsidTr="001F4E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All</w:t>
            </w:r>
          </w:p>
        </w:tc>
      </w:tr>
      <w:tr w:rsidTr="001F4E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r>
      <w:tr w:rsidTr="001F4E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2.6; 2.7</w:t>
            </w:r>
          </w:p>
        </w:tc>
      </w:tr>
      <w:tr w:rsidTr="001F4E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r>
      <w:tr w:rsidTr="001F4E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3.4; 3.6</w:t>
            </w:r>
          </w:p>
        </w:tc>
      </w:tr>
      <w:tr w:rsidTr="001F4E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r>
      <w:tr w:rsidTr="001F4E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1.4; 1.9; 3.6</w:t>
            </w:r>
          </w:p>
        </w:tc>
      </w:tr>
      <w:tr w:rsidTr="001F4E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Refer to the following Performance Criteria for examples of application:</w:t>
            </w:r>
          </w:p>
        </w:tc>
      </w:tr>
      <w:tr w:rsidTr="001F4E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1.4; 1.5; 1.7; 1.9</w:t>
            </w:r>
          </w:p>
        </w:tc>
      </w:tr>
      <w:tr w:rsidTr="001F4EE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CB">
            <w:pPr>
              <w:pStyle w:val="BodyText"/>
              <w:rPr>
                <w:lang w:val="en-NZ"/>
              </w:rPr>
            </w:pPr>
            <w:r w:rsidRPr="007952CB">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52CB">
            <w:pPr>
              <w:pStyle w:val="BodyText"/>
              <w:rPr>
                <w:lang w:val="en-NZ"/>
              </w:rPr>
            </w:pPr>
            <w:r w:rsidRPr="007952CB">
              <w:t xml:space="preserve">Refer to the following Performance Criteria </w:t>
            </w:r>
            <w:r w:rsidRPr="007952CB">
              <w:t>for examples of application:</w:t>
            </w:r>
          </w:p>
        </w:tc>
      </w:tr>
      <w:tr w:rsidTr="001F4EE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952CB" w:rsidP="007952CB">
            <w:pPr>
              <w:pStyle w:val="BodyText"/>
            </w:pPr>
            <w:r w:rsidRPr="007952CB">
              <w:t>2.6</w:t>
            </w:r>
          </w:p>
        </w:tc>
      </w:tr>
    </w:tbl>
    <w:p w:rsidR="001F4EE2" w:rsidP="007952CB">
      <w:pPr>
        <w:pStyle w:val="BodyText"/>
      </w:pPr>
    </w:p>
    <w:p w:rsidR="001F4EE2" w:rsidP="007952CB">
      <w:pPr>
        <w:pStyle w:val="BodyText"/>
      </w:pPr>
    </w:p>
    <w:p w:rsidR="00000000" w:rsidRPr="007952CB" w:rsidP="007952CB">
      <w:pPr>
        <w:pStyle w:val="Heading1"/>
      </w:pPr>
      <w:bookmarkStart w:id="11" w:name="O_255793"/>
      <w:bookmarkEnd w:id="11"/>
      <w:r w:rsidRPr="007952CB">
        <w:t>Range Statement</w:t>
      </w:r>
    </w:p>
    <w:tbl>
      <w:tblPr>
        <w:tblW w:w="0" w:type="auto"/>
        <w:tblLayout w:type="fixed"/>
        <w:tblCellMar>
          <w:left w:w="62" w:type="dxa"/>
          <w:right w:w="62" w:type="dxa"/>
        </w:tblCellMar>
        <w:tblLook w:val="0000"/>
      </w:tblPr>
      <w:tblGrid>
        <w:gridCol w:w="8460"/>
      </w:tblGrid>
      <w:tr w:rsidTr="001F4EE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RANGE STATEMENT</w:t>
            </w:r>
          </w:p>
        </w:tc>
      </w:tr>
      <w:tr w:rsidTr="001F4EE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7</w:t>
            </w:r>
            <w:r w:rsidRPr="007952CB">
              <w:t>) This relates to the competency standard unit as a whole providing the range of contexts and conditions to which the Performance Criteria apply. It a</w:t>
            </w:r>
            <w:r w:rsidRPr="007952CB">
              <w:t>llows for different work environments and situations that will affect performance.</w:t>
            </w:r>
          </w:p>
        </w:tc>
      </w:tr>
      <w:tr w:rsidTr="001F4EE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This Competency Standard Unit shall/may be demonstrated in relation to coordinating gas transmission pipeline repair and modifications.</w:t>
            </w:r>
          </w:p>
          <w:p w:rsidR="00000000" w:rsidRPr="007952CB" w:rsidP="007952CB">
            <w:pPr>
              <w:pStyle w:val="BodyText"/>
            </w:pPr>
            <w:r w:rsidRPr="007952CB">
              <w:t>The following constants and variable</w:t>
            </w:r>
            <w:r w:rsidRPr="007952CB">
              <w:t>s included in the element/Performance Criteria in this unit are fully described in the Definitions Section of this volume and form an integral part of the Range Statement of this unit:</w:t>
            </w:r>
          </w:p>
          <w:p w:rsidR="00000000" w:rsidRPr="007952CB" w:rsidP="007952CB">
            <w:pPr>
              <w:pStyle w:val="BodyText"/>
            </w:pPr>
            <w:r w:rsidRPr="007952CB">
              <w:t>Inspection and testing techniques (3)</w:t>
            </w:r>
          </w:p>
          <w:p w:rsidR="00000000" w:rsidRPr="007952CB" w:rsidP="007952CB">
            <w:pPr>
              <w:pStyle w:val="BodyText"/>
            </w:pPr>
            <w:r w:rsidRPr="007952CB">
              <w:t>Leaks (3)</w:t>
            </w:r>
          </w:p>
          <w:p w:rsidR="00000000" w:rsidRPr="007952CB" w:rsidP="007952CB">
            <w:pPr>
              <w:pStyle w:val="BodyText"/>
            </w:pPr>
            <w:r w:rsidRPr="007952CB">
              <w:t xml:space="preserve">Repair and maintenance </w:t>
            </w:r>
            <w:r w:rsidRPr="007952CB">
              <w:t>equipment (3)</w:t>
            </w:r>
          </w:p>
          <w:p w:rsidR="00000000" w:rsidRPr="007952CB" w:rsidP="007952CB">
            <w:pPr>
              <w:pStyle w:val="BodyText"/>
            </w:pPr>
            <w:r w:rsidRPr="007952CB">
              <w:t>Repair/modification techniques (3)</w:t>
            </w:r>
          </w:p>
          <w:p w:rsidR="00000000" w:rsidRPr="007952CB" w:rsidP="007952CB">
            <w:pPr>
              <w:pStyle w:val="BodyText"/>
            </w:pPr>
            <w:r w:rsidRPr="007952CB">
              <w:t>Documentation/records (3)</w:t>
            </w:r>
          </w:p>
          <w:p w:rsidR="00000000" w:rsidRPr="007952CB" w:rsidP="007952CB">
            <w:pPr>
              <w:pStyle w:val="BodyText"/>
            </w:pPr>
            <w:r w:rsidRPr="007952CB">
              <w:t>Tools, materials and equipment</w:t>
            </w:r>
          </w:p>
          <w:p w:rsidR="00000000" w:rsidRPr="007952CB" w:rsidP="007952CB">
            <w:pPr>
              <w:pStyle w:val="BodyText"/>
            </w:pPr>
            <w:r w:rsidRPr="007952CB">
              <w:t>Pipeline systems</w:t>
            </w:r>
          </w:p>
          <w:p w:rsidR="00000000" w:rsidRPr="007952CB" w:rsidP="007952CB">
            <w:pPr>
              <w:pStyle w:val="BodyText"/>
            </w:pPr>
            <w:r w:rsidRPr="007952CB">
              <w:t>Pipeline control systems</w:t>
            </w:r>
          </w:p>
          <w:p w:rsidR="00000000" w:rsidRPr="007952CB" w:rsidP="007952CB">
            <w:pPr>
              <w:pStyle w:val="BodyText"/>
            </w:pPr>
            <w:r w:rsidRPr="007952CB">
              <w:t>Appropriate authorities</w:t>
            </w:r>
          </w:p>
          <w:p w:rsidR="00000000" w:rsidRPr="007952CB" w:rsidP="007952CB">
            <w:pPr>
              <w:pStyle w:val="BodyText"/>
            </w:pPr>
            <w:r w:rsidRPr="007952CB">
              <w:t>Appropriate person</w:t>
            </w:r>
          </w:p>
        </w:tc>
      </w:tr>
    </w:tbl>
    <w:p w:rsidR="001F4EE2" w:rsidP="007952CB">
      <w:pPr>
        <w:pStyle w:val="BodyText"/>
      </w:pPr>
    </w:p>
    <w:p w:rsidR="001F4EE2" w:rsidP="007952CB">
      <w:pPr>
        <w:pStyle w:val="BodyText"/>
      </w:pPr>
    </w:p>
    <w:p w:rsidR="00000000" w:rsidRPr="007952CB" w:rsidP="007952CB">
      <w:pPr>
        <w:pStyle w:val="Heading1"/>
      </w:pPr>
      <w:bookmarkStart w:id="12" w:name="O_296806"/>
      <w:bookmarkEnd w:id="12"/>
      <w:r w:rsidRPr="007952CB">
        <w:t>Unit Sector(s)</w:t>
      </w:r>
    </w:p>
    <w:p w:rsidR="00000000" w:rsidRPr="007952CB" w:rsidP="007952CB">
      <w:pPr>
        <w:pStyle w:val="BodyText"/>
      </w:pPr>
      <w:r w:rsidRPr="007952CB">
        <w:t>Not Applicable</w:t>
      </w:r>
    </w:p>
    <w:p w:rsidR="00000000" w:rsidRPr="007952CB" w:rsidP="007952CB">
      <w:pPr>
        <w:pStyle w:val="AllowPageBreak"/>
      </w:pPr>
    </w:p>
    <w:p w:rsidR="00000000" w:rsidRPr="007952CB" w:rsidP="007952CB">
      <w:pPr>
        <w:pStyle w:val="Heading1"/>
      </w:pPr>
      <w:bookmarkStart w:id="13" w:name="O_229496"/>
      <w:bookmarkEnd w:id="13"/>
      <w:r w:rsidRPr="007952C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F4E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2</w:t>
            </w:r>
            <w:r w:rsidRPr="007952CB">
              <w:t>.</w:t>
            </w:r>
            <w:r w:rsidRPr="007952CB">
              <w:rPr>
                <w:rStyle w:val="SpecialBold"/>
              </w:rPr>
              <w:t>2</w:t>
            </w:r>
            <w:r w:rsidRPr="007952CB">
              <w:t xml:space="preserve">) </w:t>
            </w:r>
          </w:p>
          <w:p w:rsidR="00000000" w:rsidP="007952CB">
            <w:pPr>
              <w:pStyle w:val="BodyText"/>
              <w:rPr>
                <w:lang w:val="en-NZ"/>
              </w:rPr>
            </w:pPr>
            <w:r w:rsidRPr="007952CB">
              <w:t>Participants are best equipped to achieve this unit if they have reading, writing and numeracy skills indicated by the following scales. Description of each scale is given in Volume 2,</w:t>
            </w:r>
            <w:r w:rsidRPr="007952CB">
              <w:t xml:space="preserve"> Part 3 'Literacy and Numeracy'</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Reading</w:t>
            </w:r>
          </w:p>
        </w:tc>
        <w:tc>
          <w:tcPr>
            <w:tcW w:w="805"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3</w:t>
            </w:r>
          </w:p>
        </w:tc>
        <w:tc>
          <w:tcPr>
            <w:tcW w:w="1184"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Writing</w:t>
            </w:r>
          </w:p>
        </w:tc>
        <w:tc>
          <w:tcPr>
            <w:tcW w:w="805"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3</w:t>
            </w:r>
          </w:p>
        </w:tc>
        <w:tc>
          <w:tcPr>
            <w:tcW w:w="1172"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t>Numeracy</w:t>
            </w:r>
          </w:p>
        </w:tc>
        <w:tc>
          <w:tcPr>
            <w:tcW w:w="805"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3</w:t>
            </w:r>
          </w:p>
        </w:tc>
      </w:tr>
    </w:tbl>
    <w:p w:rsidR="001F4EE2" w:rsidP="007952CB">
      <w:pPr>
        <w:pStyle w:val="BodyText"/>
      </w:pPr>
    </w:p>
    <w:p w:rsidR="001F4EE2" w:rsidP="007952CB">
      <w:pPr>
        <w:pStyle w:val="BodyText"/>
      </w:pPr>
    </w:p>
    <w:p w:rsidR="00000000" w:rsidRPr="007952CB" w:rsidP="007952CB">
      <w:pPr>
        <w:pStyle w:val="Heading1"/>
      </w:pPr>
      <w:bookmarkStart w:id="14" w:name="O_229499"/>
      <w:bookmarkEnd w:id="14"/>
      <w:r w:rsidRPr="007952CB">
        <w:t>Competency Field</w:t>
      </w:r>
    </w:p>
    <w:tbl>
      <w:tblPr>
        <w:tblW w:w="0" w:type="auto"/>
        <w:tblLayout w:type="fixed"/>
        <w:tblCellMar>
          <w:left w:w="62" w:type="dxa"/>
          <w:right w:w="62" w:type="dxa"/>
        </w:tblCellMar>
        <w:tblLook w:val="0000"/>
      </w:tblPr>
      <w:tblGrid>
        <w:gridCol w:w="2700"/>
        <w:gridCol w:w="5760"/>
      </w:tblGrid>
      <w:tr w:rsidTr="001F4EE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952CB">
            <w:pPr>
              <w:pStyle w:val="BodyText"/>
              <w:rPr>
                <w:lang w:val="en-NZ"/>
              </w:rPr>
            </w:pPr>
            <w:r w:rsidRPr="007952CB">
              <w:rPr>
                <w:rStyle w:val="SpecialBold"/>
              </w:rPr>
              <w:t>4</w:t>
            </w:r>
            <w:r w:rsidRPr="007952CB">
              <w:t xml:space="preserve">) </w:t>
            </w:r>
          </w:p>
        </w:tc>
      </w:tr>
      <w:tr w:rsidTr="001F4EE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952CB" w:rsidP="007952CB">
            <w:pPr>
              <w:pStyle w:val="BodyText"/>
            </w:pPr>
            <w:r w:rsidRPr="007952CB">
              <w:t>Transmission.</w:t>
            </w:r>
          </w:p>
        </w:tc>
      </w:tr>
    </w:tbl>
    <w:p w:rsidR="001F4EE2" w:rsidP="007952CB">
      <w:pPr>
        <w:pStyle w:val="BodyText"/>
      </w:pPr>
    </w:p>
    <w:p w:rsidR="001F4EE2" w:rsidP="007952CB">
      <w:pPr>
        <w:pStyle w:val="BodyText"/>
      </w:pPr>
    </w:p>
    <w:p w:rsidR="00000000" w:rsidRPr="007952CB" w:rsidP="007952CB"/>
    <w:sectPr w:rsidSect="007952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EE2" w:rsidP="001F4E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E2" w:rsidP="007952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1F4EE2" w:rsidP="007952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4EE2" w:rsidP="007952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CB" w:rsidRPr="001F4EE2" w:rsidP="001F4E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EE2" w:rsidRPr="002D2AF8" w:rsidP="007952CB">
    <w:pPr>
      <w:pStyle w:val="Header"/>
      <w:framePr w:wrap="around"/>
    </w:pPr>
    <w:r>
      <w:fldChar w:fldCharType="begin"/>
    </w:r>
    <w:r>
      <w:instrText xml:space="preserve"> TITLE   \* MERGEFORMAT </w:instrText>
    </w:r>
    <w:r>
      <w:fldChar w:fldCharType="separate"/>
    </w:r>
    <w:r>
      <w:t>UEGNSG305A Coordinate gas transmission pipeline repair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F4EE2" w:rsidP="007952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CAD9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04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7A8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2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2CB"/>
    <w:pPr>
      <w:spacing w:before="360" w:after="60"/>
      <w:outlineLvl w:val="0"/>
    </w:pPr>
    <w:rPr>
      <w:sz w:val="32"/>
    </w:rPr>
  </w:style>
  <w:style w:type="paragraph" w:styleId="Heading2">
    <w:name w:val="heading 2"/>
    <w:basedOn w:val="HeadingBase"/>
    <w:next w:val="BodyText"/>
    <w:link w:val="Heading2Char"/>
    <w:qFormat/>
    <w:rsid w:val="007952CB"/>
    <w:pPr>
      <w:keepLines/>
      <w:spacing w:before="240" w:after="120"/>
      <w:outlineLvl w:val="1"/>
    </w:pPr>
    <w:rPr>
      <w:sz w:val="28"/>
      <w:szCs w:val="40"/>
    </w:rPr>
  </w:style>
  <w:style w:type="paragraph" w:styleId="Heading3">
    <w:name w:val="heading 3"/>
    <w:basedOn w:val="HeadingBase"/>
    <w:next w:val="BodyText"/>
    <w:link w:val="Heading3Char"/>
    <w:qFormat/>
    <w:rsid w:val="007952CB"/>
    <w:pPr>
      <w:spacing w:before="180" w:after="120"/>
      <w:outlineLvl w:val="2"/>
    </w:pPr>
    <w:rPr>
      <w:spacing w:val="-10"/>
      <w:kern w:val="32"/>
    </w:rPr>
  </w:style>
  <w:style w:type="paragraph" w:styleId="Heading4">
    <w:name w:val="heading 4"/>
    <w:basedOn w:val="HeadingBase"/>
    <w:next w:val="BodyText"/>
    <w:link w:val="Heading4Char"/>
    <w:qFormat/>
    <w:rsid w:val="007952CB"/>
    <w:pPr>
      <w:spacing w:before="160" w:after="120"/>
      <w:outlineLvl w:val="3"/>
    </w:pPr>
    <w:rPr>
      <w:sz w:val="22"/>
    </w:rPr>
  </w:style>
  <w:style w:type="paragraph" w:styleId="Heading5">
    <w:name w:val="heading 5"/>
    <w:basedOn w:val="HeadingBase"/>
    <w:next w:val="Normal"/>
    <w:link w:val="Heading5Char"/>
    <w:qFormat/>
    <w:rsid w:val="007952CB"/>
    <w:pPr>
      <w:spacing w:before="80"/>
      <w:outlineLvl w:val="4"/>
    </w:pPr>
    <w:rPr>
      <w:color w:val="918585"/>
      <w:sz w:val="20"/>
    </w:rPr>
  </w:style>
  <w:style w:type="paragraph" w:styleId="Heading6">
    <w:name w:val="heading 6"/>
    <w:basedOn w:val="HeadingBase"/>
    <w:next w:val="Normal"/>
    <w:link w:val="Heading6Char"/>
    <w:qFormat/>
    <w:rsid w:val="007952CB"/>
    <w:pPr>
      <w:spacing w:before="60"/>
      <w:outlineLvl w:val="5"/>
    </w:pPr>
    <w:rPr>
      <w:color w:val="918585"/>
      <w:sz w:val="20"/>
    </w:rPr>
  </w:style>
  <w:style w:type="paragraph" w:styleId="Heading7">
    <w:name w:val="heading 7"/>
    <w:basedOn w:val="Normal"/>
    <w:next w:val="Normal"/>
    <w:link w:val="Heading7Char"/>
    <w:qFormat/>
    <w:rsid w:val="007952CB"/>
    <w:pPr>
      <w:ind w:left="720"/>
      <w:outlineLvl w:val="6"/>
    </w:pPr>
    <w:rPr>
      <w:i/>
    </w:rPr>
  </w:style>
  <w:style w:type="paragraph" w:styleId="Heading8">
    <w:name w:val="heading 8"/>
    <w:basedOn w:val="Normal"/>
    <w:next w:val="Normal"/>
    <w:link w:val="Heading8Char"/>
    <w:qFormat/>
    <w:rsid w:val="007952CB"/>
    <w:pPr>
      <w:ind w:left="720"/>
      <w:outlineLvl w:val="7"/>
    </w:pPr>
    <w:rPr>
      <w:i/>
    </w:rPr>
  </w:style>
  <w:style w:type="paragraph" w:styleId="Heading9">
    <w:name w:val="heading 9"/>
    <w:basedOn w:val="Normal"/>
    <w:next w:val="Normal"/>
    <w:link w:val="Heading9Char"/>
    <w:qFormat/>
    <w:rsid w:val="007952CB"/>
    <w:pPr>
      <w:ind w:left="720"/>
      <w:outlineLvl w:val="8"/>
    </w:pPr>
    <w:rPr>
      <w:i/>
    </w:rPr>
  </w:style>
  <w:style w:type="character" w:default="1" w:styleId="DefaultParagraphFont">
    <w:name w:val="Default Paragraph Font"/>
    <w:uiPriority w:val="1"/>
    <w:unhideWhenUsed/>
    <w:rsid w:val="00795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2CB"/>
  </w:style>
  <w:style w:type="character" w:customStyle="1" w:styleId="Heading1Char">
    <w:name w:val="Heading 1 Char"/>
    <w:basedOn w:val="DefaultParagraphFont"/>
    <w:link w:val="Heading1"/>
    <w:rsid w:val="007952CB"/>
    <w:rPr>
      <w:rFonts w:ascii="Times New Roman" w:eastAsia="Times New Roman" w:hAnsi="Times New Roman" w:cs="Times New Roman"/>
      <w:b/>
      <w:sz w:val="32"/>
      <w:szCs w:val="20"/>
      <w:lang w:eastAsia="en-US"/>
    </w:rPr>
  </w:style>
  <w:style w:type="paragraph" w:styleId="BodyText">
    <w:name w:val="Body Text"/>
    <w:basedOn w:val="Normal"/>
    <w:link w:val="BodyTextChar"/>
    <w:rsid w:val="007952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2CB"/>
    <w:rPr>
      <w:rFonts w:ascii="Times New Roman" w:eastAsia="Times New Roman" w:hAnsi="Times New Roman" w:cs="Times New Roman"/>
      <w:sz w:val="24"/>
      <w:lang w:eastAsia="en-US"/>
    </w:rPr>
  </w:style>
  <w:style w:type="paragraph" w:styleId="Footer">
    <w:name w:val="footer"/>
    <w:basedOn w:val="Normal"/>
    <w:link w:val="FooterChar"/>
    <w:rsid w:val="00795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2CB"/>
    <w:rPr>
      <w:rFonts w:ascii="Times New Roman" w:eastAsia="Times New Roman" w:hAnsi="Times New Roman" w:cs="Times New Roman"/>
      <w:sz w:val="16"/>
      <w:lang w:eastAsia="en-US"/>
    </w:rPr>
  </w:style>
  <w:style w:type="paragraph" w:styleId="ListBullet">
    <w:name w:val="List Bullet"/>
    <w:basedOn w:val="List"/>
    <w:rsid w:val="007952CB"/>
    <w:pPr>
      <w:numPr>
        <w:numId w:val="13"/>
      </w:numPr>
      <w:tabs>
        <w:tab w:val="clear" w:pos="340"/>
      </w:tabs>
      <w:spacing w:before="40" w:after="40"/>
    </w:pPr>
  </w:style>
  <w:style w:type="character" w:customStyle="1" w:styleId="SpecialBold">
    <w:name w:val="Special Bold"/>
    <w:basedOn w:val="DefaultParagraphFont"/>
    <w:rsid w:val="007952CB"/>
    <w:rPr>
      <w:b/>
      <w:spacing w:val="0"/>
    </w:rPr>
  </w:style>
  <w:style w:type="paragraph" w:styleId="ListBullet2">
    <w:name w:val="List Bullet 2"/>
    <w:basedOn w:val="List2"/>
    <w:rsid w:val="007952CB"/>
    <w:pPr>
      <w:numPr>
        <w:numId w:val="14"/>
      </w:numPr>
      <w:tabs>
        <w:tab w:val="clear" w:pos="680"/>
      </w:tabs>
    </w:pPr>
  </w:style>
  <w:style w:type="paragraph" w:customStyle="1" w:styleId="SuperHeading">
    <w:name w:val="SuperHeading"/>
    <w:basedOn w:val="Normal"/>
    <w:rsid w:val="007952CB"/>
    <w:pPr>
      <w:spacing w:before="240" w:after="120"/>
      <w:outlineLvl w:val="0"/>
    </w:pPr>
    <w:rPr>
      <w:rFonts w:ascii="Times New Roman" w:hAnsi="Times New Roman"/>
      <w:b/>
      <w:sz w:val="28"/>
    </w:rPr>
  </w:style>
  <w:style w:type="paragraph" w:customStyle="1" w:styleId="AllowPageBreak">
    <w:name w:val="AllowPageBreak"/>
    <w:rsid w:val="007952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2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2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2CB"/>
    <w:rPr>
      <w:rFonts w:ascii="Courier New" w:eastAsia="Times New Roman" w:hAnsi="Courier New" w:cs="Times New Roman"/>
      <w:i/>
      <w:szCs w:val="20"/>
      <w:lang w:eastAsia="en-US"/>
    </w:rPr>
  </w:style>
  <w:style w:type="paragraph" w:customStyle="1" w:styleId="HeadingBase">
    <w:name w:val="Heading Base"/>
    <w:rsid w:val="00795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2CB"/>
    <w:pPr>
      <w:tabs>
        <w:tab w:val="right" w:leader="dot" w:pos="9072"/>
      </w:tabs>
      <w:ind w:left="567"/>
    </w:pPr>
    <w:rPr>
      <w:szCs w:val="22"/>
    </w:rPr>
  </w:style>
  <w:style w:type="paragraph" w:customStyle="1" w:styleId="TOCBase">
    <w:name w:val="TOC Base"/>
    <w:rsid w:val="00795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2CB"/>
    <w:pPr>
      <w:tabs>
        <w:tab w:val="right" w:leader="dot" w:pos="9072"/>
      </w:tabs>
      <w:spacing w:before="40" w:after="40"/>
      <w:ind w:left="284"/>
    </w:pPr>
    <w:rPr>
      <w:rFonts w:ascii="Times New Roman" w:hAnsi="Times New Roman"/>
    </w:rPr>
  </w:style>
  <w:style w:type="paragraph" w:styleId="TOC1">
    <w:name w:val="toc 1"/>
    <w:basedOn w:val="TOCBase"/>
    <w:next w:val="Normal"/>
    <w:rsid w:val="007952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2CB"/>
    <w:pPr>
      <w:spacing w:before="5040"/>
      <w:jc w:val="center"/>
    </w:pPr>
    <w:rPr>
      <w:sz w:val="48"/>
      <w:szCs w:val="72"/>
      <w:lang w:val="en-US"/>
    </w:rPr>
  </w:style>
  <w:style w:type="character" w:customStyle="1" w:styleId="TitleChar">
    <w:name w:val="Title Char"/>
    <w:basedOn w:val="DefaultParagraphFont"/>
    <w:link w:val="Title"/>
    <w:rsid w:val="00795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2CB"/>
    <w:pPr>
      <w:tabs>
        <w:tab w:val="left" w:pos="3600"/>
        <w:tab w:val="left" w:pos="3958"/>
      </w:tabs>
    </w:pPr>
  </w:style>
  <w:style w:type="paragraph" w:styleId="List">
    <w:name w:val="List"/>
    <w:basedOn w:val="BodyText"/>
    <w:next w:val="BodyText"/>
    <w:rsid w:val="007952CB"/>
    <w:pPr>
      <w:tabs>
        <w:tab w:val="left" w:pos="340"/>
      </w:tabs>
      <w:spacing w:before="60" w:after="60"/>
      <w:ind w:left="340" w:hanging="340"/>
    </w:pPr>
  </w:style>
  <w:style w:type="paragraph" w:customStyle="1" w:styleId="Note">
    <w:name w:val="Note"/>
    <w:basedOn w:val="BodyText"/>
    <w:rsid w:val="00795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2CB"/>
    <w:pPr>
      <w:framePr w:wrap="auto" w:hAnchor="text" w:y="6049"/>
    </w:pPr>
    <w:rPr>
      <w:color w:val="000000"/>
      <w:sz w:val="40"/>
    </w:rPr>
  </w:style>
  <w:style w:type="paragraph" w:customStyle="1" w:styleId="TOCTitle">
    <w:name w:val="TOCTitle"/>
    <w:basedOn w:val="Heading1"/>
    <w:rsid w:val="007952CB"/>
    <w:pPr>
      <w:spacing w:after="240"/>
      <w:jc w:val="center"/>
      <w:outlineLvl w:val="9"/>
    </w:pPr>
    <w:rPr>
      <w:caps/>
    </w:rPr>
  </w:style>
  <w:style w:type="paragraph" w:customStyle="1" w:styleId="Version">
    <w:name w:val="Version"/>
    <w:rsid w:val="00795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2CB"/>
    <w:pPr>
      <w:keepNext w:val="0"/>
      <w:tabs>
        <w:tab w:val="right" w:pos="4176"/>
      </w:tabs>
      <w:ind w:left="198" w:hanging="198"/>
    </w:pPr>
    <w:rPr>
      <w:rFonts w:ascii="Garamond" w:hAnsi="Garamond"/>
    </w:rPr>
  </w:style>
  <w:style w:type="paragraph" w:styleId="IndexHeading">
    <w:name w:val="index heading"/>
    <w:basedOn w:val="Normal"/>
    <w:next w:val="Index1"/>
    <w:semiHidden/>
    <w:rsid w:val="007952CB"/>
    <w:pPr>
      <w:spacing w:before="120" w:after="120"/>
    </w:pPr>
    <w:rPr>
      <w:rFonts w:ascii="Arial" w:hAnsi="Arial"/>
      <w:b/>
      <w:color w:val="918585"/>
      <w:sz w:val="24"/>
    </w:rPr>
  </w:style>
  <w:style w:type="paragraph" w:styleId="Header">
    <w:name w:val="header"/>
    <w:basedOn w:val="Normal"/>
    <w:link w:val="HeaderChar"/>
    <w:rsid w:val="00795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2CB"/>
    <w:rPr>
      <w:rFonts w:ascii="Times New Roman" w:eastAsia="Times New Roman" w:hAnsi="Times New Roman" w:cs="Times New Roman"/>
      <w:sz w:val="16"/>
      <w:szCs w:val="20"/>
      <w:lang w:val="en-GB" w:eastAsia="en-US"/>
    </w:rPr>
  </w:style>
  <w:style w:type="paragraph" w:customStyle="1" w:styleId="Chapter">
    <w:name w:val="Chapter"/>
    <w:basedOn w:val="Normal"/>
    <w:rsid w:val="007952CB"/>
    <w:pPr>
      <w:spacing w:before="240"/>
    </w:pPr>
    <w:rPr>
      <w:rFonts w:ascii="Times New Roman" w:hAnsi="Times New Roman"/>
      <w:smallCaps/>
      <w:spacing w:val="80"/>
      <w:sz w:val="28"/>
    </w:rPr>
  </w:style>
  <w:style w:type="paragraph" w:customStyle="1" w:styleId="InChapter">
    <w:name w:val="InChapter"/>
    <w:basedOn w:val="Heading3"/>
    <w:rsid w:val="007952CB"/>
    <w:pPr>
      <w:spacing w:after="240"/>
      <w:outlineLvl w:val="9"/>
    </w:pPr>
    <w:rPr>
      <w:noProof/>
    </w:rPr>
  </w:style>
  <w:style w:type="paragraph" w:styleId="Index2">
    <w:name w:val="index 2"/>
    <w:basedOn w:val="Normal"/>
    <w:next w:val="Normal"/>
    <w:semiHidden/>
    <w:rsid w:val="007952CB"/>
    <w:pPr>
      <w:tabs>
        <w:tab w:val="right" w:pos="4176"/>
      </w:tabs>
      <w:ind w:left="568" w:hanging="284"/>
    </w:pPr>
    <w:rPr>
      <w:rFonts w:ascii="Garamond" w:hAnsi="Garamond"/>
    </w:rPr>
  </w:style>
  <w:style w:type="paragraph" w:customStyle="1" w:styleId="Byline">
    <w:name w:val="Byline"/>
    <w:rsid w:val="00795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2CB"/>
    <w:pPr>
      <w:tabs>
        <w:tab w:val="clear" w:pos="3600"/>
        <w:tab w:val="clear" w:pos="3958"/>
      </w:tabs>
      <w:jc w:val="right"/>
    </w:pPr>
  </w:style>
  <w:style w:type="character" w:styleId="Emphasis">
    <w:name w:val="Emphasis"/>
    <w:basedOn w:val="DefaultParagraphFont"/>
    <w:qFormat/>
    <w:rsid w:val="007952CB"/>
    <w:rPr>
      <w:i/>
    </w:rPr>
  </w:style>
  <w:style w:type="paragraph" w:styleId="Caption">
    <w:name w:val="caption"/>
    <w:basedOn w:val="BodyText"/>
    <w:next w:val="Normal"/>
    <w:qFormat/>
    <w:rsid w:val="007952CB"/>
    <w:pPr>
      <w:framePr w:w="2268" w:hSpace="181" w:vSpace="181" w:wrap="around" w:vAnchor="text" w:hAnchor="page" w:x="1135" w:y="285" w:anchorLock="1"/>
    </w:pPr>
    <w:rPr>
      <w:i/>
    </w:rPr>
  </w:style>
  <w:style w:type="paragraph" w:customStyle="1" w:styleId="MiniTOCTitle">
    <w:name w:val="MiniTOCTitle"/>
    <w:basedOn w:val="Heading4"/>
    <w:rsid w:val="007952CB"/>
    <w:pPr>
      <w:spacing w:before="240"/>
      <w:outlineLvl w:val="9"/>
    </w:pPr>
    <w:rPr>
      <w:noProof/>
      <w:sz w:val="24"/>
    </w:rPr>
  </w:style>
  <w:style w:type="paragraph" w:customStyle="1" w:styleId="MiniTOCItem">
    <w:name w:val="MiniTOCItem"/>
    <w:basedOn w:val="ListBullet"/>
    <w:rsid w:val="007952CB"/>
    <w:pPr>
      <w:numPr>
        <w:numId w:val="0"/>
      </w:numPr>
      <w:tabs>
        <w:tab w:val="right" w:leader="dot" w:pos="6521"/>
      </w:tabs>
      <w:spacing w:before="0" w:after="0"/>
    </w:pPr>
  </w:style>
  <w:style w:type="paragraph" w:customStyle="1" w:styleId="TOFTitle">
    <w:name w:val="TOFTitle"/>
    <w:basedOn w:val="TOCTitle"/>
    <w:rsid w:val="007952CB"/>
  </w:style>
  <w:style w:type="paragraph" w:styleId="TableofFigures">
    <w:name w:val="table of figures"/>
    <w:basedOn w:val="Normal"/>
    <w:next w:val="Normal"/>
    <w:semiHidden/>
    <w:rsid w:val="007952CB"/>
    <w:pPr>
      <w:tabs>
        <w:tab w:val="right" w:leader="dot" w:pos="9072"/>
      </w:tabs>
      <w:ind w:left="970" w:hanging="403"/>
    </w:pPr>
    <w:rPr>
      <w:rFonts w:ascii="Times New Roman" w:hAnsi="Times New Roman"/>
      <w:b/>
    </w:rPr>
  </w:style>
  <w:style w:type="paragraph" w:styleId="ListNumber">
    <w:name w:val="List Number"/>
    <w:basedOn w:val="List"/>
    <w:rsid w:val="007952CB"/>
    <w:pPr>
      <w:numPr>
        <w:numId w:val="11"/>
      </w:numPr>
    </w:pPr>
  </w:style>
  <w:style w:type="character" w:customStyle="1" w:styleId="WingdingSymbols">
    <w:name w:val="Wingding Symbols"/>
    <w:rsid w:val="007952CB"/>
    <w:rPr>
      <w:rFonts w:ascii="Wingdings" w:hAnsi="Wingdings"/>
    </w:rPr>
  </w:style>
  <w:style w:type="paragraph" w:customStyle="1" w:styleId="TableHeading">
    <w:name w:val="Table Heading"/>
    <w:basedOn w:val="HeadingBase"/>
    <w:rsid w:val="007952CB"/>
    <w:pPr>
      <w:keepLines/>
      <w:pBdr>
        <w:bottom w:val="single" w:sz="6" w:space="1" w:color="918585"/>
      </w:pBdr>
      <w:spacing w:before="240"/>
    </w:pPr>
  </w:style>
  <w:style w:type="character" w:customStyle="1" w:styleId="HotSpot">
    <w:name w:val="HotSpot"/>
    <w:rsid w:val="007952CB"/>
    <w:rPr>
      <w:color w:val="0033CC"/>
      <w:u w:val="none"/>
    </w:rPr>
  </w:style>
  <w:style w:type="paragraph" w:customStyle="1" w:styleId="BodyTextRight">
    <w:name w:val="Body Text Right"/>
    <w:basedOn w:val="BodyText"/>
    <w:rsid w:val="007952CB"/>
    <w:pPr>
      <w:spacing w:before="0" w:after="0"/>
      <w:jc w:val="right"/>
    </w:pPr>
  </w:style>
  <w:style w:type="paragraph" w:styleId="Index3">
    <w:name w:val="index 3"/>
    <w:basedOn w:val="ListNumber2"/>
    <w:next w:val="Normal"/>
    <w:semiHidden/>
    <w:rsid w:val="007952CB"/>
    <w:pPr>
      <w:numPr>
        <w:numId w:val="0"/>
      </w:numPr>
      <w:tabs>
        <w:tab w:val="right" w:leader="dot" w:pos="4176"/>
      </w:tabs>
    </w:pPr>
  </w:style>
  <w:style w:type="paragraph" w:styleId="ListNumber2">
    <w:name w:val="List Number 2"/>
    <w:basedOn w:val="List2"/>
    <w:rsid w:val="007952CB"/>
    <w:pPr>
      <w:numPr>
        <w:numId w:val="10"/>
      </w:numPr>
      <w:tabs>
        <w:tab w:val="clear" w:pos="1060"/>
      </w:tabs>
    </w:pPr>
  </w:style>
  <w:style w:type="paragraph" w:customStyle="1" w:styleId="MarginNote">
    <w:name w:val="Margin Note"/>
    <w:basedOn w:val="BodyText"/>
    <w:rsid w:val="00795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2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2CB"/>
    <w:rPr>
      <w:sz w:val="32"/>
    </w:rPr>
  </w:style>
  <w:style w:type="paragraph" w:customStyle="1" w:styleId="HeadingProcedure">
    <w:name w:val="Heading Procedure"/>
    <w:basedOn w:val="HeadingBase"/>
    <w:next w:val="Normal"/>
    <w:rsid w:val="007952CB"/>
    <w:pPr>
      <w:tabs>
        <w:tab w:val="left" w:pos="0"/>
      </w:tabs>
      <w:spacing w:before="120" w:after="60"/>
    </w:pPr>
    <w:rPr>
      <w:i/>
      <w:color w:val="918585"/>
      <w:sz w:val="22"/>
    </w:rPr>
  </w:style>
  <w:style w:type="paragraph" w:customStyle="1" w:styleId="TableBodyText">
    <w:name w:val="Table Body Text"/>
    <w:basedOn w:val="BodyText"/>
    <w:rsid w:val="007952CB"/>
    <w:pPr>
      <w:spacing w:before="60" w:after="60"/>
    </w:pPr>
  </w:style>
  <w:style w:type="paragraph" w:styleId="ListContinue">
    <w:name w:val="List Continue"/>
    <w:basedOn w:val="List"/>
    <w:rsid w:val="007952CB"/>
    <w:pPr>
      <w:ind w:firstLine="0"/>
    </w:pPr>
  </w:style>
  <w:style w:type="paragraph" w:customStyle="1" w:styleId="ListNote">
    <w:name w:val="List Note"/>
    <w:basedOn w:val="List"/>
    <w:rsid w:val="007952CB"/>
    <w:pPr>
      <w:pBdr>
        <w:top w:val="single" w:sz="6" w:space="2" w:color="918585"/>
        <w:bottom w:val="single" w:sz="6" w:space="2" w:color="918585"/>
      </w:pBdr>
      <w:tabs>
        <w:tab w:val="left" w:pos="1021"/>
      </w:tabs>
      <w:ind w:firstLine="0"/>
    </w:pPr>
  </w:style>
  <w:style w:type="paragraph" w:customStyle="1" w:styleId="Warning">
    <w:name w:val="Warning"/>
    <w:basedOn w:val="BodyText"/>
    <w:rsid w:val="007952CB"/>
    <w:pPr>
      <w:shd w:val="clear" w:color="auto" w:fill="D9D9D9"/>
      <w:tabs>
        <w:tab w:val="left" w:pos="992"/>
      </w:tabs>
      <w:ind w:left="119" w:right="119"/>
    </w:pPr>
    <w:rPr>
      <w:sz w:val="20"/>
    </w:rPr>
  </w:style>
  <w:style w:type="paragraph" w:customStyle="1" w:styleId="MarginIcons">
    <w:name w:val="Margin Icons"/>
    <w:basedOn w:val="BodyText"/>
    <w:rsid w:val="00795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2CB"/>
    <w:rPr>
      <w:rFonts w:ascii="Courier New" w:hAnsi="Courier New"/>
    </w:rPr>
  </w:style>
  <w:style w:type="paragraph" w:customStyle="1" w:styleId="NoteBullet">
    <w:name w:val="Note Bullet"/>
    <w:basedOn w:val="Note"/>
    <w:rsid w:val="007952CB"/>
    <w:pPr>
      <w:tabs>
        <w:tab w:val="clear" w:pos="680"/>
      </w:tabs>
      <w:spacing w:before="60" w:after="60"/>
    </w:pPr>
  </w:style>
  <w:style w:type="paragraph" w:customStyle="1" w:styleId="SubHeading2">
    <w:name w:val="SubHeading2"/>
    <w:basedOn w:val="HeadingBase"/>
    <w:rsid w:val="007952CB"/>
    <w:pPr>
      <w:spacing w:before="240" w:after="60"/>
    </w:pPr>
    <w:rPr>
      <w:sz w:val="20"/>
    </w:rPr>
  </w:style>
  <w:style w:type="paragraph" w:customStyle="1" w:styleId="SubHeading1">
    <w:name w:val="SubHeading1"/>
    <w:basedOn w:val="HeadingBase"/>
    <w:rsid w:val="007952CB"/>
    <w:pPr>
      <w:spacing w:before="240" w:after="60"/>
    </w:pPr>
    <w:rPr>
      <w:color w:val="918585"/>
      <w:sz w:val="22"/>
    </w:rPr>
  </w:style>
  <w:style w:type="paragraph" w:customStyle="1" w:styleId="SideHeading">
    <w:name w:val="Side Heading"/>
    <w:basedOn w:val="HeadingBase"/>
    <w:rsid w:val="00795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2CB"/>
    <w:pPr>
      <w:numPr>
        <w:numId w:val="12"/>
      </w:numPr>
    </w:pPr>
  </w:style>
  <w:style w:type="paragraph" w:styleId="PlainText">
    <w:name w:val="Plain Text"/>
    <w:basedOn w:val="Normal"/>
    <w:link w:val="PlainTextChar"/>
    <w:rsid w:val="007952CB"/>
    <w:rPr>
      <w:sz w:val="20"/>
    </w:rPr>
  </w:style>
  <w:style w:type="character" w:customStyle="1" w:styleId="PlainTextChar">
    <w:name w:val="Plain Text Char"/>
    <w:basedOn w:val="DefaultParagraphFont"/>
    <w:link w:val="PlainText"/>
    <w:rsid w:val="007952CB"/>
    <w:rPr>
      <w:rFonts w:ascii="Courier New" w:eastAsia="Times New Roman" w:hAnsi="Courier New" w:cs="Times New Roman"/>
      <w:sz w:val="20"/>
      <w:szCs w:val="20"/>
      <w:lang w:eastAsia="en-US"/>
    </w:rPr>
  </w:style>
  <w:style w:type="character" w:customStyle="1" w:styleId="MenuOption">
    <w:name w:val="Menu Option"/>
    <w:basedOn w:val="DefaultParagraphFont"/>
    <w:rsid w:val="007952CB"/>
    <w:rPr>
      <w:b/>
      <w:smallCaps/>
    </w:rPr>
  </w:style>
  <w:style w:type="paragraph" w:customStyle="1" w:styleId="TableListNumber">
    <w:name w:val="Table List Number"/>
    <w:basedOn w:val="ListNumber"/>
    <w:rsid w:val="007952CB"/>
    <w:pPr>
      <w:numPr>
        <w:numId w:val="0"/>
      </w:numPr>
    </w:pPr>
  </w:style>
  <w:style w:type="paragraph" w:styleId="TOC4">
    <w:name w:val="toc 4"/>
    <w:basedOn w:val="TOCBase"/>
    <w:next w:val="Normal"/>
    <w:semiHidden/>
    <w:rsid w:val="007952CB"/>
    <w:pPr>
      <w:tabs>
        <w:tab w:val="right" w:leader="dot" w:pos="9071"/>
      </w:tabs>
      <w:ind w:left="1701"/>
    </w:pPr>
  </w:style>
  <w:style w:type="paragraph" w:customStyle="1" w:styleId="ListAlpha">
    <w:name w:val="List Alpha"/>
    <w:basedOn w:val="List"/>
    <w:rsid w:val="007952CB"/>
    <w:pPr>
      <w:numPr>
        <w:numId w:val="9"/>
      </w:numPr>
    </w:pPr>
  </w:style>
  <w:style w:type="paragraph" w:customStyle="1" w:styleId="ListAlpha2">
    <w:name w:val="List Alpha 2"/>
    <w:basedOn w:val="List2"/>
    <w:rsid w:val="007952CB"/>
    <w:pPr>
      <w:numPr>
        <w:numId w:val="8"/>
      </w:numPr>
    </w:pPr>
  </w:style>
  <w:style w:type="paragraph" w:styleId="List2">
    <w:name w:val="List 2"/>
    <w:basedOn w:val="BodyText"/>
    <w:rsid w:val="007952CB"/>
    <w:pPr>
      <w:tabs>
        <w:tab w:val="left" w:pos="680"/>
      </w:tabs>
      <w:spacing w:before="60" w:after="60"/>
      <w:ind w:left="680" w:hanging="340"/>
    </w:pPr>
  </w:style>
  <w:style w:type="paragraph" w:styleId="List3">
    <w:name w:val="List 3"/>
    <w:basedOn w:val="BodyText"/>
    <w:rsid w:val="007952CB"/>
    <w:pPr>
      <w:tabs>
        <w:tab w:val="left" w:pos="1021"/>
      </w:tabs>
      <w:spacing w:before="60" w:after="60"/>
      <w:ind w:left="1020" w:hanging="340"/>
    </w:pPr>
  </w:style>
  <w:style w:type="paragraph" w:styleId="List4">
    <w:name w:val="List 4"/>
    <w:basedOn w:val="BodyText"/>
    <w:rsid w:val="007952CB"/>
    <w:pPr>
      <w:tabs>
        <w:tab w:val="left" w:pos="1361"/>
      </w:tabs>
      <w:spacing w:before="60" w:after="60"/>
      <w:ind w:left="1361" w:hanging="340"/>
    </w:pPr>
  </w:style>
  <w:style w:type="paragraph" w:styleId="List5">
    <w:name w:val="List 5"/>
    <w:basedOn w:val="BodyText"/>
    <w:rsid w:val="007952CB"/>
    <w:pPr>
      <w:tabs>
        <w:tab w:val="left" w:pos="1701"/>
      </w:tabs>
      <w:spacing w:before="60" w:after="60"/>
      <w:ind w:left="1701" w:hanging="340"/>
    </w:pPr>
  </w:style>
  <w:style w:type="paragraph" w:styleId="ListBullet3">
    <w:name w:val="List Bullet 3"/>
    <w:basedOn w:val="List3"/>
    <w:rsid w:val="007952CB"/>
    <w:pPr>
      <w:numPr>
        <w:numId w:val="15"/>
      </w:numPr>
      <w:tabs>
        <w:tab w:val="clear" w:pos="1021"/>
      </w:tabs>
      <w:ind w:left="1037" w:hanging="357"/>
    </w:pPr>
  </w:style>
  <w:style w:type="paragraph" w:styleId="ListBullet4">
    <w:name w:val="List Bullet 4"/>
    <w:basedOn w:val="List4"/>
    <w:rsid w:val="007952CB"/>
    <w:pPr>
      <w:numPr>
        <w:numId w:val="3"/>
      </w:numPr>
    </w:pPr>
  </w:style>
  <w:style w:type="paragraph" w:styleId="ListBullet5">
    <w:name w:val="List Bullet 5"/>
    <w:basedOn w:val="List5"/>
    <w:rsid w:val="007952CB"/>
    <w:pPr>
      <w:numPr>
        <w:numId w:val="4"/>
      </w:numPr>
    </w:pPr>
  </w:style>
  <w:style w:type="paragraph" w:styleId="ListContinue2">
    <w:name w:val="List Continue 2"/>
    <w:basedOn w:val="List2"/>
    <w:rsid w:val="007952CB"/>
    <w:pPr>
      <w:ind w:firstLine="0"/>
    </w:pPr>
  </w:style>
  <w:style w:type="paragraph" w:styleId="ListContinue3">
    <w:name w:val="List Continue 3"/>
    <w:basedOn w:val="List3"/>
    <w:rsid w:val="007952CB"/>
    <w:pPr>
      <w:ind w:left="1021" w:firstLine="0"/>
    </w:pPr>
  </w:style>
  <w:style w:type="paragraph" w:styleId="ListContinue4">
    <w:name w:val="List Continue 4"/>
    <w:basedOn w:val="List4"/>
    <w:rsid w:val="007952CB"/>
    <w:pPr>
      <w:ind w:firstLine="0"/>
    </w:pPr>
  </w:style>
  <w:style w:type="paragraph" w:styleId="ListContinue5">
    <w:name w:val="List Continue 5"/>
    <w:basedOn w:val="List5"/>
    <w:rsid w:val="007952CB"/>
    <w:pPr>
      <w:ind w:firstLine="0"/>
    </w:pPr>
  </w:style>
  <w:style w:type="paragraph" w:styleId="ListNumber3">
    <w:name w:val="List Number 3"/>
    <w:basedOn w:val="List3"/>
    <w:rsid w:val="007952CB"/>
    <w:pPr>
      <w:numPr>
        <w:numId w:val="5"/>
      </w:numPr>
    </w:pPr>
  </w:style>
  <w:style w:type="paragraph" w:styleId="ListNumber4">
    <w:name w:val="List Number 4"/>
    <w:basedOn w:val="List4"/>
    <w:rsid w:val="007952CB"/>
    <w:pPr>
      <w:numPr>
        <w:numId w:val="6"/>
      </w:numPr>
    </w:pPr>
  </w:style>
  <w:style w:type="paragraph" w:styleId="ListNumber5">
    <w:name w:val="List Number 5"/>
    <w:basedOn w:val="List5"/>
    <w:rsid w:val="007952CB"/>
    <w:pPr>
      <w:numPr>
        <w:numId w:val="7"/>
      </w:numPr>
    </w:pPr>
  </w:style>
  <w:style w:type="paragraph" w:styleId="BlockText">
    <w:name w:val="Block Text"/>
    <w:basedOn w:val="Normal"/>
    <w:rsid w:val="007952CB"/>
    <w:pPr>
      <w:spacing w:after="120"/>
      <w:ind w:left="1440" w:right="1440"/>
    </w:pPr>
  </w:style>
  <w:style w:type="character" w:customStyle="1" w:styleId="Subscript">
    <w:name w:val="Subscript"/>
    <w:basedOn w:val="DefaultParagraphFont"/>
    <w:rsid w:val="007952CB"/>
    <w:rPr>
      <w:sz w:val="16"/>
      <w:vertAlign w:val="subscript"/>
    </w:rPr>
  </w:style>
  <w:style w:type="character" w:customStyle="1" w:styleId="Superscript">
    <w:name w:val="Superscript"/>
    <w:basedOn w:val="DefaultParagraphFont"/>
    <w:rsid w:val="007952CB"/>
    <w:rPr>
      <w:sz w:val="16"/>
      <w:vertAlign w:val="superscript"/>
    </w:rPr>
  </w:style>
  <w:style w:type="character" w:customStyle="1" w:styleId="Symbols">
    <w:name w:val="Symbols"/>
    <w:basedOn w:val="DefaultParagraphFont"/>
    <w:rsid w:val="007952CB"/>
    <w:rPr>
      <w:rFonts w:ascii="Symbol" w:hAnsi="Symbol"/>
    </w:rPr>
  </w:style>
  <w:style w:type="character" w:customStyle="1" w:styleId="MenuOptions">
    <w:name w:val="Menu Options"/>
    <w:basedOn w:val="DefaultParagraphFont"/>
    <w:rsid w:val="007952CB"/>
    <w:rPr>
      <w:rFonts w:ascii="Arial Narrow" w:hAnsi="Arial Narrow"/>
      <w:smallCaps/>
    </w:rPr>
  </w:style>
  <w:style w:type="character" w:customStyle="1" w:styleId="Buttons">
    <w:name w:val="Buttons"/>
    <w:basedOn w:val="DefaultParagraphFont"/>
    <w:rsid w:val="007952CB"/>
    <w:rPr>
      <w:b/>
    </w:rPr>
  </w:style>
  <w:style w:type="character" w:customStyle="1" w:styleId="Underlined">
    <w:name w:val="Underlined"/>
    <w:basedOn w:val="DefaultParagraphFont"/>
    <w:rsid w:val="007952CB"/>
    <w:rPr>
      <w:u w:val="single"/>
    </w:rPr>
  </w:style>
  <w:style w:type="paragraph" w:customStyle="1" w:styleId="TableBodyTextRight">
    <w:name w:val="Table Body Text Right"/>
    <w:basedOn w:val="TableBodyText"/>
    <w:rsid w:val="007952CB"/>
    <w:pPr>
      <w:widowControl w:val="0"/>
      <w:autoSpaceDE w:val="0"/>
      <w:autoSpaceDN w:val="0"/>
      <w:adjustRightInd w:val="0"/>
      <w:jc w:val="right"/>
    </w:pPr>
    <w:rPr>
      <w:rFonts w:cs="Arial"/>
      <w:szCs w:val="18"/>
    </w:rPr>
  </w:style>
  <w:style w:type="paragraph" w:customStyle="1" w:styleId="CopyrightText">
    <w:name w:val="Copyright Text"/>
    <w:basedOn w:val="BodyText"/>
    <w:rsid w:val="007952CB"/>
    <w:rPr>
      <w:sz w:val="18"/>
    </w:rPr>
  </w:style>
  <w:style w:type="paragraph" w:customStyle="1" w:styleId="BodySmallRight">
    <w:name w:val="Body Small Right"/>
    <w:basedOn w:val="BodyTextRight"/>
    <w:rsid w:val="007952CB"/>
    <w:rPr>
      <w:sz w:val="18"/>
      <w:szCs w:val="18"/>
    </w:rPr>
  </w:style>
  <w:style w:type="paragraph" w:customStyle="1" w:styleId="MarginEdition">
    <w:name w:val="Margin Edition"/>
    <w:basedOn w:val="MarginNote"/>
    <w:rsid w:val="007952CB"/>
    <w:pPr>
      <w:spacing w:before="0" w:after="0"/>
    </w:pPr>
    <w:rPr>
      <w:rFonts w:ascii="Times New Roman" w:hAnsi="Times New Roman"/>
      <w:color w:val="999999"/>
    </w:rPr>
  </w:style>
  <w:style w:type="paragraph" w:customStyle="1" w:styleId="Spacer">
    <w:name w:val="Spacer"/>
    <w:basedOn w:val="Normal"/>
    <w:rsid w:val="007952CB"/>
    <w:rPr>
      <w:sz w:val="2"/>
      <w:szCs w:val="2"/>
    </w:rPr>
  </w:style>
  <w:style w:type="character" w:customStyle="1" w:styleId="Small">
    <w:name w:val="Small"/>
    <w:basedOn w:val="DefaultParagraphFont"/>
    <w:rsid w:val="007952CB"/>
    <w:rPr>
      <w:sz w:val="16"/>
    </w:rPr>
  </w:style>
  <w:style w:type="paragraph" w:customStyle="1" w:styleId="WideTable">
    <w:name w:val="Wide Table"/>
    <w:basedOn w:val="Normal"/>
    <w:rsid w:val="007952CB"/>
    <w:pPr>
      <w:ind w:left="-1418"/>
    </w:pPr>
    <w:rPr>
      <w:sz w:val="2"/>
      <w:szCs w:val="2"/>
    </w:rPr>
  </w:style>
  <w:style w:type="character" w:styleId="PageNumber">
    <w:name w:val="page number"/>
    <w:basedOn w:val="DefaultParagraphFont"/>
    <w:rsid w:val="007952CB"/>
  </w:style>
  <w:style w:type="paragraph" w:styleId="Quote">
    <w:name w:val="Quote"/>
    <w:basedOn w:val="Heading1"/>
    <w:link w:val="QuoteChar"/>
    <w:qFormat/>
    <w:rsid w:val="007952CB"/>
    <w:rPr>
      <w:b w:val="0"/>
      <w:sz w:val="72"/>
      <w:szCs w:val="72"/>
      <w:lang w:val="en-NZ"/>
    </w:rPr>
  </w:style>
  <w:style w:type="character" w:customStyle="1" w:styleId="QuoteChar">
    <w:name w:val="Quote Char"/>
    <w:basedOn w:val="DefaultParagraphFont"/>
    <w:link w:val="Quote"/>
    <w:rsid w:val="00795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2CB"/>
    <w:pPr>
      <w:pageBreakBefore/>
    </w:pPr>
  </w:style>
  <w:style w:type="paragraph" w:customStyle="1" w:styleId="Border">
    <w:name w:val="Border"/>
    <w:basedOn w:val="Normal"/>
    <w:qFormat/>
    <w:rsid w:val="00795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2CB"/>
    <w:rPr>
      <w:b/>
      <w:bCs/>
      <w:i/>
      <w:iCs/>
      <w:color w:val="auto"/>
    </w:rPr>
  </w:style>
  <w:style w:type="paragraph" w:styleId="IntenseQuote">
    <w:name w:val="Intense Quote"/>
    <w:basedOn w:val="Normal"/>
    <w:next w:val="Normal"/>
    <w:link w:val="IntenseQuoteChar"/>
    <w:uiPriority w:val="30"/>
    <w:qFormat/>
    <w:rsid w:val="00795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2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2CB"/>
    <w:rPr>
      <w:smallCaps/>
      <w:color w:val="auto"/>
      <w:u w:val="single"/>
    </w:rPr>
  </w:style>
  <w:style w:type="character" w:styleId="IntenseReference">
    <w:name w:val="Intense Reference"/>
    <w:basedOn w:val="DefaultParagraphFont"/>
    <w:uiPriority w:val="32"/>
    <w:qFormat/>
    <w:rsid w:val="007952CB"/>
    <w:rPr>
      <w:b/>
      <w:bCs/>
      <w:smallCaps/>
      <w:color w:val="auto"/>
      <w:spacing w:val="5"/>
      <w:u w:val="single"/>
    </w:rPr>
  </w:style>
  <w:style w:type="paragraph" w:customStyle="1" w:styleId="2ColumnHeading">
    <w:name w:val="2Column Heading"/>
    <w:basedOn w:val="BodyText"/>
    <w:qFormat/>
    <w:rsid w:val="007952CB"/>
    <w:pPr>
      <w:spacing w:after="60"/>
      <w:ind w:left="-2268"/>
    </w:pPr>
    <w:rPr>
      <w:b/>
    </w:rPr>
  </w:style>
  <w:style w:type="paragraph" w:customStyle="1" w:styleId="Heading1TOC">
    <w:name w:val="Heading1 TOC"/>
    <w:basedOn w:val="Normal"/>
    <w:qFormat/>
    <w:rsid w:val="007952CB"/>
    <w:pPr>
      <w:spacing w:before="240" w:after="120"/>
    </w:pPr>
    <w:rPr>
      <w:rFonts w:ascii="Times New Roman" w:hAnsi="Times New Roman"/>
      <w:b/>
      <w:sz w:val="32"/>
    </w:rPr>
  </w:style>
  <w:style w:type="paragraph" w:customStyle="1" w:styleId="Heading2TOC">
    <w:name w:val="Heading2 TOC"/>
    <w:basedOn w:val="Normal"/>
    <w:qFormat/>
    <w:rsid w:val="007952CB"/>
    <w:pPr>
      <w:spacing w:before="240" w:after="60"/>
    </w:pPr>
    <w:rPr>
      <w:rFonts w:ascii="Times New Roman" w:hAnsi="Times New Roman"/>
      <w:b/>
      <w:sz w:val="28"/>
    </w:rPr>
  </w:style>
  <w:style w:type="character" w:customStyle="1" w:styleId="Underline">
    <w:name w:val="Underline"/>
    <w:basedOn w:val="DefaultParagraphFont"/>
    <w:qFormat/>
    <w:rsid w:val="007952CB"/>
    <w:rPr>
      <w:u w:val="single"/>
    </w:rPr>
  </w:style>
  <w:style w:type="character" w:customStyle="1" w:styleId="BoldandItalics">
    <w:name w:val="Bold and Italics"/>
    <w:qFormat/>
    <w:rsid w:val="007952CB"/>
    <w:rPr>
      <w:b/>
      <w:i/>
      <w:u w:val="none"/>
    </w:rPr>
  </w:style>
  <w:style w:type="paragraph" w:styleId="BalloonText">
    <w:name w:val="Balloon Text"/>
    <w:basedOn w:val="Normal"/>
    <w:link w:val="BalloonTextChar"/>
    <w:rsid w:val="007952CB"/>
    <w:rPr>
      <w:rFonts w:ascii="Tahoma" w:hAnsi="Tahoma" w:cs="Tahoma"/>
      <w:sz w:val="16"/>
      <w:szCs w:val="16"/>
    </w:rPr>
  </w:style>
  <w:style w:type="character" w:customStyle="1" w:styleId="BalloonTextChar">
    <w:name w:val="Balloon Text Char"/>
    <w:basedOn w:val="DefaultParagraphFont"/>
    <w:link w:val="BalloonText"/>
    <w:rsid w:val="007952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2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2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2CB"/>
    <w:rPr>
      <w:b/>
      <w:color w:val="660033"/>
      <w:spacing w:val="0"/>
    </w:rPr>
  </w:style>
  <w:style w:type="paragraph" w:customStyle="1" w:styleId="Nameditemlist">
    <w:name w:val="Named item list"/>
    <w:basedOn w:val="BodyText"/>
    <w:qFormat/>
    <w:rsid w:val="007952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2759</Words>
  <Characters>16715</Characters>
  <Application>Microsoft Office Word</Application>
  <DocSecurity>0</DocSecurity>
  <Lines>816</Lines>
  <Paragraphs>327</Paragraphs>
  <ScaleCrop>false</ScaleCrop>
  <Company>Author-it Software Corporation Ltd.</Company>
  <LinksUpToDate>false</LinksUpToDate>
  <CharactersWithSpaces>19178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UEGNSG305A Coordinate gas transmission pipeline repair and modifications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2012-10-11T17:19:00Z</dcterms:created>
  <dcterms:modified xsi:type="dcterms:W3CDTF">2012-10-11T17:19:00Z</dcterms:modified>
</cp:coreProperties>
</file>