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115" w:rsidP="00D47115">
      <w:pPr>
        <w:pStyle w:val="Title"/>
      </w:pPr>
      <w:r>
        <w:fldChar w:fldCharType="begin"/>
      </w:r>
      <w:r>
        <w:instrText xml:space="preserve"> TITLE   \* MERGEFORMAT </w:instrText>
      </w:r>
      <w:r>
        <w:fldChar w:fldCharType="separate"/>
      </w:r>
      <w:r>
        <w:t>UEGNSG209A First on site emergency response on a distribution pipeline</w:t>
      </w:r>
      <w:r>
        <w:fldChar w:fldCharType="end"/>
      </w:r>
    </w:p>
    <w:p w:rsidR="00D47115" w:rsidP="00D47115">
      <w:pPr>
        <w:pStyle w:val="Version"/>
        <w:sectPr w:rsidSect="009E3E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3EE7" w:rsidP="009E3EE7">
      <w:pPr>
        <w:pStyle w:val="SuperHeading"/>
      </w:pPr>
      <w:r w:rsidRPr="009E3EE7">
        <w:t>UEGNSG209A First on site emergency response on a distribution pipeline</w:t>
      </w:r>
    </w:p>
    <w:p w:rsidR="00000000" w:rsidRPr="009E3EE7" w:rsidP="009E3EE7">
      <w:pPr>
        <w:pStyle w:val="Heading1"/>
      </w:pPr>
      <w:bookmarkStart w:id="1" w:name="O_275105"/>
      <w:bookmarkEnd w:id="1"/>
      <w:r w:rsidRPr="009E3EE7">
        <w:t>Modification History</w:t>
      </w:r>
    </w:p>
    <w:p w:rsidR="00000000" w:rsidRPr="009E3EE7" w:rsidP="009E3EE7">
      <w:pPr>
        <w:pStyle w:val="BodyText"/>
      </w:pPr>
      <w:r w:rsidRPr="009E3EE7">
        <w:t>Not Applicable</w:t>
      </w:r>
    </w:p>
    <w:p w:rsidR="00000000" w:rsidRPr="009E3EE7" w:rsidP="009E3EE7">
      <w:pPr>
        <w:pStyle w:val="AllowPageBreak"/>
      </w:pPr>
    </w:p>
    <w:p w:rsidR="00000000" w:rsidRPr="009E3EE7" w:rsidP="009E3EE7">
      <w:pPr>
        <w:pStyle w:val="Heading1"/>
      </w:pPr>
      <w:bookmarkStart w:id="2" w:name="O_229454"/>
      <w:bookmarkEnd w:id="2"/>
      <w:r w:rsidRPr="009E3EE7">
        <w:t>Unit Descriptor</w:t>
      </w:r>
    </w:p>
    <w:tbl>
      <w:tblPr>
        <w:tblW w:w="0" w:type="auto"/>
        <w:tblLayout w:type="fixed"/>
        <w:tblCellMar>
          <w:left w:w="62" w:type="dxa"/>
          <w:right w:w="62" w:type="dxa"/>
        </w:tblCellMar>
        <w:tblLook w:val="0000"/>
      </w:tblPr>
      <w:tblGrid>
        <w:gridCol w:w="2700"/>
        <w:gridCol w:w="5760"/>
      </w:tblGrid>
      <w:tr w:rsidTr="00D471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rPr>
                <w:rStyle w:val="SpecialBold"/>
              </w:rPr>
              <w:t>1</w:t>
            </w:r>
            <w:r w:rsidRPr="009E3EE7">
              <w:t xml:space="preserve">) </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t xml:space="preserve">This competency standard shall cover the responding to a call from internal or external stakeholder to confirm status of pipeline emergency and take first on site response activities. This person is directly responsible for managing site response with the </w:t>
            </w:r>
            <w:r w:rsidRPr="009E3EE7">
              <w:t>following priorities: protect human life, reduce trauma, maintain systems safety, ensure system supply, protect the environment and protect property. The competency standard is applied against the procedures found under the latest edition of AS 1697 Austra</w:t>
            </w:r>
            <w:r w:rsidRPr="009E3EE7">
              <w:t>lian and New Zealand Standard. Includes Tools and equipment, Maps and Drawings, Established Procedures, PPE and First Aid Equipment, Traffic Control, Emergency response manuals, Security Breach Investigation Practices.</w:t>
            </w:r>
          </w:p>
        </w:tc>
      </w:tr>
    </w:tbl>
    <w:p w:rsidR="00D47115" w:rsidP="009E3EE7">
      <w:pPr>
        <w:pStyle w:val="BodyText"/>
      </w:pPr>
    </w:p>
    <w:p w:rsidR="00D47115" w:rsidP="009E3EE7">
      <w:pPr>
        <w:pStyle w:val="BodyText"/>
      </w:pPr>
    </w:p>
    <w:p w:rsidR="00000000" w:rsidRPr="009E3EE7" w:rsidP="009E3EE7">
      <w:pPr>
        <w:pStyle w:val="Heading1"/>
      </w:pPr>
      <w:bookmarkStart w:id="3" w:name="O_229457"/>
      <w:bookmarkEnd w:id="3"/>
      <w:r w:rsidRPr="009E3EE7">
        <w:t>Application of th</w:t>
      </w:r>
      <w:r w:rsidRPr="009E3EE7">
        <w:t>e Unit</w:t>
      </w:r>
    </w:p>
    <w:tbl>
      <w:tblPr>
        <w:tblW w:w="0" w:type="auto"/>
        <w:tblLayout w:type="fixed"/>
        <w:tblCellMar>
          <w:left w:w="62" w:type="dxa"/>
          <w:right w:w="62" w:type="dxa"/>
        </w:tblCellMar>
        <w:tblLook w:val="0000"/>
      </w:tblPr>
      <w:tblGrid>
        <w:gridCol w:w="2700"/>
        <w:gridCol w:w="5760"/>
      </w:tblGrid>
      <w:tr w:rsidTr="00D471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rPr>
                <w:rStyle w:val="SpecialBold"/>
              </w:rPr>
              <w:t>3</w:t>
            </w:r>
            <w:r w:rsidRPr="009E3EE7">
              <w:t xml:space="preserve">) </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t>This competency standard shall apply to any basic and safe work site where Gas Industry operations occur.</w:t>
            </w:r>
          </w:p>
        </w:tc>
      </w:tr>
    </w:tbl>
    <w:p w:rsidR="00D47115" w:rsidP="009E3EE7">
      <w:pPr>
        <w:pStyle w:val="BodyText"/>
      </w:pPr>
    </w:p>
    <w:p w:rsidR="00D47115" w:rsidP="009E3EE7">
      <w:pPr>
        <w:pStyle w:val="BodyText"/>
      </w:pPr>
    </w:p>
    <w:p w:rsidR="00000000" w:rsidRPr="009E3EE7" w:rsidP="009E3EE7">
      <w:pPr>
        <w:pStyle w:val="Heading1"/>
      </w:pPr>
      <w:bookmarkStart w:id="4" w:name="O_229458"/>
      <w:bookmarkEnd w:id="4"/>
      <w:r w:rsidRPr="009E3EE7">
        <w:t>Licensing/Regulatory Information</w:t>
      </w:r>
    </w:p>
    <w:tbl>
      <w:tblPr>
        <w:tblW w:w="0" w:type="auto"/>
        <w:tblLayout w:type="fixed"/>
        <w:tblCellMar>
          <w:left w:w="62" w:type="dxa"/>
          <w:right w:w="62" w:type="dxa"/>
        </w:tblCellMar>
        <w:tblLook w:val="0000"/>
      </w:tblPr>
      <w:tblGrid>
        <w:gridCol w:w="2700"/>
        <w:gridCol w:w="5760"/>
      </w:tblGrid>
      <w:tr w:rsidTr="00D471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rPr>
                <w:rStyle w:val="SpecialBold"/>
              </w:rPr>
              <w:t>3</w:t>
            </w:r>
            <w:r w:rsidRPr="009E3EE7">
              <w:t>.</w:t>
            </w:r>
            <w:r w:rsidRPr="009E3EE7">
              <w:rPr>
                <w:rStyle w:val="SpecialBold"/>
              </w:rPr>
              <w:t>1</w:t>
            </w:r>
            <w:r w:rsidRPr="009E3EE7">
              <w:t xml:space="preserve">) </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t xml:space="preserve">The skills and knowledge described in this unit are not subject to licence regulation other than those directly related to Occupational Health and Safety, Gas Industry safety and compliance, industrial relations, environmental </w:t>
            </w:r>
            <w:r w:rsidRPr="009E3EE7">
              <w:t>protection, telecommunication</w:t>
            </w:r>
            <w:r w:rsidRPr="009E3EE7">
              <w:t>s, anti discrimination and training. Commonwealth, State/Territory or Local Government legislation and regulations may exist that limits the age of those who can operate certain equipment.</w:t>
            </w:r>
          </w:p>
        </w:tc>
      </w:tr>
    </w:tbl>
    <w:p w:rsidR="00D47115" w:rsidP="009E3EE7">
      <w:pPr>
        <w:pStyle w:val="BodyText"/>
      </w:pPr>
    </w:p>
    <w:p w:rsidR="00D47115" w:rsidP="009E3EE7">
      <w:pPr>
        <w:pStyle w:val="BodyText"/>
      </w:pPr>
    </w:p>
    <w:p w:rsidR="00000000" w:rsidRPr="009E3EE7" w:rsidP="009E3EE7">
      <w:pPr>
        <w:pStyle w:val="Heading1"/>
      </w:pPr>
      <w:bookmarkStart w:id="5" w:name="O_229455"/>
      <w:bookmarkEnd w:id="5"/>
      <w:r w:rsidRPr="009E3EE7">
        <w:t>Pre-Requisites</w:t>
      </w:r>
    </w:p>
    <w:tbl>
      <w:tblPr>
        <w:tblW w:w="0" w:type="auto"/>
        <w:tblLayout w:type="fixed"/>
        <w:tblCellMar>
          <w:left w:w="62" w:type="dxa"/>
          <w:right w:w="62" w:type="dxa"/>
        </w:tblCellMar>
        <w:tblLook w:val="0000"/>
      </w:tblPr>
      <w:tblGrid>
        <w:gridCol w:w="2700"/>
        <w:gridCol w:w="1800"/>
        <w:gridCol w:w="3960"/>
      </w:tblGrid>
      <w:tr w:rsidTr="00D471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rPr>
                <w:rStyle w:val="SpecialBold"/>
              </w:rPr>
              <w:t>Prerequisite Unit</w:t>
            </w:r>
            <w:r w:rsidRPr="009E3EE7">
              <w:t>(</w:t>
            </w:r>
            <w:r w:rsidRPr="009E3EE7">
              <w:rPr>
                <w:rStyle w:val="SpecialBold"/>
              </w:rPr>
              <w:t>s</w:t>
            </w:r>
            <w:r w:rsidRPr="009E3EE7">
              <w:t>)</w:t>
            </w:r>
          </w:p>
        </w:tc>
        <w:tc>
          <w:tcPr>
            <w:tcW w:w="5760" w:type="dxa"/>
            <w:gridSpan w:val="2"/>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rPr>
                <w:rStyle w:val="SpecialBold"/>
              </w:rPr>
              <w:t>2</w:t>
            </w:r>
            <w:r w:rsidRPr="009E3EE7">
              <w:t xml:space="preserve">) </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rPr>
                <w:rStyle w:val="SpecialBold"/>
              </w:rPr>
              <w:t>2</w:t>
            </w:r>
            <w:r w:rsidRPr="009E3EE7">
              <w:t>.</w:t>
            </w:r>
            <w:r w:rsidRPr="009E3EE7">
              <w:rPr>
                <w:rStyle w:val="SpecialBold"/>
              </w:rPr>
              <w:t>1</w:t>
            </w:r>
            <w:r w:rsidRPr="009E3EE7">
              <w:t xml:space="preserve">) </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Granting of competency in this unit shall be made only after competency in the following unit(s) has/have been confirmed:</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Nil</w:t>
            </w:r>
          </w:p>
        </w:tc>
        <w:tc>
          <w:tcPr>
            <w:tcW w:w="3960" w:type="dxa"/>
            <w:tcBorders>
              <w:top w:val="nil"/>
              <w:left w:val="nil"/>
              <w:bottom w:val="nil"/>
              <w:right w:val="nil"/>
            </w:tcBorders>
            <w:tcMar>
              <w:top w:w="0" w:type="dxa"/>
              <w:left w:w="62" w:type="dxa"/>
              <w:bottom w:w="0" w:type="dxa"/>
              <w:right w:w="62" w:type="dxa"/>
            </w:tcMar>
          </w:tcPr>
          <w:p w:rsidR="00000000" w:rsidRPr="009E3EE7" w:rsidP="009E3EE7">
            <w:pPr>
              <w:pStyle w:val="BodyText"/>
            </w:pPr>
          </w:p>
        </w:tc>
      </w:tr>
    </w:tbl>
    <w:p w:rsidR="00D47115" w:rsidP="009E3EE7">
      <w:pPr>
        <w:pStyle w:val="BodyText"/>
      </w:pPr>
    </w:p>
    <w:p w:rsidR="00D47115" w:rsidP="009E3EE7">
      <w:pPr>
        <w:pStyle w:val="BodyText"/>
      </w:pPr>
    </w:p>
    <w:p w:rsidR="00000000" w:rsidRPr="009E3EE7" w:rsidP="009E3EE7">
      <w:pPr>
        <w:pStyle w:val="Heading1"/>
      </w:pPr>
      <w:bookmarkStart w:id="6" w:name="O_285354"/>
      <w:bookmarkEnd w:id="6"/>
      <w:r w:rsidRPr="009E3EE7">
        <w:t>Employability Skills Information</w:t>
      </w:r>
    </w:p>
    <w:p w:rsidR="00000000" w:rsidRPr="009E3EE7" w:rsidP="009E3EE7">
      <w:pPr>
        <w:pStyle w:val="BodyText"/>
      </w:pPr>
      <w:r w:rsidRPr="009E3EE7">
        <w:t>Refer to the Evidence Guide</w:t>
      </w:r>
    </w:p>
    <w:p w:rsidR="00000000" w:rsidRPr="009E3EE7" w:rsidP="009E3EE7">
      <w:pPr>
        <w:pStyle w:val="AllowPageBreak"/>
      </w:pPr>
    </w:p>
    <w:p w:rsidR="00000000" w:rsidRPr="009E3EE7" w:rsidP="009E3EE7">
      <w:pPr>
        <w:pStyle w:val="Heading1"/>
      </w:pPr>
      <w:bookmarkStart w:id="7" w:name="O_293151"/>
      <w:bookmarkEnd w:id="7"/>
      <w:r w:rsidRPr="009E3EE7">
        <w:t>Elements and Performance Criteria Pre-Content</w:t>
      </w:r>
    </w:p>
    <w:tbl>
      <w:tblPr>
        <w:tblW w:w="0" w:type="auto"/>
        <w:tblLayout w:type="fixed"/>
        <w:tblCellMar>
          <w:left w:w="62" w:type="dxa"/>
          <w:right w:w="62" w:type="dxa"/>
        </w:tblCellMar>
        <w:tblLook w:val="0000"/>
      </w:tblPr>
      <w:tblGrid>
        <w:gridCol w:w="2700"/>
        <w:gridCol w:w="5760"/>
      </w:tblGrid>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rPr>
                <w:rStyle w:val="SpecialBold"/>
              </w:rPr>
              <w:t>5</w:t>
            </w:r>
            <w:r w:rsidRPr="009E3EE7">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t>Performance Criteria describe the required performance needed to demonstrate achievement of the element. Assessment of performance is to</w:t>
            </w:r>
            <w:r w:rsidRPr="009E3EE7">
              <w:t xml:space="preserve"> be consistent with the Evidence Guide.</w:t>
            </w:r>
          </w:p>
        </w:tc>
      </w:tr>
    </w:tbl>
    <w:p w:rsidR="00000000" w:rsidRPr="009E3EE7" w:rsidP="009E3EE7">
      <w:pPr>
        <w:pStyle w:val="BodyText"/>
      </w:pPr>
    </w:p>
    <w:p w:rsidR="00000000" w:rsidRPr="009E3EE7" w:rsidP="009E3EE7">
      <w:pPr>
        <w:pStyle w:val="AllowPageBreak"/>
      </w:pPr>
    </w:p>
    <w:p w:rsidR="00000000" w:rsidRPr="009E3EE7" w:rsidP="009E3EE7">
      <w:pPr>
        <w:pStyle w:val="Heading1"/>
      </w:pPr>
      <w:bookmarkStart w:id="8" w:name="O_239819"/>
      <w:bookmarkEnd w:id="8"/>
      <w:r w:rsidRPr="009E3EE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4711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rPr>
                <w:rStyle w:val="SpecialBold"/>
              </w:rPr>
              <w:t>PERFORMANCE CRITERIA</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1</w:t>
            </w:r>
          </w:p>
        </w:tc>
        <w:tc>
          <w:tcPr>
            <w:tcW w:w="2296" w:type="dxa"/>
            <w:vMerge w:val="restart"/>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Plan to perform first on site emergency response</w:t>
            </w: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1.1</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Specific r</w:t>
            </w:r>
            <w:r w:rsidRPr="009E3EE7">
              <w:t>equirements, drawings, plans, requirements, established procedures and material and equipment are examined. The extent of preparation for the work is assessed</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1.2</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Risk control measures are identified, prioritised and evaluated against the work schedule</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1.3</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Relevant requirements and established procedures for the work are communicated to all persons and identified for all work sites</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1.4</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OHS, environmental and sustainable energy policies and procedures related to the work are identified to ensure safe systems of work are followed</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1.5</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Relevant work permits are secured to coordinate the performance of work according to requirements and es</w:t>
            </w:r>
            <w:r w:rsidRPr="009E3EE7">
              <w:t xml:space="preserve">tablished procedures </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1.6</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Resources including persons, equipment, tools and personal protective equipment required for the job are identified, scheduled, coordinated and confirmed in a safe and technical working order</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1.7</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Liaison and communication issues with authorised persons, authorities, clients and land-owners are resolved and activities coordinated to carry out work</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1.8</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Persons participating in the work, including plant operators and contractors are fully briefed a</w:t>
            </w:r>
            <w:r w:rsidRPr="009E3EE7">
              <w:t>nd respective responsibilities coordinated and authorised where applicable in accordance with establish procedures</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1.9</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Status of the system is sought through communication with pipeline control centre in accordance with established procedures</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2</w:t>
            </w:r>
          </w:p>
        </w:tc>
        <w:tc>
          <w:tcPr>
            <w:tcW w:w="2296"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Carry o</w:t>
            </w:r>
            <w:r w:rsidRPr="009E3EE7">
              <w:t>ut first on site emergency response</w:t>
            </w: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2.1</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OHS policies and procedures and safe work practices are followed to eliminate or minimise incidents and hazards</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2.2</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 xml:space="preserve">First Aid and other related work procedures are performed according to requirements and established procedures </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2.3</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Lifting, climbing, working in confined spaces and aloft, use of power tools, techniques and practices are safely exercised according to r</w:t>
            </w:r>
            <w:r w:rsidRPr="009E3EE7">
              <w:t xml:space="preserve">equirements </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2.4</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Hazard warnings and safety signs are recognised and hazards are assessed and OHS risks are reported to the authorised persons for directions according to established procedures</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2.5</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Operating conditions of equipment are monitored thro</w:t>
            </w:r>
            <w:r w:rsidRPr="009E3EE7">
              <w:t>ugh gauge levels, temperatures, flow indicators in order to determine performance of equipment and system</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2.6</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Negotiation processes with third parties concerning the threat to the pipeline occurs to ensure the pipeline can be monitored.</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2.7</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Liaison, where appropriate is performed with emergency authorities to ensure the safety of the public and property</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2.8</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Preliminary evidence is collected from the scene as per established procedures</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2.9</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Fault finding and troubleshooting techniques are applied to identify any repairs or maintenance that is required according to requirements and established procedures</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2.10</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Essential Knowledge and Associated Skills are applied to ensure completion in an a</w:t>
            </w:r>
            <w:r w:rsidRPr="009E3EE7">
              <w:t>greed timeframe and to quality standards with a minimum of waste according to requirements</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2.11</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 xml:space="preserve">Solutions to non-routine problems are identified and actioned using acquired Essential Knowledge and Associated Skills according to </w:t>
            </w:r>
            <w:r w:rsidRPr="009E3EE7">
              <w:t>requirements</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2.12</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 xml:space="preserve">Ongoing checks of work quality are undertaken in accordance with requirements and established procedures to ensure a quality like outcome is achieved for the client and to a community and industry standard </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3</w:t>
            </w:r>
          </w:p>
        </w:tc>
        <w:tc>
          <w:tcPr>
            <w:tcW w:w="2296"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Review, record and report first on site emerge</w:t>
            </w:r>
            <w:r w:rsidRPr="009E3EE7">
              <w:t>ncy response</w:t>
            </w: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3.1</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Work undertaken is checked against works schedule for conformance with requirements and anomalies which are reported and solutions identified in accordance with established procedures</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3.2</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Accidents and injuries are reported and followed</w:t>
            </w:r>
            <w:r w:rsidRPr="009E3EE7">
              <w:t xml:space="preserve"> up in accordance with requirements and established procedures </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3.3</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 xml:space="preserve">Work site is rehabilitated/cleaned up and confirmed safe and in accordance with established procedures </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3.4</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 xml:space="preserve">Tools, equipment and any surplus resources and materials are where appropriate, cleaned, checked and returned to storage in accordance with established procedures </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3.5</w:t>
            </w:r>
          </w:p>
        </w:tc>
        <w:tc>
          <w:tcPr>
            <w:tcW w:w="48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Relevant work permit(s) are signed off accordance with requirements</w:t>
            </w:r>
          </w:p>
        </w:tc>
      </w:tr>
      <w:tr w:rsidTr="00D471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3.6</w:t>
            </w:r>
          </w:p>
        </w:tc>
        <w:tc>
          <w:tcPr>
            <w:tcW w:w="4860" w:type="dxa"/>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t>Works comp</w:t>
            </w:r>
            <w:r w:rsidRPr="009E3EE7">
              <w:t xml:space="preserve">letion records, reports as installed/modified drawing(s) and documentation and information is confirmed, processed and the appropriate persons notified </w:t>
            </w:r>
          </w:p>
        </w:tc>
      </w:tr>
    </w:tbl>
    <w:p w:rsidR="00D47115" w:rsidP="009E3EE7">
      <w:pPr>
        <w:pStyle w:val="BodyText"/>
      </w:pPr>
    </w:p>
    <w:p w:rsidR="00D47115" w:rsidP="009E3EE7">
      <w:pPr>
        <w:pStyle w:val="BodyText"/>
      </w:pPr>
    </w:p>
    <w:p w:rsidR="00000000" w:rsidRPr="009E3EE7" w:rsidP="009E3EE7">
      <w:pPr>
        <w:pStyle w:val="Heading1"/>
      </w:pPr>
      <w:bookmarkStart w:id="9" w:name="O_263610"/>
      <w:bookmarkEnd w:id="9"/>
      <w:r w:rsidRPr="009E3EE7">
        <w:t>Required Skills and Knowledge</w:t>
      </w:r>
    </w:p>
    <w:tbl>
      <w:tblPr>
        <w:tblW w:w="0" w:type="auto"/>
        <w:tblLayout w:type="fixed"/>
        <w:tblCellMar>
          <w:left w:w="62" w:type="dxa"/>
          <w:right w:w="62" w:type="dxa"/>
        </w:tblCellMar>
        <w:tblLook w:val="0000"/>
      </w:tblPr>
      <w:tblGrid>
        <w:gridCol w:w="2700"/>
        <w:gridCol w:w="1080"/>
        <w:gridCol w:w="4680"/>
      </w:tblGrid>
      <w:tr w:rsidTr="00D4711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rPr>
                <w:rStyle w:val="SpecialBold"/>
              </w:rPr>
              <w:t>REQUIRED SKILLS AND KNOWLEDGE</w:t>
            </w:r>
          </w:p>
        </w:tc>
      </w:tr>
      <w:tr w:rsidTr="00D4711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rPr>
                <w:rStyle w:val="SpecialBold"/>
              </w:rPr>
              <w:t>6</w:t>
            </w:r>
            <w:r w:rsidRPr="009E3EE7">
              <w:t>) This describes the essential skills and knowledge and their level, required for this unit.</w:t>
            </w:r>
          </w:p>
        </w:tc>
      </w:tr>
      <w:tr w:rsidTr="00D4711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 xml:space="preserve">Evidence shall show that knowledge has been acquired for first on site emergency response on a distribution pipeline. The extent of the essential knowledge and </w:t>
            </w:r>
            <w:r w:rsidRPr="009E3EE7">
              <w:t>associated skills (EKAS) required is given in Volume 2 - Part 2.2 EKAS.  It forms an integral part of this unit.</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G 2.1.8</w:t>
            </w:r>
          </w:p>
        </w:tc>
        <w:tc>
          <w:tcPr>
            <w:tcW w:w="46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Control traffic at the work site</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G 2.2.33</w:t>
            </w:r>
          </w:p>
        </w:tc>
        <w:tc>
          <w:tcPr>
            <w:tcW w:w="46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Locate other utilities and services</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G 2.2.34</w:t>
            </w:r>
          </w:p>
        </w:tc>
        <w:tc>
          <w:tcPr>
            <w:tcW w:w="46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Use tools, materials and equipment</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G 2.2.38</w:t>
            </w:r>
          </w:p>
        </w:tc>
        <w:tc>
          <w:tcPr>
            <w:tcW w:w="46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Reinstate site</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G 3.4.5</w:t>
            </w:r>
          </w:p>
        </w:tc>
        <w:tc>
          <w:tcPr>
            <w:tcW w:w="46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Interpreting topographical maps and information</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G 4.1.2</w:t>
            </w:r>
          </w:p>
        </w:tc>
        <w:tc>
          <w:tcPr>
            <w:tcW w:w="46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Understand the effective operation of Gas Industry plant and equipment and materials</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G 4.1.3</w:t>
            </w:r>
          </w:p>
        </w:tc>
        <w:tc>
          <w:tcPr>
            <w:tcW w:w="46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Communicating in the Gas Industry at a supervisory level</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G 4.1.4</w:t>
            </w:r>
          </w:p>
        </w:tc>
        <w:tc>
          <w:tcPr>
            <w:tcW w:w="46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Gas Industry products and services</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G 4.1.5</w:t>
            </w:r>
          </w:p>
        </w:tc>
        <w:tc>
          <w:tcPr>
            <w:tcW w:w="46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Interpreting Gas Industry drawings</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G 4.1.6</w:t>
            </w:r>
          </w:p>
        </w:tc>
        <w:tc>
          <w:tcPr>
            <w:tcW w:w="46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OHS and First Aid for Gas Industry supervisors</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G 4.1.7</w:t>
            </w:r>
          </w:p>
        </w:tc>
        <w:tc>
          <w:tcPr>
            <w:tcW w:w="46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 xml:space="preserve">Complete Gas Industry reports and documentation </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G 4.1.8</w:t>
            </w:r>
          </w:p>
        </w:tc>
        <w:tc>
          <w:tcPr>
            <w:tcW w:w="46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Use a personal computer</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G 4.1.10</w:t>
            </w:r>
          </w:p>
        </w:tc>
        <w:tc>
          <w:tcPr>
            <w:tcW w:w="46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Understanding security breach procedures</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G 4.1.11</w:t>
            </w:r>
          </w:p>
        </w:tc>
        <w:tc>
          <w:tcPr>
            <w:tcW w:w="46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Emergency manual</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G 4.1.12</w:t>
            </w:r>
          </w:p>
        </w:tc>
        <w:tc>
          <w:tcPr>
            <w:tcW w:w="46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 xml:space="preserve">Evidence preservation and investigation techniques </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G 4.1.15</w:t>
            </w:r>
          </w:p>
        </w:tc>
        <w:tc>
          <w:tcPr>
            <w:tcW w:w="46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Drive Gas Industry vehicles</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G 5.1.2</w:t>
            </w:r>
          </w:p>
        </w:tc>
        <w:tc>
          <w:tcPr>
            <w:tcW w:w="4680" w:type="dxa"/>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t xml:space="preserve">Problem solving, decision making and conflict resolution </w:t>
            </w:r>
          </w:p>
        </w:tc>
      </w:tr>
    </w:tbl>
    <w:p w:rsidR="00D47115" w:rsidP="009E3EE7">
      <w:pPr>
        <w:pStyle w:val="BodyText"/>
      </w:pPr>
    </w:p>
    <w:p w:rsidR="00D47115" w:rsidP="009E3EE7">
      <w:pPr>
        <w:pStyle w:val="BodyText"/>
      </w:pPr>
    </w:p>
    <w:p w:rsidR="00000000" w:rsidRPr="009E3EE7" w:rsidP="009E3EE7">
      <w:pPr>
        <w:pStyle w:val="Heading1"/>
      </w:pPr>
      <w:bookmarkStart w:id="10" w:name="O_247802"/>
      <w:bookmarkEnd w:id="10"/>
      <w:r w:rsidRPr="009E3EE7">
        <w:t>Evidence Guide</w:t>
      </w:r>
    </w:p>
    <w:tbl>
      <w:tblPr>
        <w:tblW w:w="0" w:type="auto"/>
        <w:tblLayout w:type="fixed"/>
        <w:tblCellMar>
          <w:left w:w="62" w:type="dxa"/>
          <w:right w:w="62" w:type="dxa"/>
        </w:tblCellMar>
        <w:tblLook w:val="0000"/>
      </w:tblPr>
      <w:tblGrid>
        <w:gridCol w:w="2160"/>
        <w:gridCol w:w="360"/>
        <w:gridCol w:w="900"/>
        <w:gridCol w:w="540"/>
        <w:gridCol w:w="1260"/>
        <w:gridCol w:w="3240"/>
      </w:tblGrid>
      <w:tr w:rsidTr="00D47115">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rPr>
                <w:rStyle w:val="SpecialBold"/>
              </w:rPr>
              <w:t>EVIDENCE GUIDE</w:t>
            </w:r>
          </w:p>
        </w:tc>
      </w:tr>
      <w:tr w:rsidTr="00D47115">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rPr>
                <w:rStyle w:val="SpecialBold"/>
              </w:rPr>
              <w:t>8</w:t>
            </w:r>
            <w:r w:rsidRPr="009E3EE7">
              <w:t xml:space="preserve">) The Evidence Guide forms an integral part of this Competency Standard Unit and shall be used in conjunction with all components parts of this unit and performed in accordance with the Assessment Guidelines of </w:t>
            </w:r>
            <w:r w:rsidRPr="009E3EE7">
              <w:t>this Training Package.</w:t>
            </w:r>
          </w:p>
        </w:tc>
      </w:tr>
      <w:tr w:rsidTr="00D471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rPr>
                <w:rStyle w:val="SpecialBold"/>
              </w:rPr>
              <w:t>Overview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rPr>
                <w:rStyle w:val="SpecialBold"/>
              </w:rPr>
              <w:t>8</w:t>
            </w:r>
            <w:r w:rsidRPr="009E3EE7">
              <w:t>.</w:t>
            </w:r>
            <w:r w:rsidRPr="009E3EE7">
              <w:rPr>
                <w:rStyle w:val="SpecialBold"/>
              </w:rPr>
              <w:t>1</w:t>
            </w:r>
            <w:r w:rsidRPr="009E3EE7">
              <w:t xml:space="preserve">) </w:t>
            </w:r>
          </w:p>
          <w:p w:rsidR="00000000" w:rsidRPr="009E3EE7" w:rsidP="009E3EE7">
            <w:pPr>
              <w:pStyle w:val="BodyText"/>
            </w:pPr>
            <w:r w:rsidRPr="009E3EE7">
              <w:t>Longitudinal competency development approaches to assessment, such as Profiling, require data to be reliably gathered in a form that can be consistently interpreted over time. This approach is best utilised in Apprenticeship programs and reduces assessment</w:t>
            </w:r>
            <w:r w:rsidRPr="009E3EE7">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E3EE7">
              <w:t>tency in a realistically simulated work environment. It is recognised that, in some circumstances, assessment in part or full can occur outside the workplace. However, it must be in accord with Industry regulatory policy in this regard.</w:t>
            </w:r>
          </w:p>
          <w:p w:rsidR="00000000" w:rsidRPr="009E3EE7" w:rsidP="009E3EE7">
            <w:pPr>
              <w:pStyle w:val="BodyText"/>
            </w:pPr>
            <w:r w:rsidRPr="009E3EE7">
              <w:t xml:space="preserve">Methods chosen for </w:t>
            </w:r>
            <w:r w:rsidRPr="009E3EE7">
              <w:t>a particular assessment will be influenced by various factors. These include the extent of the assessment, the most effective locations for the assessment activities to take place, access to physical resources, additional safety measures that may be requir</w:t>
            </w:r>
            <w:r w:rsidRPr="009E3EE7">
              <w:t>ed and the critical nature of the competencies being assessed.</w:t>
            </w:r>
          </w:p>
          <w:p w:rsidR="00000000" w:rsidRPr="009E3EE7" w:rsidP="009E3EE7">
            <w:pPr>
              <w:pStyle w:val="BodyText"/>
            </w:pPr>
            <w:r w:rsidRPr="009E3EE7">
              <w:t>The critical safety nature of working with electricity, electrical equipment, gas or any other hazardous substance/material carries risk in deeming a person competent. Hence, sources of evidenc</w:t>
            </w:r>
            <w:r w:rsidRPr="009E3EE7">
              <w:t>e need to be 'rich' in nature so as to minimise error in judgment.</w:t>
            </w:r>
          </w:p>
          <w:p w:rsidR="00000000" w:rsidP="009E3EE7">
            <w:pPr>
              <w:pStyle w:val="BodyText"/>
              <w:rPr>
                <w:lang w:val="en-NZ"/>
              </w:rPr>
            </w:pPr>
            <w:r w:rsidRPr="009E3EE7">
              <w:t>Activities associated with normal every day work have a bearing on the decision as to how much and how detailed the data gathered will contribute to its 'richness'. Some skills are more cri</w:t>
            </w:r>
            <w:r w:rsidRPr="009E3EE7">
              <w:t>tical to safety and operational requirements while the same skills may be more or less frequently practiced. These points are raised for the assessors to consider when choosing an assessment method and developing assessment instruments. Sample assessment i</w:t>
            </w:r>
            <w:r w:rsidRPr="009E3EE7">
              <w:t>nstruments are included for Assessors in the Assessment Guidelines of this Training Package.</w:t>
            </w:r>
          </w:p>
        </w:tc>
      </w:tr>
      <w:tr w:rsidTr="00D4711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rPr>
                <w:rStyle w:val="SpecialBold"/>
              </w:rPr>
              <w:t>Critical aspects of evidence required to demonstrate competency in this unit</w:t>
            </w:r>
          </w:p>
        </w:tc>
        <w:tc>
          <w:tcPr>
            <w:tcW w:w="6300" w:type="dxa"/>
            <w:gridSpan w:val="5"/>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rPr>
                <w:rStyle w:val="SpecialBold"/>
              </w:rPr>
              <w:t>8</w:t>
            </w:r>
            <w:r w:rsidRPr="009E3EE7">
              <w:t>.</w:t>
            </w:r>
            <w:r w:rsidRPr="009E3EE7">
              <w:rPr>
                <w:rStyle w:val="SpecialBold"/>
              </w:rPr>
              <w:t>2</w:t>
            </w:r>
            <w:r w:rsidRPr="009E3EE7">
              <w:t xml:space="preserve">) </w:t>
            </w:r>
          </w:p>
          <w:p w:rsidR="00000000" w:rsidP="009E3EE7">
            <w:pPr>
              <w:pStyle w:val="BodyText"/>
              <w:rPr>
                <w:lang w:val="en-NZ"/>
              </w:rPr>
            </w:pPr>
            <w:r w:rsidRPr="009E3EE7">
              <w:t>Before the critical aspects of evidence are considered all prerequisites shall be met.</w:t>
            </w:r>
          </w:p>
        </w:tc>
      </w:tr>
      <w:tr w:rsidTr="00D4711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t>Evidence for competence in this unit shall be considered holistically. Each element and associated Performance Criteria shall be demonstrated on at least two occas</w:t>
            </w:r>
            <w:r w:rsidRPr="009E3EE7">
              <w:t>ions in accordance with the 'Assessment Guidelines  UEG06'. Evidence shall also comprise.</w:t>
            </w:r>
          </w:p>
          <w:p w:rsidR="00000000" w:rsidP="009E3EE7">
            <w:pPr>
              <w:pStyle w:val="ListBullet"/>
              <w:rPr>
                <w:lang w:val="en-NZ"/>
              </w:rPr>
            </w:pPr>
            <w:r w:rsidRPr="009E3EE7">
              <w:t>A representative body of Performance Criteria demonstrated within the timeframes typically expected of the discipline, work function and industrial environment. In p</w:t>
            </w:r>
            <w:r w:rsidRPr="009E3EE7">
              <w:t>articular this shall incorporate evidence that shows a candidate is able to:</w:t>
            </w:r>
          </w:p>
        </w:tc>
      </w:tr>
      <w:tr w:rsidTr="00D471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9E3EE7" w:rsidP="009E3EE7">
            <w:pPr>
              <w:pStyle w:val="ListBullet2"/>
            </w:pPr>
            <w:r w:rsidRPr="009E3EE7">
              <w:t>Implement Occupational Health and Safety workplace procedures and practices including the use of risk control measures as specified in the Performance Criteria and range</w:t>
            </w:r>
          </w:p>
          <w:p w:rsidR="00000000" w:rsidRPr="009E3EE7" w:rsidP="009E3EE7">
            <w:pPr>
              <w:pStyle w:val="ListBullet2"/>
            </w:pPr>
            <w:r w:rsidRPr="009E3EE7">
              <w:t>Apply sustainable energy principles and practices as specified in the Performance Criteria and range</w:t>
            </w:r>
          </w:p>
          <w:p w:rsidR="00000000" w:rsidRPr="009E3EE7" w:rsidP="009E3EE7">
            <w:pPr>
              <w:pStyle w:val="ListBullet2"/>
            </w:pPr>
            <w:r w:rsidRPr="009E3EE7">
              <w:t>Demonstrate an understanding of the essential knowledge and associated skills as described in this unit to such an extent that the learner's performance ou</w:t>
            </w:r>
            <w:r w:rsidRPr="009E3EE7">
              <w:t>tcome is reported in accordance with the preferred approach; namely a percentile graded result, where required by the regulated environment</w:t>
            </w:r>
          </w:p>
          <w:p w:rsidR="00000000" w:rsidRPr="009E3EE7" w:rsidP="009E3EE7">
            <w:pPr>
              <w:pStyle w:val="ListBullet2"/>
            </w:pPr>
            <w:r w:rsidRPr="009E3EE7">
              <w:t>Demonstrate an appropriate level of skills enabling employment</w:t>
            </w:r>
          </w:p>
          <w:p w:rsidR="00000000" w:rsidP="009E3EE7">
            <w:pPr>
              <w:pStyle w:val="ListBullet2"/>
              <w:rPr>
                <w:lang w:val="en-NZ"/>
              </w:rPr>
            </w:pPr>
            <w:r w:rsidRPr="009E3EE7">
              <w:t>Conduct work observing the relevant anti discriminati</w:t>
            </w:r>
            <w:r w:rsidRPr="009E3EE7">
              <w:t>on legislation, regulations, polices and workplace procedures</w:t>
            </w:r>
          </w:p>
        </w:tc>
      </w:tr>
      <w:tr w:rsidTr="00D471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9E3EE7">
            <w:pPr>
              <w:pStyle w:val="ListBullet2"/>
              <w:rPr>
                <w:lang w:val="en-NZ"/>
              </w:rPr>
            </w:pPr>
            <w:r w:rsidRPr="009E3EE7">
              <w:t>Demonstrate performance across a representative range of contexts from the prescribed items below.</w:t>
            </w:r>
          </w:p>
        </w:tc>
      </w:tr>
      <w:tr w:rsidTr="00D471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9E3EE7">
            <w:pPr>
              <w:pStyle w:val="BodyText"/>
              <w:keepNext w:val="0"/>
              <w:keepLines w:val="0"/>
              <w:contextualSpacing w:val="0"/>
            </w:pPr>
          </w:p>
        </w:tc>
        <w:tc>
          <w:tcPr>
            <w:tcW w:w="594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rPr>
                <w:rStyle w:val="SpecialBold"/>
              </w:rPr>
              <w:t>Range of tools</w:t>
            </w:r>
            <w:r w:rsidRPr="009E3EE7">
              <w:t>/</w:t>
            </w:r>
            <w:r w:rsidRPr="009E3EE7">
              <w:rPr>
                <w:rStyle w:val="SpecialBold"/>
              </w:rPr>
              <w:t>equipment</w:t>
            </w:r>
            <w:r w:rsidRPr="009E3EE7">
              <w:t>/</w:t>
            </w:r>
            <w:r w:rsidRPr="009E3EE7">
              <w:rPr>
                <w:rStyle w:val="SpecialBold"/>
              </w:rPr>
              <w:t>materials</w:t>
            </w:r>
            <w:r w:rsidRPr="009E3EE7">
              <w:t>/</w:t>
            </w:r>
            <w:r w:rsidRPr="009E3EE7">
              <w:rPr>
                <w:rStyle w:val="SpecialBold"/>
              </w:rPr>
              <w:t>procedures</w:t>
            </w:r>
            <w:r w:rsidRPr="009E3EE7">
              <w:t>/</w:t>
            </w:r>
            <w:r w:rsidRPr="009E3EE7">
              <w:br/>
            </w:r>
            <w:r w:rsidRPr="009E3EE7">
              <w:rPr>
                <w:rStyle w:val="SpecialBold"/>
              </w:rPr>
              <w:t>workplaces</w:t>
            </w:r>
            <w:r w:rsidRPr="009E3EE7">
              <w:t>/</w:t>
            </w:r>
            <w:r w:rsidRPr="009E3EE7">
              <w:rPr>
                <w:rStyle w:val="SpecialBold"/>
              </w:rPr>
              <w:t>other variables</w:t>
            </w:r>
          </w:p>
        </w:tc>
      </w:tr>
      <w:tr w:rsidTr="00D471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9E3EE7">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EE7" w:rsidP="009E3EE7">
            <w:pPr>
              <w:pStyle w:val="BodyText"/>
            </w:pPr>
            <w:r w:rsidRPr="009E3EE7">
              <w:rPr>
                <w:rStyle w:val="SpecialBold"/>
              </w:rPr>
              <w:t>Group No</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EE7" w:rsidP="009E3EE7">
            <w:pPr>
              <w:pStyle w:val="BodyText"/>
            </w:pPr>
            <w:r w:rsidRPr="009E3EE7">
              <w:rPr>
                <w:rStyle w:val="SpecialBold"/>
              </w:rPr>
              <w:t>The minimum number of items on which skill is to be demonstrated</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rPr>
                <w:rStyle w:val="SpecialBold"/>
              </w:rPr>
              <w:t>Item List</w:t>
            </w:r>
          </w:p>
        </w:tc>
      </w:tr>
      <w:tr w:rsidTr="00D471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A</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EE7" w:rsidP="009E3EE7">
            <w:pPr>
              <w:pStyle w:val="BodyText"/>
            </w:pPr>
            <w:r w:rsidRPr="009E3EE7">
              <w:t>Identify threats to the integrity of distribution pipelines</w:t>
            </w:r>
          </w:p>
          <w:p w:rsidR="00000000" w:rsidRPr="009E3EE7" w:rsidP="009E3EE7">
            <w:pPr>
              <w:pStyle w:val="BodyText"/>
            </w:pPr>
            <w:r w:rsidRPr="009E3EE7">
              <w:t>Evidence preservation process</w:t>
            </w:r>
          </w:p>
          <w:p w:rsidR="00000000" w:rsidRPr="009E3EE7" w:rsidP="009E3EE7">
            <w:pPr>
              <w:pStyle w:val="BodyText"/>
            </w:pPr>
            <w:r w:rsidRPr="009E3EE7">
              <w:t>Evaluate threats that impact level of secondary response</w:t>
            </w:r>
          </w:p>
          <w:p w:rsidR="00000000" w:rsidRPr="009E3EE7" w:rsidP="009E3EE7">
            <w:pPr>
              <w:pStyle w:val="BodyText"/>
            </w:pPr>
            <w:r w:rsidRPr="009E3EE7">
              <w:t xml:space="preserve">Control the escalation of threats to the public, environment, transmission pipelines and facilities </w:t>
            </w:r>
          </w:p>
          <w:p w:rsidR="00000000" w:rsidRPr="009E3EE7" w:rsidP="009E3EE7">
            <w:pPr>
              <w:pStyle w:val="BodyText"/>
            </w:pPr>
            <w:r w:rsidRPr="009E3EE7">
              <w:t xml:space="preserve">Have a working knowledge of relevant sections of the latest edition of AS1697 </w:t>
            </w:r>
          </w:p>
          <w:p w:rsidR="00000000" w:rsidRPr="009E3EE7" w:rsidP="009E3EE7">
            <w:pPr>
              <w:pStyle w:val="BodyText"/>
            </w:pPr>
            <w:r w:rsidRPr="009E3EE7">
              <w:t>Have a working knowledge of security breach procedures</w:t>
            </w:r>
          </w:p>
          <w:p w:rsidR="00000000" w:rsidRPr="009E3EE7" w:rsidP="009E3EE7">
            <w:pPr>
              <w:pStyle w:val="BodyText"/>
            </w:pPr>
            <w:r w:rsidRPr="009E3EE7">
              <w:t>Have a working knowle</w:t>
            </w:r>
            <w:r w:rsidRPr="009E3EE7">
              <w:t>dge of emergency response manual</w:t>
            </w:r>
          </w:p>
          <w:p w:rsidR="00000000" w:rsidP="009E3EE7">
            <w:pPr>
              <w:pStyle w:val="BodyText"/>
              <w:rPr>
                <w:lang w:val="en-NZ"/>
              </w:rPr>
            </w:pPr>
            <w:r w:rsidRPr="009E3EE7">
              <w:t>Demonstrate the practical use of communications equipment</w:t>
            </w:r>
          </w:p>
        </w:tc>
      </w:tr>
      <w:tr w:rsidTr="00D471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B</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EE7" w:rsidP="009E3EE7">
            <w:pPr>
              <w:pStyle w:val="BodyText"/>
            </w:pPr>
            <w:r w:rsidRPr="009E3EE7">
              <w:t>Interpret technical drawings and symbols</w:t>
            </w:r>
          </w:p>
          <w:p w:rsidR="00000000" w:rsidRPr="009E3EE7" w:rsidP="009E3EE7">
            <w:pPr>
              <w:pStyle w:val="BodyText"/>
            </w:pPr>
            <w:r w:rsidRPr="009E3EE7">
              <w:t>Operation of gas detector</w:t>
            </w:r>
          </w:p>
          <w:p w:rsidR="00000000" w:rsidRPr="009E3EE7" w:rsidP="009E3EE7">
            <w:pPr>
              <w:pStyle w:val="BodyText"/>
            </w:pPr>
            <w:r w:rsidRPr="009E3EE7">
              <w:t>Operate pipe locater</w:t>
            </w:r>
          </w:p>
          <w:p w:rsidR="00000000" w:rsidRPr="009E3EE7" w:rsidP="009E3EE7">
            <w:pPr>
              <w:pStyle w:val="BodyText"/>
            </w:pPr>
            <w:r w:rsidRPr="009E3EE7">
              <w:t>Work utilising relevant OHS legislation, regulations, codes of practice, policies and procedures</w:t>
            </w:r>
          </w:p>
          <w:p w:rsidR="00000000" w:rsidRPr="009E3EE7" w:rsidP="009E3EE7">
            <w:pPr>
              <w:pStyle w:val="BodyText"/>
            </w:pPr>
            <w:r w:rsidRPr="009E3EE7">
              <w:t xml:space="preserve">Practical knowledge of the properties of product being transported </w:t>
            </w:r>
          </w:p>
          <w:p w:rsidR="00000000" w:rsidRPr="009E3EE7" w:rsidP="009E3EE7">
            <w:pPr>
              <w:pStyle w:val="BodyText"/>
            </w:pPr>
            <w:r w:rsidRPr="009E3EE7">
              <w:t>Work safely with hazardous materials and equipment</w:t>
            </w:r>
          </w:p>
          <w:p w:rsidR="00000000" w:rsidRPr="009E3EE7" w:rsidP="009E3EE7">
            <w:pPr>
              <w:pStyle w:val="BodyText"/>
            </w:pPr>
            <w:r w:rsidRPr="009E3EE7">
              <w:t>Apply safe manual handling techniques</w:t>
            </w:r>
          </w:p>
          <w:p w:rsidR="00000000" w:rsidRPr="009E3EE7" w:rsidP="009E3EE7">
            <w:pPr>
              <w:pStyle w:val="BodyText"/>
            </w:pPr>
            <w:r w:rsidRPr="009E3EE7">
              <w:t>Co</w:t>
            </w:r>
            <w:r w:rsidRPr="009E3EE7">
              <w:t>mmunicate effectively in the workplace</w:t>
            </w:r>
          </w:p>
          <w:p w:rsidR="00000000" w:rsidRPr="009E3EE7" w:rsidP="009E3EE7">
            <w:pPr>
              <w:pStyle w:val="BodyText"/>
            </w:pPr>
            <w:r w:rsidRPr="009E3EE7">
              <w:t>Negotiation skills</w:t>
            </w:r>
          </w:p>
          <w:p w:rsidR="00000000" w:rsidRPr="009E3EE7" w:rsidP="009E3EE7">
            <w:pPr>
              <w:pStyle w:val="BodyText"/>
            </w:pPr>
            <w:r w:rsidRPr="009E3EE7">
              <w:t>Apply basic planning skills</w:t>
            </w:r>
          </w:p>
          <w:p w:rsidR="00000000" w:rsidP="009E3EE7">
            <w:pPr>
              <w:pStyle w:val="BodyText"/>
              <w:rPr>
                <w:lang w:val="en-NZ"/>
              </w:rPr>
            </w:pPr>
            <w:r w:rsidRPr="009E3EE7">
              <w:t>First Aid certificate level 2</w:t>
            </w:r>
          </w:p>
        </w:tc>
      </w:tr>
      <w:tr w:rsidTr="00D471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C</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At least one occasion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Deal with an unplanned event by drawing on essential knowledge and associated skills to provide appropriate solutions in the holistic assessment with the items listed above</w:t>
            </w:r>
          </w:p>
        </w:tc>
      </w:tr>
      <w:tr w:rsidTr="00D471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rPr>
                <w:rStyle w:val="SpecialBold"/>
              </w:rPr>
              <w:t>Context of and specific resources for assessment</w:t>
            </w:r>
          </w:p>
        </w:tc>
        <w:tc>
          <w:tcPr>
            <w:tcW w:w="6300" w:type="dxa"/>
            <w:gridSpan w:val="5"/>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rPr>
                <w:rStyle w:val="SpecialBold"/>
              </w:rPr>
              <w:t>8</w:t>
            </w:r>
            <w:r w:rsidRPr="009E3EE7">
              <w:t>.</w:t>
            </w:r>
            <w:r w:rsidRPr="009E3EE7">
              <w:rPr>
                <w:rStyle w:val="SpecialBold"/>
              </w:rPr>
              <w:t>3</w:t>
            </w:r>
            <w:r w:rsidRPr="009E3EE7">
              <w:t xml:space="preserve">) </w:t>
            </w:r>
          </w:p>
          <w:p w:rsidR="00000000" w:rsidRPr="009E3EE7" w:rsidP="009E3EE7">
            <w:pPr>
              <w:pStyle w:val="BodyText"/>
            </w:pPr>
            <w:r w:rsidRPr="009E3EE7">
              <w:t>This unit should be assesse</w:t>
            </w:r>
            <w:r w:rsidRPr="009E3EE7">
              <w:t>d as it relates to normal work practice using procedures, information and resources typical of a workplace. This should include:</w:t>
            </w:r>
          </w:p>
          <w:p w:rsidR="00000000" w:rsidRPr="009E3EE7" w:rsidP="009E3EE7">
            <w:pPr>
              <w:pStyle w:val="ListBullet"/>
            </w:pPr>
            <w:r w:rsidRPr="009E3EE7">
              <w:t>OHS policy and work procedures and instructions.</w:t>
            </w:r>
          </w:p>
          <w:p w:rsidR="00000000" w:rsidRPr="009E3EE7" w:rsidP="009E3EE7">
            <w:pPr>
              <w:pStyle w:val="ListBullet"/>
            </w:pPr>
            <w:r w:rsidRPr="009E3EE7">
              <w:t>Suitable work environment, facilities, equipment and materials to undertake a</w:t>
            </w:r>
            <w:r w:rsidRPr="009E3EE7">
              <w:t>ctual work as prescribed by this Competency Standard Unit.</w:t>
            </w:r>
          </w:p>
          <w:p w:rsidR="00000000" w:rsidRPr="009E3EE7" w:rsidP="009E3EE7">
            <w:pPr>
              <w:pStyle w:val="ListBullet"/>
            </w:pPr>
            <w:r w:rsidRPr="009E3EE7">
              <w:t>Appropriate environmental regulation and work practices.</w:t>
            </w:r>
          </w:p>
          <w:p w:rsidR="00000000" w:rsidRPr="009E3EE7" w:rsidP="009E3EE7">
            <w:pPr>
              <w:pStyle w:val="ListBullet"/>
            </w:pPr>
            <w:r w:rsidRPr="009E3EE7">
              <w:t>Appropriate organisational requirements.</w:t>
            </w:r>
          </w:p>
          <w:p w:rsidR="00000000" w:rsidP="009E3EE7">
            <w:pPr>
              <w:pStyle w:val="ListBullet"/>
              <w:rPr>
                <w:lang w:val="en-NZ"/>
              </w:rPr>
            </w:pPr>
            <w:r w:rsidRPr="009E3EE7">
              <w:t>Appropriate work environment, equipment and tools.</w:t>
            </w:r>
          </w:p>
        </w:tc>
      </w:tr>
      <w:tr w:rsidTr="00D471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In addition to the resources listed above, in context of specific resources for assessment, evidence should show demonstrated competency of first on site emergency response on a distribution pipeline.</w:t>
            </w:r>
          </w:p>
        </w:tc>
      </w:tr>
      <w:tr w:rsidTr="00D471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Assessment of this competency must also be undertaken in either an actual workplace or under a simulated work environment. Assessment must also integrate the key competencies.</w:t>
            </w:r>
          </w:p>
        </w:tc>
      </w:tr>
      <w:tr w:rsidTr="00D471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rPr>
                <w:rStyle w:val="SpecialBold"/>
              </w:rPr>
              <w:t>Method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rPr>
                <w:rStyle w:val="SpecialBold"/>
              </w:rPr>
              <w:t>8</w:t>
            </w:r>
            <w:r w:rsidRPr="009E3EE7">
              <w:t>.</w:t>
            </w:r>
            <w:r w:rsidRPr="009E3EE7">
              <w:rPr>
                <w:rStyle w:val="SpecialBold"/>
              </w:rPr>
              <w:t>4</w:t>
            </w:r>
            <w:r w:rsidRPr="009E3EE7">
              <w:t xml:space="preserve">) </w:t>
            </w:r>
          </w:p>
          <w:p w:rsidR="00000000" w:rsidRPr="009E3EE7" w:rsidP="009E3EE7">
            <w:pPr>
              <w:pStyle w:val="BodyText"/>
            </w:pPr>
            <w:r w:rsidRPr="009E3EE7">
              <w:t xml:space="preserve">This Competency Standard Unit shall be assessed </w:t>
            </w:r>
            <w:r w:rsidRPr="009E3EE7">
              <w:t>by methods given in Volume 1, Part 3 'Assessment Guidelines'.</w:t>
            </w:r>
          </w:p>
          <w:p w:rsidR="00000000" w:rsidP="009E3EE7">
            <w:pPr>
              <w:pStyle w:val="BodyText"/>
              <w:rPr>
                <w:lang w:val="en-NZ"/>
              </w:rPr>
            </w:pPr>
            <w:r w:rsidRPr="009E3EE7">
              <w:t>Note:</w:t>
            </w:r>
            <w:r w:rsidRPr="009E3EE7">
              <w:br/>
              <w:t xml:space="preserve">Competent performance with inherent safe working practices is expected in the Industry to which this Competency Standard Unit applies. This requires that the specified Essential Knowledge </w:t>
            </w:r>
            <w:r w:rsidRPr="009E3EE7">
              <w:t>and Associated Skills are assessed in a structured environment which is primarily intended for learning/assessment and incorporates all necessary equipment and facilities for learners to develop and demonstrate the essential knowledge and associated skills</w:t>
            </w:r>
            <w:r w:rsidRPr="009E3EE7">
              <w:t xml:space="preserve"> described in this unit.</w:t>
            </w:r>
          </w:p>
        </w:tc>
      </w:tr>
      <w:tr w:rsidTr="00D4711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rPr>
                <w:rStyle w:val="SpecialBold"/>
              </w:rPr>
              <w:t>Concurrent assessment and relationship with other units</w:t>
            </w:r>
          </w:p>
        </w:tc>
        <w:tc>
          <w:tcPr>
            <w:tcW w:w="6300" w:type="dxa"/>
            <w:gridSpan w:val="5"/>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rPr>
                <w:rStyle w:val="SpecialBold"/>
              </w:rPr>
              <w:t>8</w:t>
            </w:r>
            <w:r w:rsidRPr="009E3EE7">
              <w:t>.</w:t>
            </w:r>
            <w:r w:rsidRPr="009E3EE7">
              <w:rPr>
                <w:rStyle w:val="SpecialBold"/>
              </w:rPr>
              <w:t>5</w:t>
            </w:r>
            <w:r w:rsidRPr="009E3EE7">
              <w:t xml:space="preserve">) </w:t>
            </w:r>
          </w:p>
        </w:tc>
      </w:tr>
      <w:tr w:rsidTr="00D4711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There are no recommended concurrent assessments with this unit, however in some cases efficiencies may be gained in terms of learning and assessment effo</w:t>
            </w:r>
            <w:r w:rsidRPr="009E3EE7">
              <w:t>rt being concurrently managed with allied Competency Standard Units where listed.</w:t>
            </w:r>
          </w:p>
        </w:tc>
      </w:tr>
      <w:tr w:rsidTr="00D4711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 xml:space="preserve">UEGNSG102A </w:t>
            </w:r>
          </w:p>
        </w:tc>
        <w:tc>
          <w:tcPr>
            <w:tcW w:w="4500" w:type="dxa"/>
            <w:gridSpan w:val="2"/>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Carry out work activities in a utilities industry work environment</w:t>
            </w:r>
          </w:p>
        </w:tc>
      </w:tr>
      <w:tr w:rsidTr="00D471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 xml:space="preserve">UEGNSG103A </w:t>
            </w:r>
          </w:p>
        </w:tc>
        <w:tc>
          <w:tcPr>
            <w:tcW w:w="4500" w:type="dxa"/>
            <w:gridSpan w:val="2"/>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Comply with workplace OHS procedures and practices</w:t>
            </w:r>
          </w:p>
        </w:tc>
      </w:tr>
      <w:tr w:rsidTr="00D471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 xml:space="preserve">UEGNSG104A </w:t>
            </w:r>
          </w:p>
        </w:tc>
        <w:tc>
          <w:tcPr>
            <w:tcW w:w="4500" w:type="dxa"/>
            <w:gridSpan w:val="2"/>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Comply with environmental policies and procedures</w:t>
            </w:r>
          </w:p>
        </w:tc>
      </w:tr>
      <w:tr w:rsidTr="00D471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 xml:space="preserve">UEGNSG105A </w:t>
            </w:r>
          </w:p>
        </w:tc>
        <w:tc>
          <w:tcPr>
            <w:tcW w:w="4500" w:type="dxa"/>
            <w:gridSpan w:val="2"/>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Establish the work site</w:t>
            </w:r>
          </w:p>
        </w:tc>
      </w:tr>
      <w:tr w:rsidTr="00D471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BSBCMN302A</w:t>
            </w:r>
          </w:p>
        </w:tc>
        <w:tc>
          <w:tcPr>
            <w:tcW w:w="4500" w:type="dxa"/>
            <w:gridSpan w:val="2"/>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Organise personal work priorities and professional development</w:t>
            </w:r>
          </w:p>
        </w:tc>
      </w:tr>
      <w:tr w:rsidTr="00D471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BSBFLM312A</w:t>
            </w:r>
          </w:p>
        </w:tc>
        <w:tc>
          <w:tcPr>
            <w:tcW w:w="4500" w:type="dxa"/>
            <w:gridSpan w:val="2"/>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 xml:space="preserve">Contribute to team effectiveness </w:t>
            </w:r>
          </w:p>
        </w:tc>
      </w:tr>
      <w:tr w:rsidTr="00D471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BSBFLM303A</w:t>
            </w:r>
          </w:p>
        </w:tc>
        <w:tc>
          <w:tcPr>
            <w:tcW w:w="4500" w:type="dxa"/>
            <w:gridSpan w:val="2"/>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Contribute to effective workplace relationships</w:t>
            </w:r>
          </w:p>
        </w:tc>
      </w:tr>
      <w:tr w:rsidTr="00D471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BSBCMN311A</w:t>
            </w:r>
          </w:p>
        </w:tc>
        <w:tc>
          <w:tcPr>
            <w:tcW w:w="4500" w:type="dxa"/>
            <w:gridSpan w:val="2"/>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t>Maintain workplace safety</w:t>
            </w:r>
          </w:p>
        </w:tc>
      </w:tr>
    </w:tbl>
    <w:p w:rsidR="00000000" w:rsidRPr="009E3EE7" w:rsidP="009E3EE7">
      <w:pPr>
        <w:pStyle w:val="BodyText"/>
      </w:pPr>
    </w:p>
    <w:tbl>
      <w:tblPr>
        <w:tblW w:w="0" w:type="auto"/>
        <w:tblLayout w:type="fixed"/>
        <w:tblCellMar>
          <w:left w:w="62" w:type="dxa"/>
          <w:right w:w="62" w:type="dxa"/>
        </w:tblCellMar>
        <w:tblLook w:val="0000"/>
      </w:tblPr>
      <w:tblGrid>
        <w:gridCol w:w="2160"/>
        <w:gridCol w:w="4737"/>
        <w:gridCol w:w="1563"/>
      </w:tblGrid>
      <w:tr w:rsidTr="00D47115">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9E3EE7" w:rsidP="009E3EE7">
            <w:pPr>
              <w:pStyle w:val="BodyText"/>
            </w:pPr>
            <w:r w:rsidRPr="009E3EE7">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rPr>
                <w:rStyle w:val="SpecialBold"/>
              </w:rPr>
              <w:t>8</w:t>
            </w:r>
            <w:r w:rsidRPr="009E3EE7">
              <w:t>.</w:t>
            </w:r>
            <w:r w:rsidRPr="009E3EE7">
              <w:rPr>
                <w:rStyle w:val="SpecialBold"/>
              </w:rPr>
              <w:t>6</w:t>
            </w:r>
            <w:r w:rsidRPr="009E3EE7">
              <w:t xml:space="preserve">) Evidence that particular </w:t>
            </w:r>
            <w:r w:rsidRPr="009E3EE7">
              <w:t>key competencies have been achieved within this Competency Standard Unit is in the context of the following Performance Criteria of evidence. See Volume 2, Part 4 for an explanation of Key Competencies and levels of this Training Package.</w:t>
            </w:r>
          </w:p>
        </w:tc>
      </w:tr>
      <w:tr w:rsidTr="00D47115">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EE7" w:rsidP="009E3EE7">
            <w:pPr>
              <w:pStyle w:val="BodyText"/>
            </w:pPr>
            <w:r w:rsidRPr="009E3EE7">
              <w:rPr>
                <w:rStyle w:val="SpecialBold"/>
              </w:rPr>
              <w:t>Key Competencie</w:t>
            </w:r>
            <w:r w:rsidRPr="009E3EE7">
              <w:rPr>
                <w:rStyle w:val="SpecialBold"/>
              </w:rPr>
              <w:t>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EE7" w:rsidP="009E3EE7">
            <w:pPr>
              <w:pStyle w:val="BodyText"/>
            </w:pPr>
            <w:r w:rsidRPr="009E3EE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rPr>
                <w:rStyle w:val="SpecialBold"/>
              </w:rPr>
              <w:t>Performance Level</w:t>
            </w:r>
          </w:p>
        </w:tc>
      </w:tr>
      <w:tr w:rsidTr="00D4711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3EE7">
            <w:pPr>
              <w:pStyle w:val="BodyText"/>
              <w:rPr>
                <w:lang w:val="en-NZ"/>
              </w:rPr>
            </w:pPr>
            <w:r w:rsidRPr="009E3EE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EE7" w:rsidP="009E3EE7">
            <w:pPr>
              <w:pStyle w:val="BodyText"/>
            </w:pPr>
          </w:p>
          <w:p w:rsidR="00000000" w:rsidP="009E3EE7">
            <w:pPr>
              <w:pStyle w:val="BodyText"/>
              <w:rPr>
                <w:lang w:val="en-NZ"/>
              </w:rPr>
            </w:pPr>
            <w:r w:rsidRPr="009E3EE7">
              <w:t>3</w:t>
            </w:r>
          </w:p>
        </w:tc>
      </w:tr>
      <w:tr w:rsidTr="00D4711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1.4; 1.8; 1.9;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p>
        </w:tc>
      </w:tr>
      <w:tr w:rsidTr="00D4711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 xml:space="preserve">How can information be collected, analysed </w:t>
            </w:r>
            <w:r w:rsidRPr="009E3EE7">
              <w:t>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3EE7">
            <w:pPr>
              <w:pStyle w:val="BodyText"/>
              <w:rPr>
                <w:lang w:val="en-NZ"/>
              </w:rPr>
            </w:pPr>
            <w:r w:rsidRPr="009E3EE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EE7" w:rsidP="009E3EE7">
            <w:pPr>
              <w:pStyle w:val="BodyText"/>
            </w:pPr>
          </w:p>
          <w:p w:rsidR="00000000" w:rsidP="009E3EE7">
            <w:pPr>
              <w:pStyle w:val="BodyText"/>
              <w:rPr>
                <w:lang w:val="en-NZ"/>
              </w:rPr>
            </w:pPr>
            <w:r w:rsidRPr="009E3EE7">
              <w:t>2</w:t>
            </w:r>
          </w:p>
        </w:tc>
      </w:tr>
      <w:tr w:rsidTr="00D4711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1.2; 1.3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p>
        </w:tc>
      </w:tr>
      <w:tr w:rsidTr="00D4711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3EE7">
            <w:pPr>
              <w:pStyle w:val="BodyText"/>
              <w:rPr>
                <w:lang w:val="en-NZ"/>
              </w:rPr>
            </w:pPr>
            <w:r w:rsidRPr="009E3EE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EE7" w:rsidP="009E3EE7">
            <w:pPr>
              <w:pStyle w:val="BodyText"/>
            </w:pPr>
          </w:p>
          <w:p w:rsidR="00000000" w:rsidP="009E3EE7">
            <w:pPr>
              <w:pStyle w:val="BodyText"/>
              <w:rPr>
                <w:lang w:val="en-NZ"/>
              </w:rPr>
            </w:pPr>
            <w:r w:rsidRPr="009E3EE7">
              <w:t>2</w:t>
            </w:r>
          </w:p>
        </w:tc>
      </w:tr>
      <w:tr w:rsidTr="00D4711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1.2; 1.7; 2.5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p>
        </w:tc>
      </w:tr>
      <w:tr w:rsidTr="00D4711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3EE7">
            <w:pPr>
              <w:pStyle w:val="BodyText"/>
              <w:rPr>
                <w:lang w:val="en-NZ"/>
              </w:rPr>
            </w:pPr>
            <w:r w:rsidRPr="009E3EE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EE7" w:rsidP="009E3EE7">
            <w:pPr>
              <w:pStyle w:val="BodyText"/>
            </w:pPr>
          </w:p>
          <w:p w:rsidR="00000000" w:rsidP="009E3EE7">
            <w:pPr>
              <w:pStyle w:val="BodyText"/>
              <w:rPr>
                <w:lang w:val="en-NZ"/>
              </w:rPr>
            </w:pPr>
            <w:r w:rsidRPr="009E3EE7">
              <w:t>2</w:t>
            </w:r>
          </w:p>
        </w:tc>
      </w:tr>
      <w:tr w:rsidTr="00D4711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1.2; 1.4;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p>
        </w:tc>
      </w:tr>
      <w:tr w:rsidTr="00D4711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3EE7">
            <w:pPr>
              <w:pStyle w:val="BodyText"/>
              <w:rPr>
                <w:lang w:val="en-NZ"/>
              </w:rPr>
            </w:pPr>
            <w:r w:rsidRPr="009E3EE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EE7" w:rsidP="009E3EE7">
            <w:pPr>
              <w:pStyle w:val="BodyText"/>
            </w:pPr>
          </w:p>
          <w:p w:rsidR="00000000" w:rsidP="009E3EE7">
            <w:pPr>
              <w:pStyle w:val="BodyText"/>
              <w:rPr>
                <w:lang w:val="en-NZ"/>
              </w:rPr>
            </w:pPr>
            <w:r w:rsidRPr="009E3EE7">
              <w:t>N/A</w:t>
            </w:r>
          </w:p>
        </w:tc>
      </w:tr>
      <w:tr w:rsidTr="00D4711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p>
        </w:tc>
      </w:tr>
      <w:tr w:rsidTr="00D4711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3EE7">
            <w:pPr>
              <w:pStyle w:val="BodyText"/>
              <w:rPr>
                <w:lang w:val="en-NZ"/>
              </w:rPr>
            </w:pPr>
            <w:r w:rsidRPr="009E3EE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EE7" w:rsidP="009E3EE7">
            <w:pPr>
              <w:pStyle w:val="BodyText"/>
            </w:pPr>
          </w:p>
          <w:p w:rsidR="00000000" w:rsidP="009E3EE7">
            <w:pPr>
              <w:pStyle w:val="BodyText"/>
              <w:rPr>
                <w:lang w:val="en-NZ"/>
              </w:rPr>
            </w:pPr>
            <w:r w:rsidRPr="009E3EE7">
              <w:t>2</w:t>
            </w:r>
          </w:p>
        </w:tc>
      </w:tr>
      <w:tr w:rsidTr="00D4711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2.11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p>
        </w:tc>
      </w:tr>
      <w:tr w:rsidTr="00D4711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3EE7">
            <w:pPr>
              <w:pStyle w:val="BodyText"/>
              <w:rPr>
                <w:lang w:val="en-NZ"/>
              </w:rPr>
            </w:pPr>
            <w:r w:rsidRPr="009E3EE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EE7" w:rsidP="009E3EE7">
            <w:pPr>
              <w:pStyle w:val="BodyText"/>
            </w:pPr>
          </w:p>
          <w:p w:rsidR="00000000" w:rsidP="009E3EE7">
            <w:pPr>
              <w:pStyle w:val="BodyText"/>
              <w:rPr>
                <w:lang w:val="en-NZ"/>
              </w:rPr>
            </w:pPr>
            <w:r w:rsidRPr="009E3EE7">
              <w:t>2</w:t>
            </w:r>
          </w:p>
        </w:tc>
      </w:tr>
      <w:tr w:rsidTr="00D4711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EE7" w:rsidP="009E3EE7">
            <w:pPr>
              <w:pStyle w:val="BodyText"/>
            </w:pPr>
          </w:p>
        </w:tc>
      </w:tr>
    </w:tbl>
    <w:p w:rsidR="00000000" w:rsidRPr="009E3EE7" w:rsidP="009E3EE7">
      <w:pPr>
        <w:pStyle w:val="BodyText"/>
      </w:pPr>
    </w:p>
    <w:tbl>
      <w:tblPr>
        <w:tblW w:w="0" w:type="auto"/>
        <w:tblLayout w:type="fixed"/>
        <w:tblCellMar>
          <w:left w:w="62" w:type="dxa"/>
          <w:right w:w="62" w:type="dxa"/>
        </w:tblCellMar>
        <w:tblLook w:val="0000"/>
      </w:tblPr>
      <w:tblGrid>
        <w:gridCol w:w="326"/>
        <w:gridCol w:w="1834"/>
        <w:gridCol w:w="6300"/>
      </w:tblGrid>
      <w:tr w:rsidTr="00D4711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9E3EE7" w:rsidP="009E3EE7">
            <w:pPr>
              <w:pStyle w:val="BodyText"/>
            </w:pPr>
            <w:r w:rsidRPr="009E3EE7">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9E3EE7" w:rsidP="009E3EE7">
            <w:pPr>
              <w:pStyle w:val="BodyText"/>
            </w:pPr>
            <w:r w:rsidRPr="009E3EE7">
              <w:rPr>
                <w:rStyle w:val="SpecialBold"/>
              </w:rPr>
              <w:t>8</w:t>
            </w:r>
            <w:r w:rsidRPr="009E3EE7">
              <w:t>.</w:t>
            </w:r>
            <w:r w:rsidRPr="009E3EE7">
              <w:rPr>
                <w:rStyle w:val="SpecialBold"/>
              </w:rPr>
              <w:t>7</w:t>
            </w:r>
            <w:r w:rsidRPr="009E3EE7">
              <w:t xml:space="preserve">) </w:t>
            </w:r>
          </w:p>
          <w:p w:rsidR="00000000" w:rsidP="009E3EE7">
            <w:pPr>
              <w:pStyle w:val="BodyText"/>
              <w:rPr>
                <w:lang w:val="en-NZ"/>
              </w:rPr>
            </w:pPr>
            <w:r w:rsidRPr="009E3EE7">
              <w:t xml:space="preserve">Evidence that competency in this unit incorporates skills enabling employment is in the context of the following performance. See Volume 2, Part 5 for definitions and an explanation of skills enabling employment. </w:t>
            </w:r>
          </w:p>
        </w:tc>
      </w:tr>
      <w:tr w:rsidTr="00D4711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EE7" w:rsidP="009E3EE7">
            <w:pPr>
              <w:pStyle w:val="BodyText"/>
            </w:pPr>
            <w:r w:rsidRPr="009E3EE7">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rPr>
                <w:rStyle w:val="SpecialBold"/>
              </w:rPr>
              <w:t>Example of Application</w:t>
            </w:r>
          </w:p>
        </w:tc>
      </w:tr>
      <w:tr w:rsidTr="00D4711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3EE7">
            <w:pPr>
              <w:pStyle w:val="BodyText"/>
              <w:rPr>
                <w:lang w:val="en-NZ"/>
              </w:rPr>
            </w:pPr>
            <w:r w:rsidRPr="009E3EE7">
              <w:t>Refer to the following Performance Criteria for examples of application:</w:t>
            </w:r>
          </w:p>
        </w:tc>
      </w:tr>
      <w:tr w:rsidTr="00D4711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All</w:t>
            </w:r>
          </w:p>
        </w:tc>
      </w:tr>
      <w:tr w:rsidTr="00D4711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3EE7">
            <w:pPr>
              <w:pStyle w:val="BodyText"/>
              <w:rPr>
                <w:lang w:val="en-NZ"/>
              </w:rPr>
            </w:pPr>
            <w:r w:rsidRPr="009E3EE7">
              <w:t>Refer to the following Performance Criteria for examples of application:</w:t>
            </w:r>
          </w:p>
        </w:tc>
      </w:tr>
      <w:tr w:rsidTr="00D4711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1.3; 2.11</w:t>
            </w:r>
          </w:p>
        </w:tc>
      </w:tr>
      <w:tr w:rsidTr="00D4711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3EE7">
            <w:pPr>
              <w:pStyle w:val="BodyText"/>
              <w:rPr>
                <w:lang w:val="en-NZ"/>
              </w:rPr>
            </w:pPr>
            <w:r w:rsidRPr="009E3EE7">
              <w:t>Refer to the following Performance Criteria for examples of application:</w:t>
            </w:r>
          </w:p>
        </w:tc>
      </w:tr>
      <w:tr w:rsidTr="00D4711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3.6</w:t>
            </w:r>
          </w:p>
        </w:tc>
      </w:tr>
      <w:tr w:rsidTr="00D4711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3EE7">
            <w:pPr>
              <w:pStyle w:val="BodyText"/>
              <w:rPr>
                <w:lang w:val="en-NZ"/>
              </w:rPr>
            </w:pPr>
            <w:r w:rsidRPr="009E3EE7">
              <w:t>Refer to the following Performance Criteria for examples of application:</w:t>
            </w:r>
          </w:p>
        </w:tc>
      </w:tr>
      <w:tr w:rsidTr="00D4711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1.4; 1.9; 2.11</w:t>
            </w:r>
          </w:p>
        </w:tc>
      </w:tr>
      <w:tr w:rsidTr="00D4711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3EE7">
            <w:pPr>
              <w:pStyle w:val="BodyText"/>
              <w:rPr>
                <w:lang w:val="en-NZ"/>
              </w:rPr>
            </w:pPr>
            <w:r w:rsidRPr="009E3EE7">
              <w:t>Refer to the following Performance Criteria for examples of application:</w:t>
            </w:r>
          </w:p>
        </w:tc>
      </w:tr>
      <w:tr w:rsidTr="00D4711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1.3</w:t>
            </w:r>
          </w:p>
        </w:tc>
      </w:tr>
      <w:tr w:rsidTr="00D4711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EE7">
            <w:pPr>
              <w:pStyle w:val="BodyText"/>
              <w:rPr>
                <w:lang w:val="en-NZ"/>
              </w:rPr>
            </w:pPr>
            <w:r w:rsidRPr="009E3EE7">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3EE7">
            <w:pPr>
              <w:pStyle w:val="BodyText"/>
              <w:rPr>
                <w:lang w:val="en-NZ"/>
              </w:rPr>
            </w:pPr>
            <w:r w:rsidRPr="009E3EE7">
              <w:t>Refer to the following Performance Criteria for examples of application:</w:t>
            </w:r>
          </w:p>
        </w:tc>
      </w:tr>
      <w:tr w:rsidTr="00D4711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E3EE7" w:rsidP="009E3EE7">
            <w:pPr>
              <w:pStyle w:val="BodyText"/>
            </w:pPr>
            <w:r w:rsidRPr="009E3EE7">
              <w:t>2.11</w:t>
            </w:r>
          </w:p>
        </w:tc>
      </w:tr>
    </w:tbl>
    <w:p w:rsidR="00D47115" w:rsidP="009E3EE7">
      <w:pPr>
        <w:pStyle w:val="BodyText"/>
      </w:pPr>
    </w:p>
    <w:p w:rsidR="00D47115" w:rsidP="009E3EE7">
      <w:pPr>
        <w:pStyle w:val="BodyText"/>
      </w:pPr>
    </w:p>
    <w:p w:rsidR="00000000" w:rsidRPr="009E3EE7" w:rsidP="009E3EE7">
      <w:pPr>
        <w:pStyle w:val="Heading1"/>
      </w:pPr>
      <w:bookmarkStart w:id="11" w:name="O_255786"/>
      <w:bookmarkEnd w:id="11"/>
      <w:r w:rsidRPr="009E3EE7">
        <w:t>Range Statement</w:t>
      </w:r>
    </w:p>
    <w:tbl>
      <w:tblPr>
        <w:tblW w:w="0" w:type="auto"/>
        <w:tblLayout w:type="fixed"/>
        <w:tblCellMar>
          <w:left w:w="62" w:type="dxa"/>
          <w:right w:w="62" w:type="dxa"/>
        </w:tblCellMar>
        <w:tblLook w:val="0000"/>
      </w:tblPr>
      <w:tblGrid>
        <w:gridCol w:w="8460"/>
      </w:tblGrid>
      <w:tr w:rsidTr="00D4711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rPr>
                <w:rStyle w:val="SpecialBold"/>
              </w:rPr>
              <w:t>RANGE STATEMENT</w:t>
            </w:r>
          </w:p>
        </w:tc>
      </w:tr>
      <w:tr w:rsidTr="00D4711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rPr>
                <w:rStyle w:val="SpecialBold"/>
              </w:rPr>
              <w:t>7</w:t>
            </w:r>
            <w:r w:rsidRPr="009E3EE7">
              <w:t xml:space="preserve">) This relates to the competency standard unit as a whole providing the range of contexts and conditions </w:t>
            </w:r>
            <w:r w:rsidRPr="009E3EE7">
              <w:t>to which the Performance Criteria apply. It allows for different work environments and situations that will affect performance.</w:t>
            </w:r>
          </w:p>
        </w:tc>
      </w:tr>
      <w:tr w:rsidTr="00D4711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t>This Competency Standard Unit shall/may be demonstrated in relation to first on site emergency response and distribution pipeli</w:t>
            </w:r>
            <w:r w:rsidRPr="009E3EE7">
              <w:t>ne.</w:t>
            </w:r>
          </w:p>
          <w:p w:rsidR="00000000" w:rsidRPr="009E3EE7" w:rsidP="009E3EE7">
            <w:pPr>
              <w:pStyle w:val="BodyText"/>
            </w:pPr>
            <w:r w:rsidRPr="009E3EE7">
              <w:t>The following constants and variables included in the Element/Performance Criteria in this unit are fully described in the Definitions Section of this volume and form an integral part of the Range Statement of this unit:</w:t>
            </w:r>
          </w:p>
          <w:p w:rsidR="00000000" w:rsidRPr="009E3EE7" w:rsidP="009E3EE7">
            <w:pPr>
              <w:pStyle w:val="BodyText"/>
            </w:pPr>
            <w:r w:rsidRPr="009E3EE7">
              <w:t>Tools and equipment (4)</w:t>
            </w:r>
          </w:p>
          <w:p w:rsidR="00000000" w:rsidRPr="009E3EE7" w:rsidP="009E3EE7">
            <w:pPr>
              <w:pStyle w:val="BodyText"/>
            </w:pPr>
            <w:r w:rsidRPr="009E3EE7">
              <w:t>Maps an</w:t>
            </w:r>
            <w:r w:rsidRPr="009E3EE7">
              <w:t>d drawings</w:t>
            </w:r>
          </w:p>
          <w:p w:rsidR="00000000" w:rsidRPr="009E3EE7" w:rsidP="009E3EE7">
            <w:pPr>
              <w:pStyle w:val="BodyText"/>
            </w:pPr>
            <w:r w:rsidRPr="009E3EE7">
              <w:t>Established procedures</w:t>
            </w:r>
          </w:p>
          <w:p w:rsidR="00000000" w:rsidRPr="009E3EE7" w:rsidP="009E3EE7">
            <w:pPr>
              <w:pStyle w:val="BodyText"/>
            </w:pPr>
            <w:r w:rsidRPr="009E3EE7">
              <w:t>PPE and First Aid equipment</w:t>
            </w:r>
          </w:p>
          <w:p w:rsidR="00000000" w:rsidRPr="009E3EE7" w:rsidP="009E3EE7">
            <w:pPr>
              <w:pStyle w:val="BodyText"/>
            </w:pPr>
            <w:r w:rsidRPr="009E3EE7">
              <w:t>Traffic control</w:t>
            </w:r>
          </w:p>
          <w:p w:rsidR="00000000" w:rsidRPr="009E3EE7" w:rsidP="009E3EE7">
            <w:pPr>
              <w:pStyle w:val="BodyText"/>
            </w:pPr>
            <w:r w:rsidRPr="009E3EE7">
              <w:t>Emergency response manuals</w:t>
            </w:r>
          </w:p>
          <w:p w:rsidR="00000000" w:rsidRPr="009E3EE7" w:rsidP="009E3EE7">
            <w:pPr>
              <w:pStyle w:val="BodyText"/>
            </w:pPr>
            <w:r w:rsidRPr="009E3EE7">
              <w:t>Security breach investigation practices</w:t>
            </w:r>
          </w:p>
        </w:tc>
      </w:tr>
    </w:tbl>
    <w:p w:rsidR="00D47115" w:rsidP="009E3EE7">
      <w:pPr>
        <w:pStyle w:val="BodyText"/>
      </w:pPr>
    </w:p>
    <w:p w:rsidR="00D47115" w:rsidP="009E3EE7">
      <w:pPr>
        <w:pStyle w:val="BodyText"/>
      </w:pPr>
    </w:p>
    <w:p w:rsidR="00000000" w:rsidRPr="009E3EE7" w:rsidP="009E3EE7">
      <w:pPr>
        <w:pStyle w:val="Heading1"/>
      </w:pPr>
      <w:bookmarkStart w:id="12" w:name="O_296799"/>
      <w:bookmarkEnd w:id="12"/>
      <w:r w:rsidRPr="009E3EE7">
        <w:t>Unit Sector(s)</w:t>
      </w:r>
    </w:p>
    <w:p w:rsidR="00000000" w:rsidRPr="009E3EE7" w:rsidP="009E3EE7">
      <w:pPr>
        <w:pStyle w:val="BodyText"/>
      </w:pPr>
      <w:r w:rsidRPr="009E3EE7">
        <w:t>Not Applicable</w:t>
      </w:r>
    </w:p>
    <w:p w:rsidR="00000000" w:rsidRPr="009E3EE7" w:rsidP="009E3EE7">
      <w:pPr>
        <w:pStyle w:val="AllowPageBreak"/>
      </w:pPr>
    </w:p>
    <w:p w:rsidR="00000000" w:rsidRPr="009E3EE7" w:rsidP="009E3EE7">
      <w:pPr>
        <w:pStyle w:val="Heading1"/>
      </w:pPr>
      <w:bookmarkStart w:id="13" w:name="O_229456"/>
      <w:bookmarkEnd w:id="13"/>
      <w:r w:rsidRPr="009E3EE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471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rPr>
                <w:rStyle w:val="SpecialBold"/>
              </w:rPr>
              <w:t>2</w:t>
            </w:r>
            <w:r w:rsidRPr="009E3EE7">
              <w:t>.</w:t>
            </w:r>
            <w:r w:rsidRPr="009E3EE7">
              <w:rPr>
                <w:rStyle w:val="SpecialBold"/>
              </w:rPr>
              <w:t>2</w:t>
            </w:r>
            <w:r w:rsidRPr="009E3EE7">
              <w:t xml:space="preserve">) </w:t>
            </w:r>
          </w:p>
          <w:p w:rsidR="00000000" w:rsidP="009E3EE7">
            <w:pPr>
              <w:pStyle w:val="BodyText"/>
              <w:rPr>
                <w:lang w:val="en-NZ"/>
              </w:rPr>
            </w:pPr>
            <w:r w:rsidRPr="009E3EE7">
              <w:t>Participants are best equipped to achieve this unit if they have reading, writing and numeracy skills indicated by the following scales. Description of each scale is given in Volume 2, Part 3 'Literacy and Numeracy'</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Reading</w:t>
            </w:r>
          </w:p>
        </w:tc>
        <w:tc>
          <w:tcPr>
            <w:tcW w:w="805"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3</w:t>
            </w:r>
          </w:p>
        </w:tc>
        <w:tc>
          <w:tcPr>
            <w:tcW w:w="1184"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Writing</w:t>
            </w:r>
          </w:p>
        </w:tc>
        <w:tc>
          <w:tcPr>
            <w:tcW w:w="805"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3</w:t>
            </w:r>
          </w:p>
        </w:tc>
        <w:tc>
          <w:tcPr>
            <w:tcW w:w="1172"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t>Numeracy</w:t>
            </w:r>
          </w:p>
        </w:tc>
        <w:tc>
          <w:tcPr>
            <w:tcW w:w="805" w:type="dxa"/>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t>3</w:t>
            </w:r>
          </w:p>
        </w:tc>
      </w:tr>
    </w:tbl>
    <w:p w:rsidR="00D47115" w:rsidP="009E3EE7">
      <w:pPr>
        <w:pStyle w:val="BodyText"/>
      </w:pPr>
    </w:p>
    <w:p w:rsidR="00D47115" w:rsidP="009E3EE7">
      <w:pPr>
        <w:pStyle w:val="BodyText"/>
      </w:pPr>
    </w:p>
    <w:p w:rsidR="00000000" w:rsidRPr="009E3EE7" w:rsidP="009E3EE7">
      <w:pPr>
        <w:pStyle w:val="Heading1"/>
      </w:pPr>
      <w:bookmarkStart w:id="14" w:name="O_229459"/>
      <w:bookmarkEnd w:id="14"/>
      <w:r w:rsidRPr="009E3EE7">
        <w:t>Competency Field</w:t>
      </w:r>
    </w:p>
    <w:tbl>
      <w:tblPr>
        <w:tblW w:w="0" w:type="auto"/>
        <w:tblLayout w:type="fixed"/>
        <w:tblCellMar>
          <w:left w:w="62" w:type="dxa"/>
          <w:right w:w="62" w:type="dxa"/>
        </w:tblCellMar>
        <w:tblLook w:val="0000"/>
      </w:tblPr>
      <w:tblGrid>
        <w:gridCol w:w="2700"/>
        <w:gridCol w:w="5760"/>
      </w:tblGrid>
      <w:tr w:rsidTr="00D471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E3EE7">
            <w:pPr>
              <w:pStyle w:val="BodyText"/>
              <w:rPr>
                <w:lang w:val="en-NZ"/>
              </w:rPr>
            </w:pPr>
            <w:r w:rsidRPr="009E3EE7">
              <w:rPr>
                <w:rStyle w:val="SpecialBold"/>
              </w:rPr>
              <w:t>4</w:t>
            </w:r>
            <w:r w:rsidRPr="009E3EE7">
              <w:t xml:space="preserve">) </w:t>
            </w:r>
          </w:p>
        </w:tc>
      </w:tr>
      <w:tr w:rsidTr="00D471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3EE7" w:rsidP="009E3EE7">
            <w:pPr>
              <w:pStyle w:val="BodyText"/>
            </w:pPr>
            <w:r w:rsidRPr="009E3EE7">
              <w:t>Distribution.</w:t>
            </w:r>
          </w:p>
        </w:tc>
      </w:tr>
    </w:tbl>
    <w:p w:rsidR="00D47115" w:rsidP="009E3EE7">
      <w:pPr>
        <w:pStyle w:val="BodyText"/>
      </w:pPr>
    </w:p>
    <w:p w:rsidR="00D47115" w:rsidP="009E3EE7">
      <w:pPr>
        <w:pStyle w:val="BodyText"/>
      </w:pPr>
    </w:p>
    <w:p w:rsidR="00000000" w:rsidRPr="009E3EE7" w:rsidP="009E3EE7"/>
    <w:sectPr w:rsidSect="009E3E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E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7115" w:rsidP="00D471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E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115" w:rsidP="009E3E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47115" w:rsidP="009E3E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47115" w:rsidP="009E3E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E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7115" w:rsidP="00D471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E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115" w:rsidP="009E3EE7">
    <w:pPr>
      <w:pStyle w:val="Header"/>
      <w:framePr w:wrap="around"/>
    </w:pPr>
    <w:r>
      <w:fldChar w:fldCharType="begin"/>
    </w:r>
    <w:r>
      <w:instrText xml:space="preserve"> TITLE   \* MERGEFORMAT </w:instrText>
    </w:r>
    <w:r>
      <w:fldChar w:fldCharType="separate"/>
    </w:r>
    <w:r>
      <w:t>UEGNSG209A First on site emergency response on a distribution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7115" w:rsidP="009E3E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483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E47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901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E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3EE7"/>
    <w:pPr>
      <w:spacing w:before="360" w:after="60"/>
      <w:outlineLvl w:val="0"/>
    </w:pPr>
    <w:rPr>
      <w:sz w:val="32"/>
    </w:rPr>
  </w:style>
  <w:style w:type="paragraph" w:styleId="Heading2">
    <w:name w:val="heading 2"/>
    <w:basedOn w:val="HeadingBase"/>
    <w:next w:val="BodyText"/>
    <w:link w:val="Heading2Char"/>
    <w:qFormat/>
    <w:rsid w:val="009E3EE7"/>
    <w:pPr>
      <w:keepLines/>
      <w:spacing w:before="240" w:after="120"/>
      <w:outlineLvl w:val="1"/>
    </w:pPr>
    <w:rPr>
      <w:sz w:val="28"/>
      <w:szCs w:val="40"/>
    </w:rPr>
  </w:style>
  <w:style w:type="paragraph" w:styleId="Heading3">
    <w:name w:val="heading 3"/>
    <w:basedOn w:val="HeadingBase"/>
    <w:next w:val="BodyText"/>
    <w:link w:val="Heading3Char"/>
    <w:qFormat/>
    <w:rsid w:val="009E3EE7"/>
    <w:pPr>
      <w:spacing w:before="180" w:after="120"/>
      <w:outlineLvl w:val="2"/>
    </w:pPr>
    <w:rPr>
      <w:spacing w:val="-10"/>
      <w:kern w:val="32"/>
    </w:rPr>
  </w:style>
  <w:style w:type="paragraph" w:styleId="Heading4">
    <w:name w:val="heading 4"/>
    <w:basedOn w:val="HeadingBase"/>
    <w:next w:val="BodyText"/>
    <w:link w:val="Heading4Char"/>
    <w:qFormat/>
    <w:rsid w:val="009E3EE7"/>
    <w:pPr>
      <w:spacing w:before="160" w:after="120"/>
      <w:outlineLvl w:val="3"/>
    </w:pPr>
    <w:rPr>
      <w:sz w:val="22"/>
    </w:rPr>
  </w:style>
  <w:style w:type="paragraph" w:styleId="Heading5">
    <w:name w:val="heading 5"/>
    <w:basedOn w:val="HeadingBase"/>
    <w:next w:val="Normal"/>
    <w:link w:val="Heading5Char"/>
    <w:qFormat/>
    <w:rsid w:val="009E3EE7"/>
    <w:pPr>
      <w:spacing w:before="80"/>
      <w:outlineLvl w:val="4"/>
    </w:pPr>
    <w:rPr>
      <w:color w:val="918585"/>
      <w:sz w:val="20"/>
    </w:rPr>
  </w:style>
  <w:style w:type="paragraph" w:styleId="Heading6">
    <w:name w:val="heading 6"/>
    <w:basedOn w:val="HeadingBase"/>
    <w:next w:val="Normal"/>
    <w:link w:val="Heading6Char"/>
    <w:qFormat/>
    <w:rsid w:val="009E3EE7"/>
    <w:pPr>
      <w:spacing w:before="60"/>
      <w:outlineLvl w:val="5"/>
    </w:pPr>
    <w:rPr>
      <w:color w:val="918585"/>
      <w:sz w:val="20"/>
    </w:rPr>
  </w:style>
  <w:style w:type="paragraph" w:styleId="Heading7">
    <w:name w:val="heading 7"/>
    <w:basedOn w:val="Normal"/>
    <w:next w:val="Normal"/>
    <w:link w:val="Heading7Char"/>
    <w:qFormat/>
    <w:rsid w:val="009E3EE7"/>
    <w:pPr>
      <w:ind w:left="720"/>
      <w:outlineLvl w:val="6"/>
    </w:pPr>
    <w:rPr>
      <w:i/>
    </w:rPr>
  </w:style>
  <w:style w:type="paragraph" w:styleId="Heading8">
    <w:name w:val="heading 8"/>
    <w:basedOn w:val="Normal"/>
    <w:next w:val="Normal"/>
    <w:link w:val="Heading8Char"/>
    <w:qFormat/>
    <w:rsid w:val="009E3EE7"/>
    <w:pPr>
      <w:ind w:left="720"/>
      <w:outlineLvl w:val="7"/>
    </w:pPr>
    <w:rPr>
      <w:i/>
    </w:rPr>
  </w:style>
  <w:style w:type="paragraph" w:styleId="Heading9">
    <w:name w:val="heading 9"/>
    <w:basedOn w:val="Normal"/>
    <w:next w:val="Normal"/>
    <w:link w:val="Heading9Char"/>
    <w:qFormat/>
    <w:rsid w:val="009E3EE7"/>
    <w:pPr>
      <w:ind w:left="720"/>
      <w:outlineLvl w:val="8"/>
    </w:pPr>
    <w:rPr>
      <w:i/>
    </w:rPr>
  </w:style>
  <w:style w:type="character" w:default="1" w:styleId="DefaultParagraphFont">
    <w:name w:val="Default Paragraph Font"/>
    <w:uiPriority w:val="1"/>
    <w:unhideWhenUsed/>
    <w:rsid w:val="009E3E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EE7"/>
  </w:style>
  <w:style w:type="character" w:customStyle="1" w:styleId="Heading1Char">
    <w:name w:val="Heading 1 Char"/>
    <w:basedOn w:val="DefaultParagraphFont"/>
    <w:link w:val="Heading1"/>
    <w:rsid w:val="009E3EE7"/>
    <w:rPr>
      <w:rFonts w:ascii="Times New Roman" w:eastAsia="Times New Roman" w:hAnsi="Times New Roman" w:cs="Times New Roman"/>
      <w:b/>
      <w:sz w:val="32"/>
      <w:szCs w:val="20"/>
      <w:lang w:eastAsia="en-US"/>
    </w:rPr>
  </w:style>
  <w:style w:type="paragraph" w:styleId="BodyText">
    <w:name w:val="Body Text"/>
    <w:basedOn w:val="Normal"/>
    <w:link w:val="BodyTextChar"/>
    <w:rsid w:val="009E3E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3EE7"/>
    <w:rPr>
      <w:rFonts w:ascii="Times New Roman" w:eastAsia="Times New Roman" w:hAnsi="Times New Roman" w:cs="Times New Roman"/>
      <w:sz w:val="24"/>
      <w:lang w:val="en-US" w:eastAsia="en-US"/>
    </w:rPr>
  </w:style>
  <w:style w:type="paragraph" w:styleId="Footer">
    <w:name w:val="footer"/>
    <w:basedOn w:val="Normal"/>
    <w:link w:val="FooterChar"/>
    <w:rsid w:val="009E3E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EE7"/>
    <w:rPr>
      <w:rFonts w:ascii="Times New Roman" w:eastAsia="Times New Roman" w:hAnsi="Times New Roman" w:cs="Times New Roman"/>
      <w:sz w:val="16"/>
      <w:lang w:val="en-US" w:eastAsia="en-US"/>
    </w:rPr>
  </w:style>
  <w:style w:type="paragraph" w:styleId="ListBullet">
    <w:name w:val="List Bullet"/>
    <w:basedOn w:val="List"/>
    <w:rsid w:val="009E3EE7"/>
    <w:pPr>
      <w:numPr>
        <w:numId w:val="13"/>
      </w:numPr>
      <w:tabs>
        <w:tab w:val="clear" w:pos="340"/>
      </w:tabs>
      <w:spacing w:before="40" w:after="40"/>
    </w:pPr>
  </w:style>
  <w:style w:type="character" w:customStyle="1" w:styleId="SpecialBold">
    <w:name w:val="Special Bold"/>
    <w:basedOn w:val="DefaultParagraphFont"/>
    <w:rsid w:val="009E3EE7"/>
    <w:rPr>
      <w:b/>
      <w:spacing w:val="0"/>
    </w:rPr>
  </w:style>
  <w:style w:type="paragraph" w:styleId="ListBullet2">
    <w:name w:val="List Bullet 2"/>
    <w:basedOn w:val="List2"/>
    <w:rsid w:val="009E3EE7"/>
    <w:pPr>
      <w:numPr>
        <w:numId w:val="14"/>
      </w:numPr>
      <w:tabs>
        <w:tab w:val="clear" w:pos="680"/>
      </w:tabs>
    </w:pPr>
  </w:style>
  <w:style w:type="paragraph" w:styleId="Header">
    <w:name w:val="header"/>
    <w:basedOn w:val="Normal"/>
    <w:link w:val="HeaderChar"/>
    <w:rsid w:val="009E3E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E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3EE7"/>
    <w:pPr>
      <w:spacing w:before="240" w:after="120"/>
      <w:outlineLvl w:val="0"/>
    </w:pPr>
    <w:rPr>
      <w:rFonts w:ascii="Times New Roman" w:hAnsi="Times New Roman"/>
      <w:b/>
      <w:sz w:val="28"/>
    </w:rPr>
  </w:style>
  <w:style w:type="paragraph" w:customStyle="1" w:styleId="AllowPageBreak">
    <w:name w:val="AllowPageBreak"/>
    <w:rsid w:val="009E3E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3E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E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E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E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E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E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3E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3EE7"/>
    <w:rPr>
      <w:rFonts w:ascii="Courier New" w:eastAsia="Times New Roman" w:hAnsi="Courier New" w:cs="Times New Roman"/>
      <w:i/>
      <w:szCs w:val="20"/>
      <w:lang w:val="en-US" w:eastAsia="en-US"/>
    </w:rPr>
  </w:style>
  <w:style w:type="paragraph" w:customStyle="1" w:styleId="HeadingBase">
    <w:name w:val="Heading Base"/>
    <w:rsid w:val="009E3E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EE7"/>
    <w:pPr>
      <w:tabs>
        <w:tab w:val="right" w:leader="dot" w:pos="9072"/>
      </w:tabs>
      <w:ind w:left="567"/>
    </w:pPr>
    <w:rPr>
      <w:szCs w:val="22"/>
    </w:rPr>
  </w:style>
  <w:style w:type="paragraph" w:customStyle="1" w:styleId="TOCBase">
    <w:name w:val="TOC Base"/>
    <w:rsid w:val="009E3E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EE7"/>
    <w:pPr>
      <w:tabs>
        <w:tab w:val="right" w:leader="dot" w:pos="9072"/>
      </w:tabs>
      <w:spacing w:before="40" w:after="40"/>
      <w:ind w:left="284"/>
    </w:pPr>
    <w:rPr>
      <w:rFonts w:ascii="Times New Roman" w:hAnsi="Times New Roman"/>
    </w:rPr>
  </w:style>
  <w:style w:type="paragraph" w:styleId="TOC1">
    <w:name w:val="toc 1"/>
    <w:basedOn w:val="TOCBase"/>
    <w:next w:val="Normal"/>
    <w:rsid w:val="009E3E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3EE7"/>
    <w:pPr>
      <w:spacing w:before="5040"/>
      <w:jc w:val="center"/>
    </w:pPr>
    <w:rPr>
      <w:sz w:val="48"/>
      <w:szCs w:val="72"/>
      <w:lang w:val="en-US"/>
    </w:rPr>
  </w:style>
  <w:style w:type="character" w:customStyle="1" w:styleId="TitleChar">
    <w:name w:val="Title Char"/>
    <w:basedOn w:val="DefaultParagraphFont"/>
    <w:link w:val="Title"/>
    <w:rsid w:val="009E3E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EE7"/>
    <w:pPr>
      <w:tabs>
        <w:tab w:val="left" w:pos="3600"/>
        <w:tab w:val="left" w:pos="3958"/>
      </w:tabs>
    </w:pPr>
  </w:style>
  <w:style w:type="paragraph" w:styleId="List">
    <w:name w:val="List"/>
    <w:basedOn w:val="BodyText"/>
    <w:next w:val="BodyText"/>
    <w:rsid w:val="009E3EE7"/>
    <w:pPr>
      <w:tabs>
        <w:tab w:val="left" w:pos="340"/>
      </w:tabs>
      <w:spacing w:before="60" w:after="60"/>
      <w:ind w:left="340" w:hanging="340"/>
    </w:pPr>
  </w:style>
  <w:style w:type="paragraph" w:customStyle="1" w:styleId="Note">
    <w:name w:val="Note"/>
    <w:basedOn w:val="BodyText"/>
    <w:rsid w:val="009E3E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3EE7"/>
    <w:pPr>
      <w:framePr w:wrap="auto" w:hAnchor="text" w:y="6049"/>
    </w:pPr>
    <w:rPr>
      <w:color w:val="000000"/>
      <w:sz w:val="40"/>
    </w:rPr>
  </w:style>
  <w:style w:type="paragraph" w:customStyle="1" w:styleId="TOCTitle">
    <w:name w:val="TOCTitle"/>
    <w:basedOn w:val="Heading1"/>
    <w:rsid w:val="009E3EE7"/>
    <w:pPr>
      <w:spacing w:after="240"/>
      <w:jc w:val="center"/>
      <w:outlineLvl w:val="9"/>
    </w:pPr>
    <w:rPr>
      <w:caps/>
    </w:rPr>
  </w:style>
  <w:style w:type="paragraph" w:customStyle="1" w:styleId="Version">
    <w:name w:val="Version"/>
    <w:rsid w:val="009E3E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3EE7"/>
    <w:pPr>
      <w:keepNext w:val="0"/>
      <w:tabs>
        <w:tab w:val="right" w:pos="4176"/>
      </w:tabs>
      <w:ind w:left="198" w:hanging="198"/>
    </w:pPr>
    <w:rPr>
      <w:rFonts w:ascii="Garamond" w:hAnsi="Garamond"/>
    </w:rPr>
  </w:style>
  <w:style w:type="paragraph" w:styleId="IndexHeading">
    <w:name w:val="index heading"/>
    <w:basedOn w:val="Normal"/>
    <w:next w:val="Index1"/>
    <w:semiHidden/>
    <w:rsid w:val="009E3EE7"/>
    <w:pPr>
      <w:spacing w:before="120" w:after="120"/>
    </w:pPr>
    <w:rPr>
      <w:rFonts w:ascii="Arial" w:hAnsi="Arial"/>
      <w:b/>
      <w:color w:val="918585"/>
      <w:sz w:val="24"/>
    </w:rPr>
  </w:style>
  <w:style w:type="paragraph" w:customStyle="1" w:styleId="Chapter">
    <w:name w:val="Chapter"/>
    <w:basedOn w:val="Normal"/>
    <w:rsid w:val="009E3EE7"/>
    <w:pPr>
      <w:spacing w:before="240"/>
    </w:pPr>
    <w:rPr>
      <w:rFonts w:ascii="Times New Roman" w:hAnsi="Times New Roman"/>
      <w:smallCaps/>
      <w:spacing w:val="80"/>
      <w:sz w:val="28"/>
    </w:rPr>
  </w:style>
  <w:style w:type="paragraph" w:customStyle="1" w:styleId="InChapter">
    <w:name w:val="InChapter"/>
    <w:basedOn w:val="Heading3"/>
    <w:rsid w:val="009E3EE7"/>
    <w:pPr>
      <w:spacing w:after="240"/>
      <w:outlineLvl w:val="9"/>
    </w:pPr>
    <w:rPr>
      <w:noProof/>
    </w:rPr>
  </w:style>
  <w:style w:type="paragraph" w:styleId="Index2">
    <w:name w:val="index 2"/>
    <w:basedOn w:val="Normal"/>
    <w:next w:val="Normal"/>
    <w:semiHidden/>
    <w:rsid w:val="009E3EE7"/>
    <w:pPr>
      <w:tabs>
        <w:tab w:val="right" w:pos="4176"/>
      </w:tabs>
      <w:ind w:left="568" w:hanging="284"/>
    </w:pPr>
    <w:rPr>
      <w:rFonts w:ascii="Garamond" w:hAnsi="Garamond"/>
    </w:rPr>
  </w:style>
  <w:style w:type="paragraph" w:customStyle="1" w:styleId="Byline">
    <w:name w:val="Byline"/>
    <w:rsid w:val="009E3E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EE7"/>
    <w:pPr>
      <w:tabs>
        <w:tab w:val="clear" w:pos="3600"/>
        <w:tab w:val="clear" w:pos="3958"/>
      </w:tabs>
      <w:jc w:val="right"/>
    </w:pPr>
  </w:style>
  <w:style w:type="character" w:styleId="Emphasis">
    <w:name w:val="Emphasis"/>
    <w:basedOn w:val="DefaultParagraphFont"/>
    <w:qFormat/>
    <w:rsid w:val="009E3EE7"/>
    <w:rPr>
      <w:i/>
    </w:rPr>
  </w:style>
  <w:style w:type="paragraph" w:styleId="Caption">
    <w:name w:val="caption"/>
    <w:basedOn w:val="BodyText"/>
    <w:next w:val="Normal"/>
    <w:qFormat/>
    <w:rsid w:val="009E3EE7"/>
    <w:pPr>
      <w:framePr w:w="2268" w:hSpace="181" w:vSpace="181" w:wrap="around" w:vAnchor="text" w:hAnchor="page" w:x="1135" w:y="285" w:anchorLock="1"/>
    </w:pPr>
    <w:rPr>
      <w:i/>
    </w:rPr>
  </w:style>
  <w:style w:type="paragraph" w:customStyle="1" w:styleId="MiniTOCTitle">
    <w:name w:val="MiniTOCTitle"/>
    <w:basedOn w:val="Heading4"/>
    <w:rsid w:val="009E3EE7"/>
    <w:pPr>
      <w:spacing w:before="240"/>
      <w:outlineLvl w:val="9"/>
    </w:pPr>
    <w:rPr>
      <w:noProof/>
      <w:sz w:val="24"/>
    </w:rPr>
  </w:style>
  <w:style w:type="paragraph" w:customStyle="1" w:styleId="MiniTOCItem">
    <w:name w:val="MiniTOCItem"/>
    <w:basedOn w:val="ListBullet"/>
    <w:rsid w:val="009E3EE7"/>
    <w:pPr>
      <w:numPr>
        <w:numId w:val="0"/>
      </w:numPr>
      <w:tabs>
        <w:tab w:val="right" w:leader="dot" w:pos="6521"/>
      </w:tabs>
      <w:spacing w:before="0" w:after="0"/>
    </w:pPr>
  </w:style>
  <w:style w:type="paragraph" w:customStyle="1" w:styleId="TOFTitle">
    <w:name w:val="TOFTitle"/>
    <w:basedOn w:val="TOCTitle"/>
    <w:rsid w:val="009E3EE7"/>
  </w:style>
  <w:style w:type="paragraph" w:styleId="TableofFigures">
    <w:name w:val="table of figures"/>
    <w:basedOn w:val="Normal"/>
    <w:next w:val="Normal"/>
    <w:semiHidden/>
    <w:rsid w:val="009E3EE7"/>
    <w:pPr>
      <w:tabs>
        <w:tab w:val="right" w:leader="dot" w:pos="9072"/>
      </w:tabs>
      <w:ind w:left="970" w:hanging="403"/>
    </w:pPr>
    <w:rPr>
      <w:rFonts w:ascii="Times New Roman" w:hAnsi="Times New Roman"/>
      <w:b/>
    </w:rPr>
  </w:style>
  <w:style w:type="paragraph" w:styleId="ListNumber">
    <w:name w:val="List Number"/>
    <w:basedOn w:val="List"/>
    <w:rsid w:val="009E3EE7"/>
    <w:pPr>
      <w:numPr>
        <w:numId w:val="11"/>
      </w:numPr>
    </w:pPr>
  </w:style>
  <w:style w:type="character" w:customStyle="1" w:styleId="WingdingSymbols">
    <w:name w:val="Wingding Symbols"/>
    <w:rsid w:val="009E3EE7"/>
    <w:rPr>
      <w:rFonts w:ascii="Wingdings" w:hAnsi="Wingdings"/>
    </w:rPr>
  </w:style>
  <w:style w:type="paragraph" w:customStyle="1" w:styleId="TableHeading">
    <w:name w:val="Table Heading"/>
    <w:basedOn w:val="HeadingBase"/>
    <w:rsid w:val="009E3EE7"/>
    <w:pPr>
      <w:keepLines/>
      <w:pBdr>
        <w:bottom w:val="single" w:sz="6" w:space="1" w:color="918585"/>
      </w:pBdr>
      <w:spacing w:before="240"/>
    </w:pPr>
  </w:style>
  <w:style w:type="character" w:customStyle="1" w:styleId="HotSpot">
    <w:name w:val="HotSpot"/>
    <w:rsid w:val="009E3EE7"/>
    <w:rPr>
      <w:color w:val="0033CC"/>
      <w:u w:val="none"/>
    </w:rPr>
  </w:style>
  <w:style w:type="paragraph" w:customStyle="1" w:styleId="BodyTextRight">
    <w:name w:val="Body Text Right"/>
    <w:basedOn w:val="BodyText"/>
    <w:rsid w:val="009E3EE7"/>
    <w:pPr>
      <w:spacing w:before="0" w:after="0"/>
      <w:jc w:val="right"/>
    </w:pPr>
  </w:style>
  <w:style w:type="paragraph" w:styleId="Index3">
    <w:name w:val="index 3"/>
    <w:basedOn w:val="ListNumber2"/>
    <w:next w:val="Normal"/>
    <w:semiHidden/>
    <w:rsid w:val="009E3EE7"/>
    <w:pPr>
      <w:numPr>
        <w:numId w:val="0"/>
      </w:numPr>
      <w:tabs>
        <w:tab w:val="right" w:leader="dot" w:pos="4176"/>
      </w:tabs>
    </w:pPr>
  </w:style>
  <w:style w:type="paragraph" w:styleId="ListNumber2">
    <w:name w:val="List Number 2"/>
    <w:basedOn w:val="List2"/>
    <w:rsid w:val="009E3EE7"/>
    <w:pPr>
      <w:numPr>
        <w:numId w:val="10"/>
      </w:numPr>
      <w:tabs>
        <w:tab w:val="clear" w:pos="1060"/>
      </w:tabs>
    </w:pPr>
  </w:style>
  <w:style w:type="paragraph" w:customStyle="1" w:styleId="MarginNote">
    <w:name w:val="Margin Note"/>
    <w:basedOn w:val="BodyText"/>
    <w:rsid w:val="009E3E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E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E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3EE7"/>
    <w:rPr>
      <w:sz w:val="32"/>
    </w:rPr>
  </w:style>
  <w:style w:type="paragraph" w:customStyle="1" w:styleId="HeadingProcedure">
    <w:name w:val="Heading Procedure"/>
    <w:basedOn w:val="HeadingBase"/>
    <w:next w:val="Normal"/>
    <w:rsid w:val="009E3EE7"/>
    <w:pPr>
      <w:tabs>
        <w:tab w:val="left" w:pos="0"/>
      </w:tabs>
      <w:spacing w:before="120" w:after="60"/>
    </w:pPr>
    <w:rPr>
      <w:i/>
      <w:color w:val="918585"/>
      <w:sz w:val="22"/>
    </w:rPr>
  </w:style>
  <w:style w:type="paragraph" w:customStyle="1" w:styleId="TableBodyText">
    <w:name w:val="Table Body Text"/>
    <w:basedOn w:val="BodyText"/>
    <w:rsid w:val="009E3EE7"/>
    <w:pPr>
      <w:spacing w:before="60" w:after="60"/>
    </w:pPr>
  </w:style>
  <w:style w:type="paragraph" w:styleId="ListContinue">
    <w:name w:val="List Continue"/>
    <w:basedOn w:val="List"/>
    <w:rsid w:val="009E3EE7"/>
    <w:pPr>
      <w:ind w:firstLine="0"/>
    </w:pPr>
  </w:style>
  <w:style w:type="paragraph" w:customStyle="1" w:styleId="ListNote">
    <w:name w:val="List Note"/>
    <w:basedOn w:val="List"/>
    <w:rsid w:val="009E3EE7"/>
    <w:pPr>
      <w:pBdr>
        <w:top w:val="single" w:sz="6" w:space="2" w:color="918585"/>
        <w:bottom w:val="single" w:sz="6" w:space="2" w:color="918585"/>
      </w:pBdr>
      <w:tabs>
        <w:tab w:val="left" w:pos="1021"/>
      </w:tabs>
      <w:ind w:firstLine="0"/>
    </w:pPr>
  </w:style>
  <w:style w:type="paragraph" w:customStyle="1" w:styleId="Warning">
    <w:name w:val="Warning"/>
    <w:basedOn w:val="BodyText"/>
    <w:rsid w:val="009E3EE7"/>
    <w:pPr>
      <w:shd w:val="clear" w:color="auto" w:fill="D9D9D9"/>
      <w:tabs>
        <w:tab w:val="left" w:pos="992"/>
      </w:tabs>
      <w:ind w:left="119" w:right="119"/>
    </w:pPr>
    <w:rPr>
      <w:sz w:val="20"/>
    </w:rPr>
  </w:style>
  <w:style w:type="paragraph" w:customStyle="1" w:styleId="MarginIcons">
    <w:name w:val="Margin Icons"/>
    <w:basedOn w:val="BodyText"/>
    <w:rsid w:val="009E3E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EE7"/>
    <w:rPr>
      <w:rFonts w:ascii="Courier New" w:hAnsi="Courier New"/>
    </w:rPr>
  </w:style>
  <w:style w:type="paragraph" w:customStyle="1" w:styleId="NoteBullet">
    <w:name w:val="Note Bullet"/>
    <w:basedOn w:val="Note"/>
    <w:rsid w:val="009E3EE7"/>
    <w:pPr>
      <w:tabs>
        <w:tab w:val="clear" w:pos="680"/>
      </w:tabs>
      <w:spacing w:before="60" w:after="60"/>
    </w:pPr>
  </w:style>
  <w:style w:type="paragraph" w:customStyle="1" w:styleId="SubHeading2">
    <w:name w:val="SubHeading2"/>
    <w:basedOn w:val="HeadingBase"/>
    <w:rsid w:val="009E3EE7"/>
    <w:pPr>
      <w:spacing w:before="240" w:after="60"/>
    </w:pPr>
    <w:rPr>
      <w:sz w:val="20"/>
    </w:rPr>
  </w:style>
  <w:style w:type="paragraph" w:customStyle="1" w:styleId="SubHeading1">
    <w:name w:val="SubHeading1"/>
    <w:basedOn w:val="HeadingBase"/>
    <w:rsid w:val="009E3EE7"/>
    <w:pPr>
      <w:spacing w:before="240" w:after="60"/>
    </w:pPr>
    <w:rPr>
      <w:color w:val="918585"/>
      <w:sz w:val="22"/>
    </w:rPr>
  </w:style>
  <w:style w:type="paragraph" w:customStyle="1" w:styleId="SideHeading">
    <w:name w:val="Side Heading"/>
    <w:basedOn w:val="HeadingBase"/>
    <w:rsid w:val="009E3E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EE7"/>
    <w:pPr>
      <w:numPr>
        <w:numId w:val="12"/>
      </w:numPr>
    </w:pPr>
  </w:style>
  <w:style w:type="paragraph" w:styleId="PlainText">
    <w:name w:val="Plain Text"/>
    <w:basedOn w:val="Normal"/>
    <w:link w:val="PlainTextChar"/>
    <w:rsid w:val="009E3EE7"/>
    <w:rPr>
      <w:sz w:val="20"/>
    </w:rPr>
  </w:style>
  <w:style w:type="character" w:customStyle="1" w:styleId="PlainTextChar">
    <w:name w:val="Plain Text Char"/>
    <w:basedOn w:val="DefaultParagraphFont"/>
    <w:link w:val="PlainText"/>
    <w:rsid w:val="009E3E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3EE7"/>
    <w:rPr>
      <w:b/>
      <w:smallCaps/>
    </w:rPr>
  </w:style>
  <w:style w:type="paragraph" w:customStyle="1" w:styleId="TableListNumber">
    <w:name w:val="Table List Number"/>
    <w:basedOn w:val="ListNumber"/>
    <w:rsid w:val="009E3EE7"/>
    <w:pPr>
      <w:numPr>
        <w:numId w:val="0"/>
      </w:numPr>
    </w:pPr>
  </w:style>
  <w:style w:type="paragraph" w:styleId="TOC4">
    <w:name w:val="toc 4"/>
    <w:basedOn w:val="TOCBase"/>
    <w:next w:val="Normal"/>
    <w:semiHidden/>
    <w:rsid w:val="009E3EE7"/>
    <w:pPr>
      <w:tabs>
        <w:tab w:val="right" w:leader="dot" w:pos="9071"/>
      </w:tabs>
      <w:ind w:left="1701"/>
    </w:pPr>
  </w:style>
  <w:style w:type="paragraph" w:customStyle="1" w:styleId="ListAlpha">
    <w:name w:val="List Alpha"/>
    <w:basedOn w:val="List"/>
    <w:rsid w:val="009E3EE7"/>
    <w:pPr>
      <w:numPr>
        <w:numId w:val="9"/>
      </w:numPr>
    </w:pPr>
  </w:style>
  <w:style w:type="paragraph" w:customStyle="1" w:styleId="ListAlpha2">
    <w:name w:val="List Alpha 2"/>
    <w:basedOn w:val="List2"/>
    <w:rsid w:val="009E3EE7"/>
    <w:pPr>
      <w:numPr>
        <w:numId w:val="8"/>
      </w:numPr>
    </w:pPr>
  </w:style>
  <w:style w:type="paragraph" w:styleId="List2">
    <w:name w:val="List 2"/>
    <w:basedOn w:val="BodyText"/>
    <w:rsid w:val="009E3EE7"/>
    <w:pPr>
      <w:tabs>
        <w:tab w:val="left" w:pos="680"/>
      </w:tabs>
      <w:spacing w:before="60" w:after="60"/>
      <w:ind w:left="680" w:hanging="340"/>
    </w:pPr>
  </w:style>
  <w:style w:type="paragraph" w:styleId="List3">
    <w:name w:val="List 3"/>
    <w:basedOn w:val="BodyText"/>
    <w:rsid w:val="009E3EE7"/>
    <w:pPr>
      <w:tabs>
        <w:tab w:val="left" w:pos="1021"/>
      </w:tabs>
      <w:spacing w:before="60" w:after="60"/>
      <w:ind w:left="1020" w:hanging="340"/>
    </w:pPr>
  </w:style>
  <w:style w:type="paragraph" w:styleId="List4">
    <w:name w:val="List 4"/>
    <w:basedOn w:val="BodyText"/>
    <w:rsid w:val="009E3EE7"/>
    <w:pPr>
      <w:tabs>
        <w:tab w:val="left" w:pos="1361"/>
      </w:tabs>
      <w:spacing w:before="60" w:after="60"/>
      <w:ind w:left="1361" w:hanging="340"/>
    </w:pPr>
  </w:style>
  <w:style w:type="paragraph" w:styleId="List5">
    <w:name w:val="List 5"/>
    <w:basedOn w:val="BodyText"/>
    <w:rsid w:val="009E3EE7"/>
    <w:pPr>
      <w:tabs>
        <w:tab w:val="left" w:pos="1701"/>
      </w:tabs>
      <w:spacing w:before="60" w:after="60"/>
      <w:ind w:left="1701" w:hanging="340"/>
    </w:pPr>
  </w:style>
  <w:style w:type="paragraph" w:styleId="ListBullet3">
    <w:name w:val="List Bullet 3"/>
    <w:basedOn w:val="List3"/>
    <w:rsid w:val="009E3EE7"/>
    <w:pPr>
      <w:numPr>
        <w:numId w:val="15"/>
      </w:numPr>
      <w:tabs>
        <w:tab w:val="clear" w:pos="1021"/>
      </w:tabs>
      <w:ind w:left="1037" w:hanging="357"/>
    </w:pPr>
  </w:style>
  <w:style w:type="paragraph" w:styleId="ListBullet4">
    <w:name w:val="List Bullet 4"/>
    <w:basedOn w:val="List4"/>
    <w:rsid w:val="009E3EE7"/>
    <w:pPr>
      <w:numPr>
        <w:numId w:val="3"/>
      </w:numPr>
    </w:pPr>
  </w:style>
  <w:style w:type="paragraph" w:styleId="ListBullet5">
    <w:name w:val="List Bullet 5"/>
    <w:basedOn w:val="List5"/>
    <w:rsid w:val="009E3EE7"/>
    <w:pPr>
      <w:numPr>
        <w:numId w:val="4"/>
      </w:numPr>
    </w:pPr>
  </w:style>
  <w:style w:type="paragraph" w:styleId="ListContinue2">
    <w:name w:val="List Continue 2"/>
    <w:basedOn w:val="List2"/>
    <w:rsid w:val="009E3EE7"/>
    <w:pPr>
      <w:ind w:firstLine="0"/>
    </w:pPr>
  </w:style>
  <w:style w:type="paragraph" w:styleId="ListContinue3">
    <w:name w:val="List Continue 3"/>
    <w:basedOn w:val="List3"/>
    <w:rsid w:val="009E3EE7"/>
    <w:pPr>
      <w:ind w:left="1021" w:firstLine="0"/>
    </w:pPr>
  </w:style>
  <w:style w:type="paragraph" w:styleId="ListContinue4">
    <w:name w:val="List Continue 4"/>
    <w:basedOn w:val="List4"/>
    <w:rsid w:val="009E3EE7"/>
    <w:pPr>
      <w:ind w:firstLine="0"/>
    </w:pPr>
  </w:style>
  <w:style w:type="paragraph" w:styleId="ListContinue5">
    <w:name w:val="List Continue 5"/>
    <w:basedOn w:val="List5"/>
    <w:rsid w:val="009E3EE7"/>
    <w:pPr>
      <w:ind w:firstLine="0"/>
    </w:pPr>
  </w:style>
  <w:style w:type="paragraph" w:styleId="ListNumber3">
    <w:name w:val="List Number 3"/>
    <w:basedOn w:val="List3"/>
    <w:rsid w:val="009E3EE7"/>
    <w:pPr>
      <w:numPr>
        <w:numId w:val="5"/>
      </w:numPr>
    </w:pPr>
  </w:style>
  <w:style w:type="paragraph" w:styleId="ListNumber4">
    <w:name w:val="List Number 4"/>
    <w:basedOn w:val="List4"/>
    <w:rsid w:val="009E3EE7"/>
    <w:pPr>
      <w:numPr>
        <w:numId w:val="6"/>
      </w:numPr>
    </w:pPr>
  </w:style>
  <w:style w:type="paragraph" w:styleId="ListNumber5">
    <w:name w:val="List Number 5"/>
    <w:basedOn w:val="List5"/>
    <w:rsid w:val="009E3EE7"/>
    <w:pPr>
      <w:numPr>
        <w:numId w:val="7"/>
      </w:numPr>
    </w:pPr>
  </w:style>
  <w:style w:type="paragraph" w:styleId="BlockText">
    <w:name w:val="Block Text"/>
    <w:basedOn w:val="Normal"/>
    <w:rsid w:val="009E3EE7"/>
    <w:pPr>
      <w:spacing w:after="120"/>
      <w:ind w:left="1440" w:right="1440"/>
    </w:pPr>
  </w:style>
  <w:style w:type="character" w:customStyle="1" w:styleId="Subscript">
    <w:name w:val="Subscript"/>
    <w:basedOn w:val="DefaultParagraphFont"/>
    <w:rsid w:val="009E3EE7"/>
    <w:rPr>
      <w:sz w:val="16"/>
      <w:vertAlign w:val="subscript"/>
    </w:rPr>
  </w:style>
  <w:style w:type="character" w:customStyle="1" w:styleId="Superscript">
    <w:name w:val="Superscript"/>
    <w:basedOn w:val="DefaultParagraphFont"/>
    <w:rsid w:val="009E3EE7"/>
    <w:rPr>
      <w:sz w:val="16"/>
      <w:vertAlign w:val="superscript"/>
    </w:rPr>
  </w:style>
  <w:style w:type="character" w:customStyle="1" w:styleId="Symbols">
    <w:name w:val="Symbols"/>
    <w:basedOn w:val="DefaultParagraphFont"/>
    <w:rsid w:val="009E3EE7"/>
    <w:rPr>
      <w:rFonts w:ascii="Symbol" w:hAnsi="Symbol"/>
    </w:rPr>
  </w:style>
  <w:style w:type="character" w:customStyle="1" w:styleId="MenuOptions">
    <w:name w:val="Menu Options"/>
    <w:basedOn w:val="DefaultParagraphFont"/>
    <w:rsid w:val="009E3EE7"/>
    <w:rPr>
      <w:rFonts w:ascii="Arial Narrow" w:hAnsi="Arial Narrow"/>
      <w:smallCaps/>
    </w:rPr>
  </w:style>
  <w:style w:type="character" w:customStyle="1" w:styleId="Buttons">
    <w:name w:val="Buttons"/>
    <w:basedOn w:val="DefaultParagraphFont"/>
    <w:rsid w:val="009E3EE7"/>
    <w:rPr>
      <w:b/>
    </w:rPr>
  </w:style>
  <w:style w:type="character" w:customStyle="1" w:styleId="Underlined">
    <w:name w:val="Underlined"/>
    <w:basedOn w:val="DefaultParagraphFont"/>
    <w:rsid w:val="009E3EE7"/>
    <w:rPr>
      <w:u w:val="single"/>
    </w:rPr>
  </w:style>
  <w:style w:type="paragraph" w:customStyle="1" w:styleId="TableBodyTextRight">
    <w:name w:val="Table Body Text Right"/>
    <w:basedOn w:val="TableBodyText"/>
    <w:rsid w:val="009E3EE7"/>
    <w:pPr>
      <w:widowControl w:val="0"/>
      <w:autoSpaceDE w:val="0"/>
      <w:autoSpaceDN w:val="0"/>
      <w:adjustRightInd w:val="0"/>
      <w:jc w:val="right"/>
    </w:pPr>
    <w:rPr>
      <w:rFonts w:cs="Arial"/>
      <w:szCs w:val="18"/>
    </w:rPr>
  </w:style>
  <w:style w:type="paragraph" w:customStyle="1" w:styleId="CopyrightText">
    <w:name w:val="Copyright Text"/>
    <w:basedOn w:val="BodyText"/>
    <w:rsid w:val="009E3EE7"/>
    <w:rPr>
      <w:sz w:val="18"/>
    </w:rPr>
  </w:style>
  <w:style w:type="paragraph" w:customStyle="1" w:styleId="BodySmallRight">
    <w:name w:val="Body Small Right"/>
    <w:basedOn w:val="BodyTextRight"/>
    <w:rsid w:val="009E3EE7"/>
    <w:rPr>
      <w:sz w:val="18"/>
      <w:szCs w:val="18"/>
    </w:rPr>
  </w:style>
  <w:style w:type="paragraph" w:customStyle="1" w:styleId="MarginEdition">
    <w:name w:val="Margin Edition"/>
    <w:basedOn w:val="MarginNote"/>
    <w:rsid w:val="009E3EE7"/>
    <w:pPr>
      <w:spacing w:before="0" w:after="0"/>
    </w:pPr>
    <w:rPr>
      <w:rFonts w:ascii="Times New Roman" w:hAnsi="Times New Roman"/>
      <w:color w:val="999999"/>
    </w:rPr>
  </w:style>
  <w:style w:type="paragraph" w:customStyle="1" w:styleId="Spacer">
    <w:name w:val="Spacer"/>
    <w:basedOn w:val="Normal"/>
    <w:rsid w:val="009E3EE7"/>
    <w:rPr>
      <w:sz w:val="2"/>
      <w:szCs w:val="2"/>
    </w:rPr>
  </w:style>
  <w:style w:type="character" w:customStyle="1" w:styleId="Small">
    <w:name w:val="Small"/>
    <w:basedOn w:val="DefaultParagraphFont"/>
    <w:rsid w:val="009E3EE7"/>
    <w:rPr>
      <w:sz w:val="16"/>
    </w:rPr>
  </w:style>
  <w:style w:type="paragraph" w:customStyle="1" w:styleId="WideTable">
    <w:name w:val="Wide Table"/>
    <w:basedOn w:val="Normal"/>
    <w:rsid w:val="009E3EE7"/>
    <w:pPr>
      <w:ind w:left="-1418"/>
    </w:pPr>
    <w:rPr>
      <w:sz w:val="2"/>
      <w:szCs w:val="2"/>
    </w:rPr>
  </w:style>
  <w:style w:type="character" w:styleId="PageNumber">
    <w:name w:val="page number"/>
    <w:basedOn w:val="DefaultParagraphFont"/>
    <w:rsid w:val="009E3EE7"/>
  </w:style>
  <w:style w:type="paragraph" w:styleId="Quote">
    <w:name w:val="Quote"/>
    <w:basedOn w:val="Heading1"/>
    <w:link w:val="QuoteChar"/>
    <w:qFormat/>
    <w:rsid w:val="009E3EE7"/>
    <w:rPr>
      <w:b w:val="0"/>
      <w:sz w:val="72"/>
      <w:szCs w:val="72"/>
      <w:lang w:val="en-NZ"/>
    </w:rPr>
  </w:style>
  <w:style w:type="character" w:customStyle="1" w:styleId="QuoteChar">
    <w:name w:val="Quote Char"/>
    <w:basedOn w:val="DefaultParagraphFont"/>
    <w:link w:val="Quote"/>
    <w:rsid w:val="009E3E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EE7"/>
    <w:pPr>
      <w:pageBreakBefore/>
    </w:pPr>
  </w:style>
  <w:style w:type="paragraph" w:customStyle="1" w:styleId="Border">
    <w:name w:val="Border"/>
    <w:basedOn w:val="Normal"/>
    <w:qFormat/>
    <w:rsid w:val="009E3E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EE7"/>
    <w:rPr>
      <w:b/>
      <w:bCs/>
      <w:i/>
      <w:iCs/>
      <w:color w:val="auto"/>
    </w:rPr>
  </w:style>
  <w:style w:type="paragraph" w:styleId="IntenseQuote">
    <w:name w:val="Intense Quote"/>
    <w:basedOn w:val="Normal"/>
    <w:next w:val="Normal"/>
    <w:link w:val="IntenseQuoteChar"/>
    <w:uiPriority w:val="30"/>
    <w:qFormat/>
    <w:rsid w:val="009E3E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E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3EE7"/>
    <w:rPr>
      <w:smallCaps/>
      <w:color w:val="auto"/>
      <w:u w:val="single"/>
    </w:rPr>
  </w:style>
  <w:style w:type="character" w:styleId="IntenseReference">
    <w:name w:val="Intense Reference"/>
    <w:basedOn w:val="DefaultParagraphFont"/>
    <w:uiPriority w:val="32"/>
    <w:qFormat/>
    <w:rsid w:val="009E3EE7"/>
    <w:rPr>
      <w:b/>
      <w:bCs/>
      <w:smallCaps/>
      <w:color w:val="auto"/>
      <w:spacing w:val="5"/>
      <w:u w:val="single"/>
    </w:rPr>
  </w:style>
  <w:style w:type="paragraph" w:customStyle="1" w:styleId="2ColumnHeading">
    <w:name w:val="2Column Heading"/>
    <w:basedOn w:val="BodyText"/>
    <w:qFormat/>
    <w:rsid w:val="009E3EE7"/>
    <w:pPr>
      <w:spacing w:after="60"/>
      <w:ind w:left="-2268"/>
    </w:pPr>
    <w:rPr>
      <w:b/>
    </w:rPr>
  </w:style>
  <w:style w:type="paragraph" w:customStyle="1" w:styleId="Heading1TOC">
    <w:name w:val="Heading1 TOC"/>
    <w:basedOn w:val="Normal"/>
    <w:qFormat/>
    <w:rsid w:val="009E3EE7"/>
    <w:pPr>
      <w:spacing w:before="240" w:after="120"/>
    </w:pPr>
    <w:rPr>
      <w:rFonts w:ascii="Times New Roman" w:hAnsi="Times New Roman"/>
      <w:b/>
      <w:sz w:val="32"/>
    </w:rPr>
  </w:style>
  <w:style w:type="paragraph" w:customStyle="1" w:styleId="Heading2TOC">
    <w:name w:val="Heading2 TOC"/>
    <w:basedOn w:val="Normal"/>
    <w:qFormat/>
    <w:rsid w:val="009E3EE7"/>
    <w:pPr>
      <w:spacing w:before="240" w:after="60"/>
    </w:pPr>
    <w:rPr>
      <w:rFonts w:ascii="Times New Roman" w:hAnsi="Times New Roman"/>
      <w:b/>
      <w:sz w:val="28"/>
    </w:rPr>
  </w:style>
  <w:style w:type="character" w:customStyle="1" w:styleId="Underline">
    <w:name w:val="Underline"/>
    <w:basedOn w:val="DefaultParagraphFont"/>
    <w:qFormat/>
    <w:rsid w:val="009E3EE7"/>
    <w:rPr>
      <w:u w:val="single"/>
    </w:rPr>
  </w:style>
  <w:style w:type="character" w:customStyle="1" w:styleId="BoldandItalics">
    <w:name w:val="Bold and Italics"/>
    <w:qFormat/>
    <w:rsid w:val="009E3EE7"/>
    <w:rPr>
      <w:b/>
      <w:i/>
      <w:u w:val="none"/>
    </w:rPr>
  </w:style>
  <w:style w:type="paragraph" w:styleId="BalloonText">
    <w:name w:val="Balloon Text"/>
    <w:basedOn w:val="Normal"/>
    <w:link w:val="BalloonTextChar"/>
    <w:rsid w:val="009E3EE7"/>
    <w:rPr>
      <w:rFonts w:ascii="Tahoma" w:hAnsi="Tahoma" w:cs="Tahoma"/>
      <w:sz w:val="16"/>
      <w:szCs w:val="16"/>
    </w:rPr>
  </w:style>
  <w:style w:type="character" w:customStyle="1" w:styleId="BalloonTextChar">
    <w:name w:val="Balloon Text Char"/>
    <w:basedOn w:val="DefaultParagraphFont"/>
    <w:link w:val="BalloonText"/>
    <w:rsid w:val="009E3E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3E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3E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2650</Words>
  <Characters>15789</Characters>
  <Application>Microsoft Office Word</Application>
  <DocSecurity>0</DocSecurity>
  <Lines>762</Lines>
  <Paragraphs>302</Paragraphs>
  <ScaleCrop>false</ScaleCrop>
  <Company>Author-it Software Corporation Ltd.</Company>
  <LinksUpToDate>false</LinksUpToDate>
  <CharactersWithSpaces>18183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UEGNSG209A First on site emergency response on a distribution pipeline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2012-05-26T22:04:00Z</dcterms:created>
  <dcterms:modified xsi:type="dcterms:W3CDTF">2012-05-26T22:04:00Z</dcterms:modified>
</cp:coreProperties>
</file>