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C06" w:rsidP="00505C06">
      <w:pPr>
        <w:pStyle w:val="Title"/>
      </w:pPr>
      <w:r>
        <w:fldChar w:fldCharType="begin"/>
      </w:r>
      <w:r>
        <w:instrText xml:space="preserve"> TITLE   \* MERGEFORMAT </w:instrText>
      </w:r>
      <w:r>
        <w:fldChar w:fldCharType="separate"/>
      </w:r>
      <w:r>
        <w:t>UEGNSG208A Gas distribution pipeline surveillance</w:t>
      </w:r>
      <w:r>
        <w:fldChar w:fldCharType="end"/>
      </w:r>
    </w:p>
    <w:p w:rsidR="00505C06" w:rsidP="00505C06">
      <w:pPr>
        <w:pStyle w:val="Version"/>
        <w:sectPr w:rsidSect="00DF40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04F" w:rsidP="00DF404F">
      <w:pPr>
        <w:pStyle w:val="SuperHeading"/>
      </w:pPr>
      <w:r w:rsidRPr="00DF404F">
        <w:t>UEGNSG208A Gas distribution pipeline surveillance</w:t>
      </w:r>
    </w:p>
    <w:p w:rsidR="00000000" w:rsidRPr="00DF404F" w:rsidP="00DF404F">
      <w:pPr>
        <w:pStyle w:val="Heading1"/>
      </w:pPr>
      <w:bookmarkStart w:id="1" w:name="O_275104"/>
      <w:bookmarkEnd w:id="1"/>
      <w:r w:rsidRPr="00DF404F">
        <w:t>Modification History</w:t>
      </w:r>
    </w:p>
    <w:p w:rsidR="00000000" w:rsidRPr="00DF404F" w:rsidP="00DF404F">
      <w:pPr>
        <w:pStyle w:val="BodyText"/>
      </w:pPr>
      <w:r w:rsidRPr="00DF404F">
        <w:t>Not Applicable</w:t>
      </w:r>
    </w:p>
    <w:p w:rsidR="00000000" w:rsidRPr="00DF404F" w:rsidP="00DF404F">
      <w:pPr>
        <w:pStyle w:val="AllowPageBreak"/>
      </w:pPr>
    </w:p>
    <w:p w:rsidR="00000000" w:rsidRPr="00DF404F" w:rsidP="00DF404F">
      <w:pPr>
        <w:pStyle w:val="Heading1"/>
      </w:pPr>
      <w:bookmarkStart w:id="2" w:name="O_229448"/>
      <w:bookmarkEnd w:id="2"/>
      <w:r w:rsidRPr="00DF404F">
        <w:t>Unit Descriptor</w:t>
      </w:r>
    </w:p>
    <w:tbl>
      <w:tblPr>
        <w:tblW w:w="0" w:type="auto"/>
        <w:tblLayout w:type="fixed"/>
        <w:tblCellMar>
          <w:left w:w="62" w:type="dxa"/>
          <w:right w:w="62" w:type="dxa"/>
        </w:tblCellMar>
        <w:tblLook w:val="0000"/>
      </w:tblPr>
      <w:tblGrid>
        <w:gridCol w:w="2700"/>
        <w:gridCol w:w="5760"/>
      </w:tblGrid>
      <w:tr w:rsidTr="00505C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1</w:t>
            </w:r>
            <w:r w:rsidRPr="00DF404F">
              <w:t xml:space="preserve">) </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t>This Competency Standard Unit covers the surveillance of gas distribution pipelines. The competency standard is applied against the procedures found for the surveillance of gas distribution pipelines. The competency standard outlines the areas to be monito</w:t>
            </w:r>
            <w:r w:rsidRPr="00DF404F">
              <w:t>red; inspection of areas; system's pipe work; structures; fittings; equipment; organisational and statutory requirements and recording and reporting.</w:t>
            </w:r>
          </w:p>
        </w:tc>
      </w:tr>
    </w:tbl>
    <w:p w:rsidR="00505C06" w:rsidP="00DF404F">
      <w:pPr>
        <w:pStyle w:val="BodyText"/>
      </w:pPr>
    </w:p>
    <w:p w:rsidR="00505C06" w:rsidP="00DF404F">
      <w:pPr>
        <w:pStyle w:val="BodyText"/>
      </w:pPr>
    </w:p>
    <w:p w:rsidR="00000000" w:rsidRPr="00DF404F" w:rsidP="00DF404F">
      <w:pPr>
        <w:pStyle w:val="Heading1"/>
      </w:pPr>
      <w:bookmarkStart w:id="3" w:name="O_229451"/>
      <w:bookmarkEnd w:id="3"/>
      <w:r w:rsidRPr="00DF404F">
        <w:t>Application of the Unit</w:t>
      </w:r>
    </w:p>
    <w:tbl>
      <w:tblPr>
        <w:tblW w:w="0" w:type="auto"/>
        <w:tblLayout w:type="fixed"/>
        <w:tblCellMar>
          <w:left w:w="62" w:type="dxa"/>
          <w:right w:w="62" w:type="dxa"/>
        </w:tblCellMar>
        <w:tblLook w:val="0000"/>
      </w:tblPr>
      <w:tblGrid>
        <w:gridCol w:w="2700"/>
        <w:gridCol w:w="5760"/>
      </w:tblGrid>
      <w:tr w:rsidTr="00505C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3</w:t>
            </w:r>
            <w:r w:rsidRPr="00DF404F">
              <w:t xml:space="preserve">) </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t>This competency standard shall a</w:t>
            </w:r>
            <w:r w:rsidRPr="00DF404F">
              <w:t>pply to any basic and safe work site where Gas Industry operations occur. It could also apply, where applicable to other workplaces in the electricity supply industry (transmission and distribution and generation), the electrotechnology industry and the wa</w:t>
            </w:r>
            <w:r w:rsidRPr="00DF404F">
              <w:t>ter industry, subject to all Occupational Health and Safety and duty of care requirements being met for the workplace.</w:t>
            </w:r>
          </w:p>
        </w:tc>
      </w:tr>
    </w:tbl>
    <w:p w:rsidR="00505C06" w:rsidP="00DF404F">
      <w:pPr>
        <w:pStyle w:val="BodyText"/>
      </w:pPr>
    </w:p>
    <w:p w:rsidR="00505C06" w:rsidP="00DF404F">
      <w:pPr>
        <w:pStyle w:val="BodyText"/>
      </w:pPr>
    </w:p>
    <w:p w:rsidR="00000000" w:rsidRPr="00DF404F" w:rsidP="00DF404F">
      <w:pPr>
        <w:pStyle w:val="Heading1"/>
      </w:pPr>
      <w:bookmarkStart w:id="4" w:name="O_229452"/>
      <w:bookmarkEnd w:id="4"/>
      <w:r w:rsidRPr="00DF404F">
        <w:t>Licensing/Regulatory Information</w:t>
      </w:r>
    </w:p>
    <w:tbl>
      <w:tblPr>
        <w:tblW w:w="0" w:type="auto"/>
        <w:tblLayout w:type="fixed"/>
        <w:tblCellMar>
          <w:left w:w="62" w:type="dxa"/>
          <w:right w:w="62" w:type="dxa"/>
        </w:tblCellMar>
        <w:tblLook w:val="0000"/>
      </w:tblPr>
      <w:tblGrid>
        <w:gridCol w:w="2700"/>
        <w:gridCol w:w="5760"/>
      </w:tblGrid>
      <w:tr w:rsidTr="00505C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3</w:t>
            </w:r>
            <w:r w:rsidRPr="00DF404F">
              <w:t>.</w:t>
            </w:r>
            <w:r w:rsidRPr="00DF404F">
              <w:rPr>
                <w:rStyle w:val="SpecialBold"/>
              </w:rPr>
              <w:t>1</w:t>
            </w:r>
            <w:r w:rsidRPr="00DF404F">
              <w:t xml:space="preserve">) </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t>The skills and knowledg</w:t>
            </w:r>
            <w:r w:rsidRPr="00DF404F">
              <w:t xml:space="preserve">e described in this unit are not subject to licence regulation other than those directly related to Occupational Health and Safety, gas/electricity/water industry safety and compliance, </w:t>
            </w:r>
            <w:r w:rsidRPr="00DF404F">
              <w:t>industrial relations, environmental protection, telecommunications, an</w:t>
            </w:r>
            <w:r w:rsidRPr="00DF404F">
              <w:t>ti discrimination and training. Commonwealth, State/Territory or Local Government legislation and regulations may exist that limits the age of those who can operate certain equipment.</w:t>
            </w:r>
          </w:p>
        </w:tc>
      </w:tr>
    </w:tbl>
    <w:p w:rsidR="00505C06" w:rsidP="00DF404F">
      <w:pPr>
        <w:pStyle w:val="BodyText"/>
      </w:pPr>
    </w:p>
    <w:p w:rsidR="00505C06" w:rsidP="00DF404F">
      <w:pPr>
        <w:pStyle w:val="BodyText"/>
      </w:pPr>
    </w:p>
    <w:p w:rsidR="00000000" w:rsidRPr="00DF404F" w:rsidP="00DF404F">
      <w:pPr>
        <w:pStyle w:val="Heading1"/>
      </w:pPr>
      <w:bookmarkStart w:id="5" w:name="O_229449"/>
      <w:bookmarkEnd w:id="5"/>
      <w:r w:rsidRPr="00DF404F">
        <w:t>Pre-Requisites</w:t>
      </w:r>
    </w:p>
    <w:tbl>
      <w:tblPr>
        <w:tblW w:w="0" w:type="auto"/>
        <w:tblLayout w:type="fixed"/>
        <w:tblCellMar>
          <w:left w:w="62" w:type="dxa"/>
          <w:right w:w="62" w:type="dxa"/>
        </w:tblCellMar>
        <w:tblLook w:val="0000"/>
      </w:tblPr>
      <w:tblGrid>
        <w:gridCol w:w="2700"/>
        <w:gridCol w:w="1800"/>
        <w:gridCol w:w="3960"/>
      </w:tblGrid>
      <w:tr w:rsidTr="00505C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Prerequisite Unit</w:t>
            </w:r>
            <w:r w:rsidRPr="00DF404F">
              <w:t>(</w:t>
            </w:r>
            <w:r w:rsidRPr="00DF404F">
              <w:rPr>
                <w:rStyle w:val="SpecialBold"/>
              </w:rPr>
              <w:t>s</w:t>
            </w:r>
            <w:r w:rsidRPr="00DF404F">
              <w:t>)</w:t>
            </w:r>
          </w:p>
        </w:tc>
        <w:tc>
          <w:tcPr>
            <w:tcW w:w="5760" w:type="dxa"/>
            <w:gridSpan w:val="2"/>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2</w:t>
            </w:r>
            <w:r w:rsidRPr="00DF404F">
              <w:t xml:space="preserve">) </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2</w:t>
            </w:r>
            <w:r w:rsidRPr="00DF404F">
              <w:t>.</w:t>
            </w:r>
            <w:r w:rsidRPr="00DF404F">
              <w:rPr>
                <w:rStyle w:val="SpecialBold"/>
              </w:rPr>
              <w:t>1</w:t>
            </w:r>
            <w:r w:rsidRPr="00DF404F">
              <w:t xml:space="preserve">) </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Granting of competency in this unit shall be made only after competency in the following unit(s) has/have been confirmed:</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Nil</w:t>
            </w:r>
          </w:p>
        </w:tc>
        <w:tc>
          <w:tcPr>
            <w:tcW w:w="3960" w:type="dxa"/>
            <w:tcBorders>
              <w:top w:val="nil"/>
              <w:left w:val="nil"/>
              <w:bottom w:val="nil"/>
              <w:right w:val="nil"/>
            </w:tcBorders>
            <w:tcMar>
              <w:top w:w="0" w:type="dxa"/>
              <w:left w:w="62" w:type="dxa"/>
              <w:bottom w:w="0" w:type="dxa"/>
              <w:right w:w="62" w:type="dxa"/>
            </w:tcMar>
          </w:tcPr>
          <w:p w:rsidR="00000000" w:rsidRPr="00DF404F" w:rsidP="00DF404F">
            <w:pPr>
              <w:pStyle w:val="BodyText"/>
            </w:pPr>
          </w:p>
        </w:tc>
      </w:tr>
    </w:tbl>
    <w:p w:rsidR="00505C06" w:rsidP="00DF404F">
      <w:pPr>
        <w:pStyle w:val="BodyText"/>
      </w:pPr>
    </w:p>
    <w:p w:rsidR="00505C06" w:rsidP="00DF404F">
      <w:pPr>
        <w:pStyle w:val="BodyText"/>
      </w:pPr>
    </w:p>
    <w:p w:rsidR="00000000" w:rsidRPr="00DF404F" w:rsidP="00DF404F">
      <w:pPr>
        <w:pStyle w:val="Heading1"/>
      </w:pPr>
      <w:bookmarkStart w:id="6" w:name="O_285353"/>
      <w:bookmarkEnd w:id="6"/>
      <w:r w:rsidRPr="00DF404F">
        <w:t>Employability Skills Information</w:t>
      </w:r>
    </w:p>
    <w:p w:rsidR="00000000" w:rsidRPr="00DF404F" w:rsidP="00DF404F">
      <w:pPr>
        <w:pStyle w:val="BodyText"/>
      </w:pPr>
      <w:r w:rsidRPr="00DF404F">
        <w:t>Refer to the Evidence Guide</w:t>
      </w:r>
    </w:p>
    <w:p w:rsidR="00000000" w:rsidRPr="00DF404F" w:rsidP="00DF404F">
      <w:pPr>
        <w:pStyle w:val="AllowPageBreak"/>
      </w:pPr>
    </w:p>
    <w:p w:rsidR="00000000" w:rsidRPr="00DF404F" w:rsidP="00DF404F">
      <w:pPr>
        <w:pStyle w:val="Heading1"/>
      </w:pPr>
      <w:bookmarkStart w:id="7" w:name="O_293150"/>
      <w:bookmarkEnd w:id="7"/>
      <w:r w:rsidRPr="00DF404F">
        <w:t>Elements and Performance Criteria Pre-Content</w:t>
      </w:r>
    </w:p>
    <w:tbl>
      <w:tblPr>
        <w:tblW w:w="0" w:type="auto"/>
        <w:tblLayout w:type="fixed"/>
        <w:tblCellMar>
          <w:left w:w="62" w:type="dxa"/>
          <w:right w:w="62" w:type="dxa"/>
        </w:tblCellMar>
        <w:tblLook w:val="0000"/>
      </w:tblPr>
      <w:tblGrid>
        <w:gridCol w:w="2700"/>
        <w:gridCol w:w="5760"/>
      </w:tblGrid>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5</w:t>
            </w:r>
            <w:r w:rsidRPr="00DF404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t>Performance Criteria describe the required performance needed to demonstrate achievement of the element. Assessment of performance is to</w:t>
            </w:r>
            <w:r w:rsidRPr="00DF404F">
              <w:t xml:space="preserve"> be consistent with the Evidence Guide.</w:t>
            </w:r>
          </w:p>
        </w:tc>
      </w:tr>
    </w:tbl>
    <w:p w:rsidR="00000000" w:rsidRPr="00DF404F" w:rsidP="00DF404F">
      <w:pPr>
        <w:pStyle w:val="BodyText"/>
      </w:pPr>
    </w:p>
    <w:p w:rsidR="00000000" w:rsidRPr="00DF404F" w:rsidP="00DF404F">
      <w:pPr>
        <w:pStyle w:val="AllowPageBreak"/>
      </w:pPr>
    </w:p>
    <w:p w:rsidR="00000000" w:rsidRPr="00DF404F" w:rsidP="00DF404F">
      <w:pPr>
        <w:pStyle w:val="Heading1"/>
      </w:pPr>
      <w:bookmarkStart w:id="8" w:name="O_239818"/>
      <w:bookmarkEnd w:id="8"/>
      <w:r w:rsidRPr="00DF404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05C0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PERFORMANCE CRITERIA</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1</w:t>
            </w:r>
          </w:p>
        </w:tc>
        <w:tc>
          <w:tcPr>
            <w:tcW w:w="2296" w:type="dxa"/>
            <w:vMerge w:val="restart"/>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Monitor gas distribution pipeline system performance</w:t>
            </w: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1.1</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Routine inspection of network i</w:t>
            </w:r>
            <w:r w:rsidRPr="00DF404F">
              <w:t>s conducted and faults reported in a timely manner against work schedule(s) and established procedures and confirmed if necessary by site inspection</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1.2</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Relevant requirements and established procedures for the work are communicated to all persons</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1.3</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 xml:space="preserve">OHS, environmental and sustainable energy policies and procedures related to requirements and established procedures for gas distribution pipeline surveillance are obtained and confirmed for the purposes of the work performed and communicated </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1.4</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Work</w:t>
            </w:r>
            <w:r w:rsidRPr="00DF404F">
              <w:t xml:space="preserve"> is prioritised and sequenced following consultation with others for completion within acceptable timeframes and in accordance with established procedures</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1.5</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Risk control measures for identified hazards are implemented, prioritised and monitored agains</w:t>
            </w:r>
            <w:r w:rsidRPr="00DF404F">
              <w:t>t the work schedule</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1.6</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Relevant work permits are obtained to access, isolate/de-energise systems and perform work according to requirements and established procedures</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1.7</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Resources including persons, equipment, tools and personal protective equipment required for gas distribution pipeline surveillance are identified, scheduled and obtained and confirmed in working order</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1.8</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Liaison and communication issues with authorise</w:t>
            </w:r>
            <w:r w:rsidRPr="00DF404F">
              <w:t>d persons, authorities and clients are resolved to carry out work where necessary</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1.9</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Persons participating in the work, including plant operators and contractors are fully briefed and respective responsibilities confirmed where applicable in accordance</w:t>
            </w:r>
            <w:r w:rsidRPr="00DF404F">
              <w:t xml:space="preserve"> with established procedures </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2</w:t>
            </w:r>
          </w:p>
        </w:tc>
        <w:tc>
          <w:tcPr>
            <w:tcW w:w="2296"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Identification of gas distribution pipeline system non-conformance</w:t>
            </w: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2.1</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Analysis of information to identify key issues is undertaken as required and information is evaluated for relevance and validity to the requirements</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2.2</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 xml:space="preserve">Dealings with customers are consistent with standard operating procedures and the special needs of customers are identified and considered in targeting client service </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2.3</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Apply Essential Knowledge and Associated Skills for the gas distribution pipe</w:t>
            </w:r>
            <w:r w:rsidRPr="00DF404F">
              <w:t>line surveillance to ensure completion in an agreed timeframe and to quality standards with a minimum of waste according to requirements</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2.4</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Leakages and damaged pipes and fittings are recorded in accordance with the work schedule and established proced</w:t>
            </w:r>
            <w:r w:rsidRPr="00DF404F">
              <w:t xml:space="preserve">ures </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2.5</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Hazard warnings and safety signs are recognised and hazards and assessed OHS risks are reported to the authorised persons for directions according to established procedures</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2.6</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 xml:space="preserve">Unplanned events in gas distribution pipeline surveillance are undertaken with the scope of established procedures </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2.7</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System faults and the operational condition of the network are identified and reported and known solutions are applied using acquired</w:t>
            </w:r>
            <w:r w:rsidRPr="00DF404F">
              <w:t xml:space="preserve"> Essential Knowledge and Associated Skills</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2.8</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Pressure and flow fluctuations outside acceptable limits are investigated and ongoing checks of work quality are undertaken in accordance with given instructions and established procedures</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w:t>
            </w:r>
          </w:p>
        </w:tc>
        <w:tc>
          <w:tcPr>
            <w:tcW w:w="2296"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Review, record and report on gas distribution pipeline surveillance work</w:t>
            </w: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3.1</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Solutions are developed based on consideration of relevant information and options and proposed solutions are communicated and implemented as required against works schedule and a</w:t>
            </w:r>
            <w:r w:rsidRPr="00DF404F">
              <w:t>nomalies reported in accordance with established procedures</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3.2</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Accidents and injuries are reported in accordance with requirements and established procedures where applicable</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3.3</w:t>
            </w:r>
          </w:p>
        </w:tc>
        <w:tc>
          <w:tcPr>
            <w:tcW w:w="48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Solution is implemented in accordance with standard operating procedures ensuring that action is correctly documented, the transaction is accurately processed and the customer is advised</w:t>
            </w:r>
          </w:p>
        </w:tc>
      </w:tr>
      <w:tr w:rsidTr="00505C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3.4</w:t>
            </w:r>
          </w:p>
        </w:tc>
        <w:tc>
          <w:tcPr>
            <w:tcW w:w="486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t>Patrol log and work completion records, reports and documentat</w:t>
            </w:r>
            <w:r w:rsidRPr="00DF404F">
              <w:t>ion are finalised and processed and appropriate personnel notified</w:t>
            </w:r>
          </w:p>
        </w:tc>
      </w:tr>
    </w:tbl>
    <w:p w:rsidR="00505C06" w:rsidP="00DF404F">
      <w:pPr>
        <w:pStyle w:val="BodyText"/>
      </w:pPr>
    </w:p>
    <w:p w:rsidR="00505C06" w:rsidP="00DF404F">
      <w:pPr>
        <w:pStyle w:val="BodyText"/>
      </w:pPr>
    </w:p>
    <w:p w:rsidR="00000000" w:rsidRPr="00DF404F" w:rsidP="00DF404F">
      <w:pPr>
        <w:pStyle w:val="Heading1"/>
      </w:pPr>
      <w:bookmarkStart w:id="9" w:name="O_263609"/>
      <w:bookmarkEnd w:id="9"/>
      <w:r w:rsidRPr="00DF404F">
        <w:t>Required Skills and Knowledge</w:t>
      </w:r>
    </w:p>
    <w:tbl>
      <w:tblPr>
        <w:tblW w:w="0" w:type="auto"/>
        <w:tblLayout w:type="fixed"/>
        <w:tblCellMar>
          <w:left w:w="62" w:type="dxa"/>
          <w:right w:w="62" w:type="dxa"/>
        </w:tblCellMar>
        <w:tblLook w:val="0000"/>
      </w:tblPr>
      <w:tblGrid>
        <w:gridCol w:w="2700"/>
        <w:gridCol w:w="1080"/>
        <w:gridCol w:w="4680"/>
      </w:tblGrid>
      <w:tr w:rsidTr="00505C0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REQUIRED SKILLS AND KNOWLEDGE</w:t>
            </w:r>
          </w:p>
        </w:tc>
      </w:tr>
      <w:tr w:rsidTr="00505C0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6</w:t>
            </w:r>
            <w:r w:rsidRPr="00DF404F">
              <w:t>) This describes the essential skills and knowledge and their level, required for this unit.</w:t>
            </w:r>
          </w:p>
        </w:tc>
      </w:tr>
      <w:tr w:rsidTr="00505C0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Evidence shall show that knowledge has been acquired of safe working practices for the gas distribution pipeline surveillance investigation of billing exceptions/conditions. The extent of the essential knowledge and associated skills (EKAS) required is giv</w:t>
            </w:r>
            <w:r w:rsidRPr="00DF404F">
              <w:t>en in Volume 2 - Part 2.2 EKAS.  It forms an integral part of this unit.</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3.2.1</w:t>
            </w:r>
          </w:p>
        </w:tc>
        <w:tc>
          <w:tcPr>
            <w:tcW w:w="46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Consulting appropriate persons to coordinate work and persons</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3.2.4</w:t>
            </w:r>
          </w:p>
        </w:tc>
        <w:tc>
          <w:tcPr>
            <w:tcW w:w="46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Liaise and communicate with relevant authorities</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3.2.7</w:t>
            </w:r>
          </w:p>
        </w:tc>
        <w:tc>
          <w:tcPr>
            <w:tcW w:w="46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Prepare reports</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3.2.9</w:t>
            </w:r>
          </w:p>
        </w:tc>
        <w:tc>
          <w:tcPr>
            <w:tcW w:w="46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Undertake final inspections</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3.2.10</w:t>
            </w:r>
          </w:p>
        </w:tc>
        <w:tc>
          <w:tcPr>
            <w:tcW w:w="46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Notify of completion of work</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3.2.15</w:t>
            </w:r>
          </w:p>
        </w:tc>
        <w:tc>
          <w:tcPr>
            <w:tcW w:w="46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Carry out repair work and make amendments or modifications as required</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3.2.20</w:t>
            </w:r>
          </w:p>
        </w:tc>
        <w:tc>
          <w:tcPr>
            <w:tcW w:w="46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Prepare work site for repairs/modification work</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3.2.36</w:t>
            </w:r>
          </w:p>
        </w:tc>
        <w:tc>
          <w:tcPr>
            <w:tcW w:w="46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Perform routine maintenance on high pressure pipelines, facilities and equipment</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3.2.50</w:t>
            </w:r>
          </w:p>
        </w:tc>
        <w:tc>
          <w:tcPr>
            <w:tcW w:w="468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t>Distribution pipeline surveillance procedures and practices</w:t>
            </w:r>
          </w:p>
        </w:tc>
      </w:tr>
    </w:tbl>
    <w:p w:rsidR="00505C06" w:rsidP="00DF404F">
      <w:pPr>
        <w:pStyle w:val="BodyText"/>
      </w:pPr>
    </w:p>
    <w:p w:rsidR="00505C06" w:rsidP="00DF404F">
      <w:pPr>
        <w:pStyle w:val="BodyText"/>
      </w:pPr>
    </w:p>
    <w:p w:rsidR="00000000" w:rsidRPr="00DF404F" w:rsidP="00DF404F">
      <w:pPr>
        <w:pStyle w:val="Heading1"/>
      </w:pPr>
      <w:bookmarkStart w:id="10" w:name="O_247801"/>
      <w:bookmarkEnd w:id="10"/>
      <w:r w:rsidRPr="00DF404F">
        <w:t>Evidence Guide</w:t>
      </w:r>
    </w:p>
    <w:tbl>
      <w:tblPr>
        <w:tblW w:w="0" w:type="auto"/>
        <w:tblLayout w:type="fixed"/>
        <w:tblCellMar>
          <w:left w:w="62" w:type="dxa"/>
          <w:right w:w="62" w:type="dxa"/>
        </w:tblCellMar>
        <w:tblLook w:val="0000"/>
      </w:tblPr>
      <w:tblGrid>
        <w:gridCol w:w="326"/>
        <w:gridCol w:w="1834"/>
        <w:gridCol w:w="360"/>
        <w:gridCol w:w="900"/>
        <w:gridCol w:w="540"/>
        <w:gridCol w:w="1440"/>
        <w:gridCol w:w="1497"/>
        <w:gridCol w:w="1563"/>
      </w:tblGrid>
      <w:tr w:rsidTr="00505C06">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EVIDENCE GUIDE</w:t>
            </w:r>
          </w:p>
        </w:tc>
      </w:tr>
      <w:tr w:rsidTr="00505C06">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8</w:t>
            </w:r>
            <w:r w:rsidRPr="00DF404F">
              <w:t>) The Evidence Guide forms an integral part of this Competency Standard Unit and shall be used in conjunction with all components parts of this unit and performed in accordance with the Assessment Guidelines of this Training Package.</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Overview of As</w:t>
            </w:r>
            <w:r w:rsidRPr="00DF404F">
              <w:rPr>
                <w:rStyle w:val="SpecialBold"/>
              </w:rPr>
              <w:t>sessment</w:t>
            </w:r>
          </w:p>
        </w:tc>
        <w:tc>
          <w:tcPr>
            <w:tcW w:w="6300" w:type="dxa"/>
            <w:gridSpan w:val="6"/>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8</w:t>
            </w:r>
            <w:r w:rsidRPr="00DF404F">
              <w:t>.</w:t>
            </w:r>
            <w:r w:rsidRPr="00DF404F">
              <w:rPr>
                <w:rStyle w:val="SpecialBold"/>
              </w:rPr>
              <w:t>1</w:t>
            </w:r>
            <w:r w:rsidRPr="00DF404F">
              <w:t xml:space="preserve">) </w:t>
            </w:r>
          </w:p>
          <w:p w:rsidR="00000000" w:rsidRPr="00DF404F" w:rsidP="00DF404F">
            <w:pPr>
              <w:pStyle w:val="BodyText"/>
            </w:pPr>
            <w:r w:rsidRPr="00DF404F">
              <w:t>Longitudinal competency development approaches to assessment, such as Profiling, require data to be reliably gathered in a form that can be consistently interpreted over time. This approach is best utilised in Apprenticeship programs and re</w:t>
            </w:r>
            <w:r w:rsidRPr="00DF404F">
              <w:t>duces assessment intervention. It is the Industry's preferred model for apprenticeships. However, where summative (or final) assessment is used it is to include the application of the competency in the normal work environment or, at a minimum, the applicat</w:t>
            </w:r>
            <w:r w:rsidRPr="00DF404F">
              <w:t>ion of the competency in a realistically simulated work environment. It is recognised that, in some circumstances, assessment in part or full can occur outside the workplace. However, it must be in accord with Industry regulatory policy in this regard.</w:t>
            </w:r>
          </w:p>
          <w:p w:rsidR="00000000" w:rsidRPr="00DF404F" w:rsidP="00DF404F">
            <w:pPr>
              <w:pStyle w:val="BodyText"/>
            </w:pPr>
            <w:r w:rsidRPr="00DF404F">
              <w:t>Met</w:t>
            </w:r>
            <w:r w:rsidRPr="00DF404F">
              <w:t>hods chosen for a particular assessment will be influenced by various factors. These include the extent of the assessment, the most effective locations for the assessment activities to take place, access to physical resources, additional safety measures th</w:t>
            </w:r>
            <w:r w:rsidRPr="00DF404F">
              <w:t>at may be required and the critical nature of the competencies being assessed.</w:t>
            </w:r>
          </w:p>
          <w:p w:rsidR="00000000" w:rsidRPr="00DF404F" w:rsidP="00DF404F">
            <w:pPr>
              <w:pStyle w:val="BodyText"/>
            </w:pPr>
            <w:r w:rsidRPr="00DF404F">
              <w:t>The critical safety nature of working with electricity, electrical equipment, gas or any other hazardous substance/material carries risk in deeming a person competent. Hence, sources of evidence need to be 'rich' in nature so as to minimise error in judgme</w:t>
            </w:r>
            <w:r w:rsidRPr="00DF404F">
              <w:t>nt.</w:t>
            </w:r>
          </w:p>
          <w:p w:rsidR="00000000" w:rsidP="00DF404F">
            <w:pPr>
              <w:pStyle w:val="BodyText"/>
              <w:rPr>
                <w:lang w:val="en-NZ"/>
              </w:rPr>
            </w:pPr>
            <w:r w:rsidRPr="00DF404F">
              <w:t>Activities associated with normal every day work have a bearing on the decision as to how much and how detailed the data gathered will contribute to its 'richness'. Some skills are more critical to safety and operational requirements while the same ski</w:t>
            </w:r>
            <w:r w:rsidRPr="00DF404F">
              <w:t>lls may be more or less frequently practiced. These points are raised for the assessors to consider when choosing an assessment method and developing assessment instruments. Sample assessment instruments are included for Assessors in the Assessment Guideli</w:t>
            </w:r>
            <w:r w:rsidRPr="00DF404F">
              <w:t>nes of this Training Package.</w:t>
            </w:r>
          </w:p>
        </w:tc>
      </w:tr>
      <w:tr w:rsidTr="00505C0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8</w:t>
            </w:r>
            <w:r w:rsidRPr="00DF404F">
              <w:t>.</w:t>
            </w:r>
            <w:r w:rsidRPr="00DF404F">
              <w:rPr>
                <w:rStyle w:val="SpecialBold"/>
              </w:rPr>
              <w:t>2</w:t>
            </w:r>
            <w:r w:rsidRPr="00DF404F">
              <w:t xml:space="preserve">) </w:t>
            </w:r>
          </w:p>
          <w:p w:rsidR="00000000" w:rsidP="00DF404F">
            <w:pPr>
              <w:pStyle w:val="BodyText"/>
              <w:rPr>
                <w:lang w:val="en-NZ"/>
              </w:rPr>
            </w:pPr>
            <w:r w:rsidRPr="00DF404F">
              <w:t>Before the critical aspects of evidence are considered all prerequisites shall be met.</w:t>
            </w:r>
          </w:p>
        </w:tc>
      </w:tr>
      <w:tr w:rsidTr="00505C0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t>Evidence for competence in this unit shall be considered holistically. Each element and associated Performance Criteria shall be demonstrated on at least two occasions in accordance with the 'Assessment Guidelines  UEG06'. Evidence shall also comprise.</w:t>
            </w:r>
          </w:p>
          <w:p w:rsidR="00000000" w:rsidP="00DF404F">
            <w:pPr>
              <w:pStyle w:val="ListBullet"/>
              <w:rPr>
                <w:lang w:val="en-NZ"/>
              </w:rPr>
            </w:pPr>
            <w:r w:rsidRPr="00DF404F">
              <w:t xml:space="preserve">A </w:t>
            </w:r>
            <w:r w:rsidRPr="00DF404F">
              <w:t>representative body of Performance Criteria demonstrated within the timeframes typically expected of the discipline, work function and industrial environment. In particular this shall incorporate evidence that shows a candidate is able to:</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DF404F" w:rsidP="00DF404F">
            <w:pPr>
              <w:pStyle w:val="ListBullet2"/>
            </w:pPr>
            <w:r w:rsidRPr="00DF404F">
              <w:t>Implement Occupational Health and Safety workplace procedures and practices including the use of risk control measures as specified in the Performance Criteria and range</w:t>
            </w:r>
          </w:p>
          <w:p w:rsidR="00000000" w:rsidRPr="00DF404F" w:rsidP="00DF404F">
            <w:pPr>
              <w:pStyle w:val="ListBullet2"/>
            </w:pPr>
            <w:r w:rsidRPr="00DF404F">
              <w:t>Apply sustainable energy principles and practices as specified in the Performance Crit</w:t>
            </w:r>
            <w:r w:rsidRPr="00DF404F">
              <w:t>eria and range</w:t>
            </w:r>
          </w:p>
          <w:p w:rsidR="00000000" w:rsidRPr="00DF404F" w:rsidP="00DF404F">
            <w:pPr>
              <w:pStyle w:val="ListBullet2"/>
            </w:pPr>
            <w:r w:rsidRPr="00DF404F">
              <w:t>Demonstrate an understanding of the essential knowledge and associated skills as described in this unit to such an extent that the learner's performance outcome is reported in accordance with the preferred approach; namely a percentile grade</w:t>
            </w:r>
            <w:r w:rsidRPr="00DF404F">
              <w:t>d result, where required by the regulated environment</w:t>
            </w:r>
          </w:p>
          <w:p w:rsidR="00000000" w:rsidRPr="00DF404F" w:rsidP="00DF404F">
            <w:pPr>
              <w:pStyle w:val="ListBullet2"/>
            </w:pPr>
            <w:r w:rsidRPr="00DF404F">
              <w:t>Demonstrate an appropriate level of skills enabling employment</w:t>
            </w:r>
          </w:p>
          <w:p w:rsidR="00000000" w:rsidP="00DF404F">
            <w:pPr>
              <w:pStyle w:val="ListBullet2"/>
              <w:rPr>
                <w:lang w:val="en-NZ"/>
              </w:rPr>
            </w:pPr>
            <w:r w:rsidRPr="00DF404F">
              <w:t>Conduct work observing the relevant anti discrimination legislation, regulations, polices and workplace procedures</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DF404F">
            <w:pPr>
              <w:pStyle w:val="ListBullet2"/>
              <w:rPr>
                <w:lang w:val="en-NZ"/>
              </w:rPr>
            </w:pPr>
            <w:r w:rsidRPr="00DF404F">
              <w:t>Demonstrate performance across a representative range of contexts from the prescribed items below.</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F404F">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rPr>
                <w:rStyle w:val="SpecialBold"/>
              </w:rPr>
              <w:t>Range of tools</w:t>
            </w:r>
            <w:r w:rsidRPr="00DF404F">
              <w:t>/</w:t>
            </w:r>
            <w:r w:rsidRPr="00DF404F">
              <w:rPr>
                <w:rStyle w:val="SpecialBold"/>
              </w:rPr>
              <w:t>equipment</w:t>
            </w:r>
            <w:r w:rsidRPr="00DF404F">
              <w:t>/</w:t>
            </w:r>
            <w:r w:rsidRPr="00DF404F">
              <w:rPr>
                <w:rStyle w:val="SpecialBold"/>
              </w:rPr>
              <w:t>materials</w:t>
            </w:r>
            <w:r w:rsidRPr="00DF404F">
              <w:t>/</w:t>
            </w:r>
            <w:r w:rsidRPr="00DF404F">
              <w:rPr>
                <w:rStyle w:val="SpecialBold"/>
              </w:rPr>
              <w:t>procedures</w:t>
            </w:r>
            <w:r w:rsidRPr="00DF404F">
              <w:t>/</w:t>
            </w:r>
            <w:r w:rsidRPr="00DF404F">
              <w:br/>
            </w:r>
            <w:r w:rsidRPr="00DF404F">
              <w:rPr>
                <w:rStyle w:val="SpecialBold"/>
              </w:rPr>
              <w:t>workplaces</w:t>
            </w:r>
            <w:r w:rsidRPr="00DF404F">
              <w:t>/</w:t>
            </w:r>
            <w:r w:rsidRPr="00DF404F">
              <w:rPr>
                <w:rStyle w:val="SpecialBold"/>
              </w:rPr>
              <w:t>other variables</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F404F">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r w:rsidRPr="00DF404F">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r w:rsidRPr="00DF404F">
              <w:rPr>
                <w:rStyle w:val="SpecialBold"/>
              </w:rPr>
              <w:t>The minimum number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rPr>
                <w:rStyle w:val="SpecialBold"/>
              </w:rPr>
              <w:t>Item List</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r w:rsidRPr="00DF404F">
              <w:t>Operation of Dial Before You Dig (MOCS) services and how it applies to working or its equivalent near gas assets</w:t>
            </w:r>
          </w:p>
          <w:p w:rsidR="00000000" w:rsidRPr="00DF404F" w:rsidP="00DF404F">
            <w:pPr>
              <w:pStyle w:val="BodyText"/>
            </w:pPr>
            <w:r w:rsidRPr="00DF404F">
              <w:t>Different types of surveillance, i.e. vehicle, foot, aerial, watercraft</w:t>
            </w:r>
          </w:p>
          <w:p w:rsidR="00000000" w:rsidRPr="00DF404F" w:rsidP="00DF404F">
            <w:pPr>
              <w:pStyle w:val="BodyText"/>
            </w:pPr>
            <w:r w:rsidRPr="00DF404F">
              <w:t>Liaison with affected landowners and relevance of property visits</w:t>
            </w:r>
          </w:p>
          <w:p w:rsidR="00000000" w:rsidRPr="00DF404F" w:rsidP="00DF404F">
            <w:pPr>
              <w:pStyle w:val="BodyText"/>
            </w:pPr>
            <w:r w:rsidRPr="00DF404F">
              <w:t>Deteriorating conditions, i.e. visibility, warning signage</w:t>
            </w:r>
          </w:p>
          <w:p w:rsidR="00000000" w:rsidP="00DF404F">
            <w:pPr>
              <w:pStyle w:val="BodyText"/>
              <w:rPr>
                <w:lang w:val="en-NZ"/>
              </w:rPr>
            </w:pPr>
            <w:r w:rsidRPr="00DF404F">
              <w:t>Identification of leaks, damaged pipes and fittings and the</w:t>
            </w:r>
            <w:r w:rsidRPr="00DF404F">
              <w:t xml:space="preserve"> recording of these in accordance with established procedures</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r w:rsidRPr="00DF404F">
              <w:t>Inspection techniques</w:t>
            </w:r>
          </w:p>
          <w:p w:rsidR="00000000" w:rsidRPr="00DF404F" w:rsidP="00DF404F">
            <w:pPr>
              <w:pStyle w:val="BodyText"/>
            </w:pPr>
            <w:r w:rsidRPr="00DF404F">
              <w:t>Identifying faults</w:t>
            </w:r>
          </w:p>
          <w:p w:rsidR="00000000" w:rsidP="00DF404F">
            <w:pPr>
              <w:pStyle w:val="BodyText"/>
              <w:rPr>
                <w:lang w:val="en-NZ"/>
              </w:rPr>
            </w:pPr>
            <w:r w:rsidRPr="00DF404F">
              <w:t>Recording information</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r w:rsidRPr="00DF404F">
              <w:t>Operating hand held tools</w:t>
            </w:r>
          </w:p>
          <w:p w:rsidR="00000000" w:rsidRPr="00DF404F" w:rsidP="00DF404F">
            <w:pPr>
              <w:pStyle w:val="BodyText"/>
            </w:pPr>
            <w:r w:rsidRPr="00DF404F">
              <w:t>Operating power tools</w:t>
            </w:r>
          </w:p>
          <w:p w:rsidR="00000000" w:rsidRPr="00DF404F" w:rsidP="00DF404F">
            <w:pPr>
              <w:pStyle w:val="BodyText"/>
            </w:pPr>
            <w:r w:rsidRPr="00DF404F">
              <w:t>Lifting equipment</w:t>
            </w:r>
          </w:p>
          <w:p w:rsidR="00000000" w:rsidRPr="00DF404F" w:rsidP="00DF404F">
            <w:pPr>
              <w:pStyle w:val="BodyText"/>
            </w:pPr>
            <w:r w:rsidRPr="00DF404F">
              <w:t>Mechanical excavation equipment</w:t>
            </w:r>
          </w:p>
          <w:p w:rsidR="00000000" w:rsidRPr="00DF404F" w:rsidP="00DF404F">
            <w:pPr>
              <w:pStyle w:val="BodyText"/>
            </w:pPr>
            <w:r w:rsidRPr="00DF404F">
              <w:t xml:space="preserve">Electronic metering systems </w:t>
            </w:r>
          </w:p>
          <w:p w:rsidR="00000000" w:rsidRPr="00DF404F" w:rsidP="00DF404F">
            <w:pPr>
              <w:pStyle w:val="BodyText"/>
            </w:pPr>
            <w:r w:rsidRPr="00DF404F">
              <w:t>Recording systems</w:t>
            </w:r>
          </w:p>
          <w:p w:rsidR="00000000" w:rsidRPr="00DF404F" w:rsidP="00DF404F">
            <w:pPr>
              <w:pStyle w:val="BodyText"/>
            </w:pPr>
            <w:r w:rsidRPr="00DF404F">
              <w:t>Motorised equipment</w:t>
            </w:r>
          </w:p>
          <w:p w:rsidR="00000000" w:rsidP="00DF404F">
            <w:pPr>
              <w:pStyle w:val="BodyText"/>
              <w:rPr>
                <w:lang w:val="en-NZ"/>
              </w:rPr>
            </w:pPr>
            <w:r w:rsidRPr="00DF404F">
              <w:t>Communication equipment</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D</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r w:rsidRPr="00DF404F">
              <w:t>Work utilising relevant OHS legislation, regulations, codes of practice, policies and procedures</w:t>
            </w:r>
          </w:p>
          <w:p w:rsidR="00000000" w:rsidRPr="00DF404F" w:rsidP="00DF404F">
            <w:pPr>
              <w:pStyle w:val="BodyText"/>
            </w:pPr>
            <w:r w:rsidRPr="00DF404F">
              <w:t>Apply job safety analysis</w:t>
            </w:r>
          </w:p>
          <w:p w:rsidR="00000000" w:rsidRPr="00DF404F" w:rsidP="00DF404F">
            <w:pPr>
              <w:pStyle w:val="BodyText"/>
            </w:pPr>
            <w:r w:rsidRPr="00DF404F">
              <w:t>Apply working knowledge of AS2865</w:t>
            </w:r>
          </w:p>
          <w:p w:rsidR="00000000" w:rsidRPr="00DF404F" w:rsidP="00DF404F">
            <w:pPr>
              <w:pStyle w:val="BodyText"/>
            </w:pPr>
            <w:r w:rsidRPr="00DF404F">
              <w:t>Maintain a safe and clean workplace</w:t>
            </w:r>
          </w:p>
          <w:p w:rsidR="00000000" w:rsidRPr="00DF404F" w:rsidP="00DF404F">
            <w:pPr>
              <w:pStyle w:val="BodyText"/>
            </w:pPr>
            <w:r w:rsidRPr="00DF404F">
              <w:t>Apply safe manual handling techniques</w:t>
            </w:r>
          </w:p>
          <w:p w:rsidR="00000000" w:rsidRPr="00DF404F" w:rsidP="00DF404F">
            <w:pPr>
              <w:pStyle w:val="BodyText"/>
            </w:pPr>
            <w:r w:rsidRPr="00DF404F">
              <w:t>Respond to emergency situations</w:t>
            </w:r>
          </w:p>
          <w:p w:rsidR="00000000" w:rsidRPr="00DF404F" w:rsidP="00DF404F">
            <w:pPr>
              <w:pStyle w:val="BodyText"/>
            </w:pPr>
            <w:r w:rsidRPr="00DF404F">
              <w:t>Communicate effectively in the workplace</w:t>
            </w:r>
          </w:p>
          <w:p w:rsidR="00000000" w:rsidRPr="00DF404F" w:rsidP="00DF404F">
            <w:pPr>
              <w:pStyle w:val="BodyText"/>
            </w:pPr>
            <w:r w:rsidRPr="00DF404F">
              <w:t>Apply basic planning and job completion skills</w:t>
            </w:r>
          </w:p>
          <w:p w:rsidR="00000000" w:rsidP="00DF404F">
            <w:pPr>
              <w:pStyle w:val="BodyText"/>
              <w:rPr>
                <w:lang w:val="en-NZ"/>
              </w:rPr>
            </w:pPr>
            <w:r w:rsidRPr="00DF404F">
              <w:t>Use of technology</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E</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 xml:space="preserve">Deal with an unplanned event by drawing on essential knowledge and associated skills to provide appropriate solutions incorporated in the holistic assessment with the above listed items </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Context of and specific resources for assess</w:t>
            </w:r>
            <w:r w:rsidRPr="00DF404F">
              <w:rPr>
                <w:rStyle w:val="SpecialBold"/>
              </w:rPr>
              <w:t>ment</w:t>
            </w:r>
          </w:p>
        </w:tc>
        <w:tc>
          <w:tcPr>
            <w:tcW w:w="6300" w:type="dxa"/>
            <w:gridSpan w:val="6"/>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8</w:t>
            </w:r>
            <w:r w:rsidRPr="00DF404F">
              <w:t>.</w:t>
            </w:r>
            <w:r w:rsidRPr="00DF404F">
              <w:rPr>
                <w:rStyle w:val="SpecialBold"/>
              </w:rPr>
              <w:t>3</w:t>
            </w:r>
            <w:r w:rsidRPr="00DF404F">
              <w:t xml:space="preserve">) </w:t>
            </w:r>
          </w:p>
          <w:p w:rsidR="00000000" w:rsidRPr="00DF404F" w:rsidP="00DF404F">
            <w:pPr>
              <w:pStyle w:val="BodyText"/>
            </w:pPr>
            <w:r w:rsidRPr="00DF404F">
              <w:t>This unit should be assessed as it relates to normal work practice using procedures, information and resources typical of a workplace. This should include:</w:t>
            </w:r>
          </w:p>
          <w:p w:rsidR="00000000" w:rsidRPr="00DF404F" w:rsidP="00DF404F">
            <w:pPr>
              <w:pStyle w:val="ListBullet"/>
            </w:pPr>
            <w:r w:rsidRPr="00DF404F">
              <w:t>OHS policy and work procedures and instructions.</w:t>
            </w:r>
          </w:p>
          <w:p w:rsidR="00000000" w:rsidRPr="00DF404F" w:rsidP="00DF404F">
            <w:pPr>
              <w:pStyle w:val="ListBullet"/>
            </w:pPr>
            <w:r w:rsidRPr="00DF404F">
              <w:t>Suitable work environment, facilities, equipment and materials to undertake actual work as prescribed by this Competency Standard Unit.</w:t>
            </w:r>
          </w:p>
          <w:p w:rsidR="00000000" w:rsidRPr="00DF404F" w:rsidP="00DF404F">
            <w:pPr>
              <w:pStyle w:val="ListBullet"/>
            </w:pPr>
            <w:r w:rsidRPr="00DF404F">
              <w:t>Appropriate environmental regulation and work practices.</w:t>
            </w:r>
          </w:p>
          <w:p w:rsidR="00000000" w:rsidP="00DF404F">
            <w:pPr>
              <w:pStyle w:val="ListBullet"/>
              <w:rPr>
                <w:lang w:val="en-NZ"/>
              </w:rPr>
            </w:pPr>
            <w:r w:rsidRPr="00DF404F">
              <w:t>Appropriate organisational requirements.</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In addition to</w:t>
            </w:r>
            <w:r w:rsidRPr="00DF404F">
              <w:t xml:space="preserve"> the resources listed above, in Context of and specific resources for assessment, evidence should show demonstrated competency in gas distribution pipeline surveillance.</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Assessment of this competency must also be undertaken in either an actual workplace or under a simulated work environment. Assessment must also integrate the key competencies.</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8</w:t>
            </w:r>
            <w:r w:rsidRPr="00DF404F">
              <w:t>.</w:t>
            </w:r>
            <w:r w:rsidRPr="00DF404F">
              <w:rPr>
                <w:rStyle w:val="SpecialBold"/>
              </w:rPr>
              <w:t>4</w:t>
            </w:r>
            <w:r w:rsidRPr="00DF404F">
              <w:t xml:space="preserve">) </w:t>
            </w:r>
          </w:p>
          <w:p w:rsidR="00000000" w:rsidRPr="00DF404F" w:rsidP="00DF404F">
            <w:pPr>
              <w:pStyle w:val="BodyText"/>
            </w:pPr>
            <w:r w:rsidRPr="00DF404F">
              <w:t>This Competency Standard Unit shall be assesse</w:t>
            </w:r>
            <w:r w:rsidRPr="00DF404F">
              <w:t>d by methods given in Volume 1, Part 3 'Assessment Guidelines'.</w:t>
            </w:r>
          </w:p>
          <w:p w:rsidR="00000000" w:rsidP="00DF404F">
            <w:pPr>
              <w:pStyle w:val="BodyText"/>
              <w:rPr>
                <w:lang w:val="en-NZ"/>
              </w:rPr>
            </w:pPr>
            <w:r w:rsidRPr="00DF404F">
              <w:t>Note:</w:t>
            </w:r>
            <w:r w:rsidRPr="00DF404F">
              <w:br/>
              <w:t>Competent performance with inherent safe working practices is expected in the Industry to which this Competency Standard Unit applies. This requires that the specified Essential Knowledg</w:t>
            </w:r>
            <w:r w:rsidRPr="00DF404F">
              <w:t>e and Associated Skills are assessed in a structured environment which is primarily intended for learning/assessment and incorporates all necessary equipment and facilities for learners to develop and demonstrate the essential knowledge and associated skil</w:t>
            </w:r>
            <w:r w:rsidRPr="00DF404F">
              <w:t>ls described in this unit.</w:t>
            </w:r>
          </w:p>
        </w:tc>
      </w:tr>
      <w:tr w:rsidTr="00505C06">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8</w:t>
            </w:r>
            <w:r w:rsidRPr="00DF404F">
              <w:t>.</w:t>
            </w:r>
            <w:r w:rsidRPr="00DF404F">
              <w:rPr>
                <w:rStyle w:val="SpecialBold"/>
              </w:rPr>
              <w:t>5</w:t>
            </w:r>
            <w:r w:rsidRPr="00DF404F">
              <w:t xml:space="preserve">) </w:t>
            </w:r>
          </w:p>
          <w:p w:rsidR="00000000" w:rsidP="00DF404F">
            <w:pPr>
              <w:pStyle w:val="BodyText"/>
              <w:rPr>
                <w:lang w:val="en-NZ"/>
              </w:rPr>
            </w:pPr>
            <w:r w:rsidRPr="00DF404F">
              <w:t>There are no recommended concurrent assessments with this unit, however in some cases efficiencies may be gained in terms of learning and assessment effort being concurrently managed with allied Competency Standard Units where listed.</w:t>
            </w:r>
          </w:p>
        </w:tc>
      </w:tr>
      <w:tr w:rsidTr="00505C0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UEGNSG102A</w:t>
            </w:r>
          </w:p>
        </w:tc>
        <w:tc>
          <w:tcPr>
            <w:tcW w:w="45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Carry out work activities in a utilities industry work environment</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UEGNSG103A</w:t>
            </w:r>
          </w:p>
        </w:tc>
        <w:tc>
          <w:tcPr>
            <w:tcW w:w="45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Comply with workplace OHS procedures and practices</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UEGNSG104A</w:t>
            </w:r>
          </w:p>
        </w:tc>
        <w:tc>
          <w:tcPr>
            <w:tcW w:w="45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Comply with environmental policies and procedures</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UEGNSG105A</w:t>
            </w:r>
          </w:p>
        </w:tc>
        <w:tc>
          <w:tcPr>
            <w:tcW w:w="45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Establish the work site</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BSBCMN302A</w:t>
            </w:r>
          </w:p>
        </w:tc>
        <w:tc>
          <w:tcPr>
            <w:tcW w:w="45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Organise personal work priorities and professional development</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BSBFLM312A</w:t>
            </w:r>
          </w:p>
        </w:tc>
        <w:tc>
          <w:tcPr>
            <w:tcW w:w="45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Contribute to team effectiveness</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BSBFLM303A</w:t>
            </w:r>
          </w:p>
        </w:tc>
        <w:tc>
          <w:tcPr>
            <w:tcW w:w="45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Contribute to effective workplace relationships</w:t>
            </w:r>
          </w:p>
        </w:tc>
      </w:tr>
      <w:tr w:rsidTr="00505C0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BSBCMN311A</w:t>
            </w:r>
          </w:p>
        </w:tc>
        <w:tc>
          <w:tcPr>
            <w:tcW w:w="4500" w:type="dxa"/>
            <w:gridSpan w:val="3"/>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Maintain workplace safety</w:t>
            </w:r>
          </w:p>
        </w:tc>
      </w:tr>
      <w:tr w:rsidTr="00505C0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F404F" w:rsidP="00DF404F">
            <w:pPr>
              <w:pStyle w:val="BodyText"/>
            </w:pPr>
            <w:r w:rsidRPr="00DF404F">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8</w:t>
            </w:r>
            <w:r w:rsidRPr="00DF404F">
              <w:t>.</w:t>
            </w:r>
            <w:r w:rsidRPr="00DF404F">
              <w:rPr>
                <w:rStyle w:val="SpecialBold"/>
              </w:rPr>
              <w:t>6</w:t>
            </w:r>
            <w:r w:rsidRPr="00DF404F">
              <w:t>) Evidence that particular key competencies have been achieved within this Competency Standard Unit is in the context of the following Performance Criteria of evidence. See Volume 2, Part 4 for an explanation of Key Competencies and levels of this Tra</w:t>
            </w:r>
            <w:r w:rsidRPr="00DF404F">
              <w:t>ining Package.</w:t>
            </w:r>
          </w:p>
        </w:tc>
      </w:tr>
      <w:tr w:rsidTr="00505C0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r w:rsidRPr="00DF404F">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r w:rsidRPr="00DF404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rPr>
                <w:rStyle w:val="SpecialBold"/>
              </w:rPr>
              <w:t>Performance Level</w:t>
            </w:r>
          </w:p>
        </w:tc>
      </w:tr>
      <w:tr w:rsidTr="00505C0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p>
          <w:p w:rsidR="00000000" w:rsidP="00DF404F">
            <w:pPr>
              <w:pStyle w:val="BodyText"/>
              <w:rPr>
                <w:lang w:val="en-NZ"/>
              </w:rPr>
            </w:pPr>
            <w:r w:rsidRPr="00DF404F">
              <w:t>3</w:t>
            </w:r>
          </w:p>
        </w:tc>
      </w:tr>
      <w:tr w:rsidTr="00505C0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1.8; 2.2; 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p>
        </w:tc>
      </w:tr>
      <w:tr w:rsidTr="00505C0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p>
          <w:p w:rsidR="00000000" w:rsidP="00DF404F">
            <w:pPr>
              <w:pStyle w:val="BodyText"/>
              <w:rPr>
                <w:lang w:val="en-NZ"/>
              </w:rPr>
            </w:pPr>
            <w:r w:rsidRPr="00DF404F">
              <w:t>2</w:t>
            </w:r>
          </w:p>
        </w:tc>
      </w:tr>
      <w:tr w:rsidTr="00505C0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p>
        </w:tc>
      </w:tr>
      <w:tr w:rsidTr="00505C0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p>
          <w:p w:rsidR="00000000" w:rsidP="00DF404F">
            <w:pPr>
              <w:pStyle w:val="BodyText"/>
              <w:rPr>
                <w:lang w:val="en-NZ"/>
              </w:rPr>
            </w:pPr>
            <w:r w:rsidRPr="00DF404F">
              <w:t>2</w:t>
            </w:r>
          </w:p>
        </w:tc>
      </w:tr>
      <w:tr w:rsidTr="00505C0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1.4; 1.7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p>
        </w:tc>
      </w:tr>
      <w:tr w:rsidTr="00505C0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p>
          <w:p w:rsidR="00000000" w:rsidP="00DF404F">
            <w:pPr>
              <w:pStyle w:val="BodyText"/>
              <w:rPr>
                <w:lang w:val="en-NZ"/>
              </w:rPr>
            </w:pPr>
            <w:r w:rsidRPr="00DF404F">
              <w:t>2</w:t>
            </w:r>
          </w:p>
        </w:tc>
      </w:tr>
      <w:tr w:rsidTr="00505C0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3.1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p>
        </w:tc>
      </w:tr>
      <w:tr w:rsidTr="00505C0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p>
          <w:p w:rsidR="00000000" w:rsidP="00DF404F">
            <w:pPr>
              <w:pStyle w:val="BodyText"/>
              <w:rPr>
                <w:lang w:val="en-NZ"/>
              </w:rPr>
            </w:pPr>
            <w:r w:rsidRPr="00DF404F">
              <w:t>N/A</w:t>
            </w:r>
          </w:p>
        </w:tc>
      </w:tr>
      <w:tr w:rsidTr="00505C0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p>
        </w:tc>
      </w:tr>
      <w:tr w:rsidTr="00505C0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p>
          <w:p w:rsidR="00000000" w:rsidP="00DF404F">
            <w:pPr>
              <w:pStyle w:val="BodyText"/>
              <w:rPr>
                <w:lang w:val="en-NZ"/>
              </w:rPr>
            </w:pPr>
            <w:r w:rsidRPr="00DF404F">
              <w:t>2</w:t>
            </w:r>
          </w:p>
        </w:tc>
      </w:tr>
      <w:tr w:rsidTr="00505C0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3.3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p>
        </w:tc>
      </w:tr>
      <w:tr w:rsidTr="00505C0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p>
          <w:p w:rsidR="00000000" w:rsidP="00DF404F">
            <w:pPr>
              <w:pStyle w:val="BodyText"/>
              <w:rPr>
                <w:lang w:val="en-NZ"/>
              </w:rPr>
            </w:pPr>
            <w:r w:rsidRPr="00DF404F">
              <w:t>N/A</w:t>
            </w:r>
          </w:p>
        </w:tc>
      </w:tr>
      <w:tr w:rsidTr="00505C06">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5C0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5C0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F404F" w:rsidP="00DF404F">
            <w:pPr>
              <w:pStyle w:val="BodyText"/>
            </w:pPr>
            <w:r w:rsidRPr="00DF404F">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DF404F" w:rsidP="00DF404F">
            <w:pPr>
              <w:pStyle w:val="BodyText"/>
            </w:pPr>
            <w:r w:rsidRPr="00DF404F">
              <w:rPr>
                <w:rStyle w:val="SpecialBold"/>
              </w:rPr>
              <w:t>8</w:t>
            </w:r>
            <w:r w:rsidRPr="00DF404F">
              <w:t>.</w:t>
            </w:r>
            <w:r w:rsidRPr="00DF404F">
              <w:rPr>
                <w:rStyle w:val="SpecialBold"/>
              </w:rPr>
              <w:t>7</w:t>
            </w:r>
            <w:r w:rsidRPr="00DF404F">
              <w:t xml:space="preserve">) </w:t>
            </w:r>
          </w:p>
          <w:p w:rsidR="00000000" w:rsidP="00DF404F">
            <w:pPr>
              <w:pStyle w:val="BodyText"/>
              <w:rPr>
                <w:lang w:val="en-NZ"/>
              </w:rPr>
            </w:pPr>
            <w:r w:rsidRPr="00DF404F">
              <w:t>Evidence that competency in this unit incorporates skills</w:t>
            </w:r>
            <w:r w:rsidRPr="00DF404F">
              <w:t xml:space="preserve"> enabling employment is in the context of the following performance. See Volume 2, Part 5 for definitions and an explanation of skills enabling employment. </w:t>
            </w:r>
          </w:p>
        </w:tc>
      </w:tr>
      <w:tr w:rsidTr="00505C0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r w:rsidRPr="00DF404F">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rPr>
                <w:rStyle w:val="SpecialBold"/>
              </w:rPr>
              <w:t>Example of Application</w:t>
            </w:r>
          </w:p>
        </w:tc>
      </w:tr>
      <w:tr w:rsidTr="00505C0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Performance Criteria for examples of application:</w:t>
            </w:r>
          </w:p>
        </w:tc>
      </w:tr>
      <w:tr w:rsidTr="00505C0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All</w:t>
            </w:r>
          </w:p>
        </w:tc>
      </w:tr>
      <w:tr w:rsidTr="00505C0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Performance Criteria for examples of application:</w:t>
            </w:r>
          </w:p>
        </w:tc>
      </w:tr>
      <w:tr w:rsidTr="00505C0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2.6; 2.7</w:t>
            </w:r>
          </w:p>
        </w:tc>
      </w:tr>
      <w:tr w:rsidTr="00505C0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Performance Criteria for examples of application:</w:t>
            </w:r>
          </w:p>
        </w:tc>
      </w:tr>
      <w:tr w:rsidTr="00505C0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3.3</w:t>
            </w:r>
          </w:p>
        </w:tc>
      </w:tr>
      <w:tr w:rsidTr="00505C0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w:t>
            </w:r>
            <w:r w:rsidRPr="00DF404F">
              <w:t>formance Criteria for examples of application:</w:t>
            </w:r>
          </w:p>
        </w:tc>
      </w:tr>
      <w:tr w:rsidTr="00505C0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1.4; 1.8;</w:t>
            </w:r>
          </w:p>
        </w:tc>
      </w:tr>
      <w:tr w:rsidTr="00505C0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Performance Criteria for examples of application:</w:t>
            </w:r>
          </w:p>
        </w:tc>
      </w:tr>
      <w:tr w:rsidTr="00505C0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1.4; 1.5; 1.7; 1.8</w:t>
            </w:r>
          </w:p>
        </w:tc>
      </w:tr>
      <w:tr w:rsidTr="00505C0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04F">
            <w:pPr>
              <w:pStyle w:val="BodyText"/>
              <w:rPr>
                <w:lang w:val="en-NZ"/>
              </w:rPr>
            </w:pPr>
            <w:r w:rsidRPr="00DF404F">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04F">
            <w:pPr>
              <w:pStyle w:val="BodyText"/>
              <w:rPr>
                <w:lang w:val="en-NZ"/>
              </w:rPr>
            </w:pPr>
            <w:r w:rsidRPr="00DF404F">
              <w:t>Refer to the following Performance Criteria for examples of application:</w:t>
            </w:r>
          </w:p>
        </w:tc>
      </w:tr>
      <w:tr w:rsidTr="00505C0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F404F" w:rsidP="00DF404F">
            <w:pPr>
              <w:pStyle w:val="BodyText"/>
            </w:pPr>
            <w:r w:rsidRPr="00DF404F">
              <w:t>2.6</w:t>
            </w:r>
          </w:p>
        </w:tc>
      </w:tr>
    </w:tbl>
    <w:p w:rsidR="00505C06" w:rsidP="00DF404F">
      <w:pPr>
        <w:pStyle w:val="BodyText"/>
      </w:pPr>
    </w:p>
    <w:p w:rsidR="00505C06" w:rsidP="00DF404F">
      <w:pPr>
        <w:pStyle w:val="BodyText"/>
      </w:pPr>
    </w:p>
    <w:p w:rsidR="00000000" w:rsidRPr="00DF404F" w:rsidP="00DF404F">
      <w:pPr>
        <w:pStyle w:val="Heading1"/>
      </w:pPr>
      <w:bookmarkStart w:id="11" w:name="O_255785"/>
      <w:bookmarkEnd w:id="11"/>
      <w:r w:rsidRPr="00DF404F">
        <w:t>Range Statement</w:t>
      </w:r>
    </w:p>
    <w:tbl>
      <w:tblPr>
        <w:tblW w:w="0" w:type="auto"/>
        <w:tblLayout w:type="fixed"/>
        <w:tblCellMar>
          <w:left w:w="62" w:type="dxa"/>
          <w:right w:w="62" w:type="dxa"/>
        </w:tblCellMar>
        <w:tblLook w:val="0000"/>
      </w:tblPr>
      <w:tblGrid>
        <w:gridCol w:w="8460"/>
      </w:tblGrid>
      <w:tr w:rsidTr="00505C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RANGE STATEMENT</w:t>
            </w:r>
          </w:p>
        </w:tc>
      </w:tr>
      <w:tr w:rsidTr="00505C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7</w:t>
            </w:r>
            <w:r w:rsidRPr="00DF404F">
              <w:t>) This relates to the competency standard unit as a whole providing the range of contexts and conditions to which the Performance Criteria apply. It allows for different work environments and situations that will affect performance.</w:t>
            </w:r>
          </w:p>
        </w:tc>
      </w:tr>
      <w:tr w:rsidTr="00505C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t>This Competency Standa</w:t>
            </w:r>
            <w:r w:rsidRPr="00DF404F">
              <w:t xml:space="preserve">rd Unit shall/may be demonstrated in relation to gas pipeline surveillance. </w:t>
            </w:r>
          </w:p>
          <w:p w:rsidR="00000000" w:rsidRPr="00DF404F" w:rsidP="00DF404F">
            <w:pPr>
              <w:pStyle w:val="BodyText"/>
            </w:pPr>
            <w:r w:rsidRPr="00DF404F">
              <w:t>The following constants and variables included in the Element/Performance Criteria in this unit are fully described in the Definitions Section.</w:t>
            </w:r>
          </w:p>
          <w:p w:rsidR="00000000" w:rsidRPr="00DF404F" w:rsidP="00DF404F">
            <w:pPr>
              <w:pStyle w:val="BodyText"/>
            </w:pPr>
            <w:r w:rsidRPr="00DF404F">
              <w:t>Areas to be monitored</w:t>
            </w:r>
          </w:p>
          <w:p w:rsidR="00000000" w:rsidRPr="00DF404F" w:rsidP="00DF404F">
            <w:pPr>
              <w:pStyle w:val="BodyText"/>
            </w:pPr>
            <w:r w:rsidRPr="00DF404F">
              <w:t>Inspection of</w:t>
            </w:r>
            <w:r w:rsidRPr="00DF404F">
              <w:t xml:space="preserve"> areas</w:t>
            </w:r>
          </w:p>
          <w:p w:rsidR="00000000" w:rsidRPr="00DF404F" w:rsidP="00DF404F">
            <w:pPr>
              <w:pStyle w:val="BodyText"/>
            </w:pPr>
            <w:r w:rsidRPr="00DF404F">
              <w:t>System's pipe work</w:t>
            </w:r>
          </w:p>
          <w:p w:rsidR="00000000" w:rsidRPr="00DF404F" w:rsidP="00DF404F">
            <w:pPr>
              <w:pStyle w:val="BodyText"/>
            </w:pPr>
            <w:r w:rsidRPr="00DF404F">
              <w:t>Structures</w:t>
            </w:r>
          </w:p>
          <w:p w:rsidR="00000000" w:rsidRPr="00DF404F" w:rsidP="00DF404F">
            <w:pPr>
              <w:pStyle w:val="BodyText"/>
            </w:pPr>
            <w:r w:rsidRPr="00DF404F">
              <w:t>Fittings</w:t>
            </w:r>
          </w:p>
          <w:p w:rsidR="00000000" w:rsidRPr="00DF404F" w:rsidP="00DF404F">
            <w:pPr>
              <w:pStyle w:val="BodyText"/>
            </w:pPr>
            <w:r w:rsidRPr="00DF404F">
              <w:t>Organisational and statutory requirements (3)</w:t>
            </w:r>
          </w:p>
          <w:p w:rsidR="00000000" w:rsidRPr="00DF404F" w:rsidP="00DF404F">
            <w:pPr>
              <w:pStyle w:val="BodyText"/>
            </w:pPr>
            <w:r w:rsidRPr="00DF404F">
              <w:t>Recording and reporting</w:t>
            </w:r>
          </w:p>
        </w:tc>
      </w:tr>
    </w:tbl>
    <w:p w:rsidR="00505C06" w:rsidP="00DF404F">
      <w:pPr>
        <w:pStyle w:val="BodyText"/>
      </w:pPr>
    </w:p>
    <w:p w:rsidR="00505C06" w:rsidP="00DF404F">
      <w:pPr>
        <w:pStyle w:val="BodyText"/>
      </w:pPr>
    </w:p>
    <w:p w:rsidR="00000000" w:rsidRPr="00DF404F" w:rsidP="00DF404F">
      <w:pPr>
        <w:pStyle w:val="Heading1"/>
      </w:pPr>
      <w:bookmarkStart w:id="12" w:name="O_296798"/>
      <w:bookmarkEnd w:id="12"/>
      <w:r w:rsidRPr="00DF404F">
        <w:t>Unit Sector(s)</w:t>
      </w:r>
    </w:p>
    <w:p w:rsidR="00000000" w:rsidRPr="00DF404F" w:rsidP="00DF404F">
      <w:pPr>
        <w:pStyle w:val="BodyText"/>
      </w:pPr>
      <w:r w:rsidRPr="00DF404F">
        <w:t>Not Applicable</w:t>
      </w:r>
    </w:p>
    <w:p w:rsidR="00000000" w:rsidRPr="00DF404F" w:rsidP="00DF404F">
      <w:pPr>
        <w:pStyle w:val="AllowPageBreak"/>
      </w:pPr>
    </w:p>
    <w:p w:rsidR="00000000" w:rsidRPr="00DF404F" w:rsidP="00DF404F">
      <w:pPr>
        <w:pStyle w:val="Heading1"/>
      </w:pPr>
      <w:bookmarkStart w:id="13" w:name="O_229450"/>
      <w:bookmarkEnd w:id="13"/>
      <w:r w:rsidRPr="00DF404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05C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2</w:t>
            </w:r>
            <w:r w:rsidRPr="00DF404F">
              <w:t>.</w:t>
            </w:r>
            <w:r w:rsidRPr="00DF404F">
              <w:rPr>
                <w:rStyle w:val="SpecialBold"/>
              </w:rPr>
              <w:t>2</w:t>
            </w:r>
            <w:r w:rsidRPr="00DF404F">
              <w:t xml:space="preserve">) </w:t>
            </w:r>
          </w:p>
          <w:p w:rsidR="00000000" w:rsidP="00DF404F">
            <w:pPr>
              <w:pStyle w:val="BodyText"/>
              <w:rPr>
                <w:lang w:val="en-NZ"/>
              </w:rPr>
            </w:pPr>
            <w:r w:rsidRPr="00DF404F">
              <w:t>Participants are best equipped to achieve this unit if they have reading, writing and numeracy skills indicated by the following scales. Description of each scale is given in Volume 2, Part 3 'Literacy and Numeracy'</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Reading</w:t>
            </w:r>
          </w:p>
        </w:tc>
        <w:tc>
          <w:tcPr>
            <w:tcW w:w="805"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w:t>
            </w:r>
          </w:p>
        </w:tc>
        <w:tc>
          <w:tcPr>
            <w:tcW w:w="1184"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Writing</w:t>
            </w:r>
          </w:p>
        </w:tc>
        <w:tc>
          <w:tcPr>
            <w:tcW w:w="805"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3</w:t>
            </w:r>
          </w:p>
        </w:tc>
        <w:tc>
          <w:tcPr>
            <w:tcW w:w="1172"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t>Numeracy</w:t>
            </w:r>
          </w:p>
        </w:tc>
        <w:tc>
          <w:tcPr>
            <w:tcW w:w="805"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t>3</w:t>
            </w:r>
          </w:p>
        </w:tc>
      </w:tr>
    </w:tbl>
    <w:p w:rsidR="00505C06" w:rsidP="00DF404F">
      <w:pPr>
        <w:pStyle w:val="BodyText"/>
      </w:pPr>
    </w:p>
    <w:p w:rsidR="00505C06" w:rsidP="00DF404F">
      <w:pPr>
        <w:pStyle w:val="BodyText"/>
      </w:pPr>
    </w:p>
    <w:p w:rsidR="00000000" w:rsidRPr="00DF404F" w:rsidP="00DF404F">
      <w:pPr>
        <w:pStyle w:val="Heading1"/>
      </w:pPr>
      <w:bookmarkStart w:id="14" w:name="O_229453"/>
      <w:bookmarkEnd w:id="14"/>
      <w:r w:rsidRPr="00DF404F">
        <w:t>Competency Field</w:t>
      </w:r>
    </w:p>
    <w:tbl>
      <w:tblPr>
        <w:tblW w:w="0" w:type="auto"/>
        <w:tblLayout w:type="fixed"/>
        <w:tblCellMar>
          <w:left w:w="62" w:type="dxa"/>
          <w:right w:w="62" w:type="dxa"/>
        </w:tblCellMar>
        <w:tblLook w:val="0000"/>
      </w:tblPr>
      <w:tblGrid>
        <w:gridCol w:w="2700"/>
        <w:gridCol w:w="5760"/>
      </w:tblGrid>
      <w:tr w:rsidTr="00505C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F404F">
            <w:pPr>
              <w:pStyle w:val="BodyText"/>
              <w:rPr>
                <w:lang w:val="en-NZ"/>
              </w:rPr>
            </w:pPr>
            <w:r w:rsidRPr="00DF404F">
              <w:rPr>
                <w:rStyle w:val="SpecialBold"/>
              </w:rPr>
              <w:t>4</w:t>
            </w:r>
            <w:r w:rsidRPr="00DF404F">
              <w:t xml:space="preserve">) </w:t>
            </w:r>
          </w:p>
        </w:tc>
      </w:tr>
      <w:tr w:rsidTr="00505C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404F" w:rsidP="00DF404F">
            <w:pPr>
              <w:pStyle w:val="BodyText"/>
            </w:pPr>
            <w:r w:rsidRPr="00DF404F">
              <w:t>Distribution.</w:t>
            </w:r>
          </w:p>
        </w:tc>
      </w:tr>
    </w:tbl>
    <w:p w:rsidR="00505C06" w:rsidP="00DF404F">
      <w:pPr>
        <w:pStyle w:val="BodyText"/>
      </w:pPr>
    </w:p>
    <w:p w:rsidR="00505C06" w:rsidP="00DF404F">
      <w:pPr>
        <w:pStyle w:val="BodyText"/>
      </w:pPr>
    </w:p>
    <w:p w:rsidR="00000000" w:rsidRPr="00DF404F" w:rsidP="00DF404F"/>
    <w:sectPr w:rsidSect="00DF40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0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5C06" w:rsidP="00505C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0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C06" w:rsidP="00DF40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05C06" w:rsidP="00DF40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05C06" w:rsidP="00DF40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0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5C06" w:rsidP="00505C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0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C06" w:rsidP="00DF404F">
    <w:pPr>
      <w:pStyle w:val="Header"/>
      <w:framePr w:wrap="around"/>
    </w:pPr>
    <w:r>
      <w:fldChar w:fldCharType="begin"/>
    </w:r>
    <w:r>
      <w:instrText xml:space="preserve"> TITLE   \* MERGEFORMAT </w:instrText>
    </w:r>
    <w:r>
      <w:fldChar w:fldCharType="separate"/>
    </w:r>
    <w:r>
      <w:t>UEGNSG208A Gas distribution pipeline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5C06" w:rsidP="00DF40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908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01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12D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0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04F"/>
    <w:pPr>
      <w:spacing w:before="360" w:after="60"/>
      <w:outlineLvl w:val="0"/>
    </w:pPr>
    <w:rPr>
      <w:sz w:val="32"/>
    </w:rPr>
  </w:style>
  <w:style w:type="paragraph" w:styleId="Heading2">
    <w:name w:val="heading 2"/>
    <w:basedOn w:val="HeadingBase"/>
    <w:next w:val="BodyText"/>
    <w:link w:val="Heading2Char"/>
    <w:qFormat/>
    <w:rsid w:val="00DF404F"/>
    <w:pPr>
      <w:keepLines/>
      <w:spacing w:before="240" w:after="120"/>
      <w:outlineLvl w:val="1"/>
    </w:pPr>
    <w:rPr>
      <w:sz w:val="28"/>
      <w:szCs w:val="40"/>
    </w:rPr>
  </w:style>
  <w:style w:type="paragraph" w:styleId="Heading3">
    <w:name w:val="heading 3"/>
    <w:basedOn w:val="HeadingBase"/>
    <w:next w:val="BodyText"/>
    <w:link w:val="Heading3Char"/>
    <w:qFormat/>
    <w:rsid w:val="00DF404F"/>
    <w:pPr>
      <w:spacing w:before="180" w:after="120"/>
      <w:outlineLvl w:val="2"/>
    </w:pPr>
    <w:rPr>
      <w:spacing w:val="-10"/>
      <w:kern w:val="32"/>
    </w:rPr>
  </w:style>
  <w:style w:type="paragraph" w:styleId="Heading4">
    <w:name w:val="heading 4"/>
    <w:basedOn w:val="HeadingBase"/>
    <w:next w:val="BodyText"/>
    <w:link w:val="Heading4Char"/>
    <w:qFormat/>
    <w:rsid w:val="00DF404F"/>
    <w:pPr>
      <w:spacing w:before="160" w:after="120"/>
      <w:outlineLvl w:val="3"/>
    </w:pPr>
    <w:rPr>
      <w:sz w:val="22"/>
    </w:rPr>
  </w:style>
  <w:style w:type="paragraph" w:styleId="Heading5">
    <w:name w:val="heading 5"/>
    <w:basedOn w:val="HeadingBase"/>
    <w:next w:val="Normal"/>
    <w:link w:val="Heading5Char"/>
    <w:qFormat/>
    <w:rsid w:val="00DF404F"/>
    <w:pPr>
      <w:spacing w:before="80"/>
      <w:outlineLvl w:val="4"/>
    </w:pPr>
    <w:rPr>
      <w:color w:val="918585"/>
      <w:sz w:val="20"/>
    </w:rPr>
  </w:style>
  <w:style w:type="paragraph" w:styleId="Heading6">
    <w:name w:val="heading 6"/>
    <w:basedOn w:val="HeadingBase"/>
    <w:next w:val="Normal"/>
    <w:link w:val="Heading6Char"/>
    <w:qFormat/>
    <w:rsid w:val="00DF404F"/>
    <w:pPr>
      <w:spacing w:before="60"/>
      <w:outlineLvl w:val="5"/>
    </w:pPr>
    <w:rPr>
      <w:color w:val="918585"/>
      <w:sz w:val="20"/>
    </w:rPr>
  </w:style>
  <w:style w:type="paragraph" w:styleId="Heading7">
    <w:name w:val="heading 7"/>
    <w:basedOn w:val="Normal"/>
    <w:next w:val="Normal"/>
    <w:link w:val="Heading7Char"/>
    <w:qFormat/>
    <w:rsid w:val="00DF404F"/>
    <w:pPr>
      <w:ind w:left="720"/>
      <w:outlineLvl w:val="6"/>
    </w:pPr>
    <w:rPr>
      <w:i/>
    </w:rPr>
  </w:style>
  <w:style w:type="paragraph" w:styleId="Heading8">
    <w:name w:val="heading 8"/>
    <w:basedOn w:val="Normal"/>
    <w:next w:val="Normal"/>
    <w:link w:val="Heading8Char"/>
    <w:qFormat/>
    <w:rsid w:val="00DF404F"/>
    <w:pPr>
      <w:ind w:left="720"/>
      <w:outlineLvl w:val="7"/>
    </w:pPr>
    <w:rPr>
      <w:i/>
    </w:rPr>
  </w:style>
  <w:style w:type="paragraph" w:styleId="Heading9">
    <w:name w:val="heading 9"/>
    <w:basedOn w:val="Normal"/>
    <w:next w:val="Normal"/>
    <w:link w:val="Heading9Char"/>
    <w:qFormat/>
    <w:rsid w:val="00DF404F"/>
    <w:pPr>
      <w:ind w:left="720"/>
      <w:outlineLvl w:val="8"/>
    </w:pPr>
    <w:rPr>
      <w:i/>
    </w:rPr>
  </w:style>
  <w:style w:type="character" w:default="1" w:styleId="DefaultParagraphFont">
    <w:name w:val="Default Paragraph Font"/>
    <w:uiPriority w:val="1"/>
    <w:unhideWhenUsed/>
    <w:rsid w:val="00DF40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04F"/>
  </w:style>
  <w:style w:type="character" w:customStyle="1" w:styleId="Heading1Char">
    <w:name w:val="Heading 1 Char"/>
    <w:basedOn w:val="DefaultParagraphFont"/>
    <w:link w:val="Heading1"/>
    <w:rsid w:val="00DF404F"/>
    <w:rPr>
      <w:rFonts w:ascii="Times New Roman" w:eastAsia="Times New Roman" w:hAnsi="Times New Roman" w:cs="Times New Roman"/>
      <w:b/>
      <w:sz w:val="32"/>
      <w:szCs w:val="20"/>
      <w:lang w:eastAsia="en-US"/>
    </w:rPr>
  </w:style>
  <w:style w:type="paragraph" w:styleId="BodyText">
    <w:name w:val="Body Text"/>
    <w:basedOn w:val="Normal"/>
    <w:link w:val="BodyTextChar"/>
    <w:rsid w:val="00DF40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04F"/>
    <w:rPr>
      <w:rFonts w:ascii="Times New Roman" w:eastAsia="Times New Roman" w:hAnsi="Times New Roman" w:cs="Times New Roman"/>
      <w:sz w:val="24"/>
      <w:lang w:val="en-US" w:eastAsia="en-US"/>
    </w:rPr>
  </w:style>
  <w:style w:type="paragraph" w:styleId="Footer">
    <w:name w:val="footer"/>
    <w:basedOn w:val="Normal"/>
    <w:link w:val="FooterChar"/>
    <w:rsid w:val="00DF40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04F"/>
    <w:rPr>
      <w:rFonts w:ascii="Times New Roman" w:eastAsia="Times New Roman" w:hAnsi="Times New Roman" w:cs="Times New Roman"/>
      <w:sz w:val="16"/>
      <w:lang w:val="en-US" w:eastAsia="en-US"/>
    </w:rPr>
  </w:style>
  <w:style w:type="paragraph" w:styleId="ListBullet">
    <w:name w:val="List Bullet"/>
    <w:basedOn w:val="List"/>
    <w:rsid w:val="00DF404F"/>
    <w:pPr>
      <w:numPr>
        <w:numId w:val="13"/>
      </w:numPr>
      <w:tabs>
        <w:tab w:val="clear" w:pos="340"/>
      </w:tabs>
      <w:spacing w:before="40" w:after="40"/>
    </w:pPr>
  </w:style>
  <w:style w:type="character" w:customStyle="1" w:styleId="SpecialBold">
    <w:name w:val="Special Bold"/>
    <w:basedOn w:val="DefaultParagraphFont"/>
    <w:rsid w:val="00DF404F"/>
    <w:rPr>
      <w:b/>
      <w:spacing w:val="0"/>
    </w:rPr>
  </w:style>
  <w:style w:type="paragraph" w:styleId="ListBullet2">
    <w:name w:val="List Bullet 2"/>
    <w:basedOn w:val="List2"/>
    <w:rsid w:val="00DF404F"/>
    <w:pPr>
      <w:numPr>
        <w:numId w:val="14"/>
      </w:numPr>
      <w:tabs>
        <w:tab w:val="clear" w:pos="680"/>
      </w:tabs>
    </w:pPr>
  </w:style>
  <w:style w:type="paragraph" w:styleId="Header">
    <w:name w:val="header"/>
    <w:basedOn w:val="Normal"/>
    <w:link w:val="HeaderChar"/>
    <w:rsid w:val="00DF40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0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404F"/>
    <w:pPr>
      <w:spacing w:before="240" w:after="120"/>
      <w:outlineLvl w:val="0"/>
    </w:pPr>
    <w:rPr>
      <w:rFonts w:ascii="Times New Roman" w:hAnsi="Times New Roman"/>
      <w:b/>
      <w:sz w:val="28"/>
    </w:rPr>
  </w:style>
  <w:style w:type="paragraph" w:customStyle="1" w:styleId="AllowPageBreak">
    <w:name w:val="AllowPageBreak"/>
    <w:rsid w:val="00DF40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0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0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0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0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0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0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0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04F"/>
    <w:rPr>
      <w:rFonts w:ascii="Courier New" w:eastAsia="Times New Roman" w:hAnsi="Courier New" w:cs="Times New Roman"/>
      <w:i/>
      <w:szCs w:val="20"/>
      <w:lang w:val="en-US" w:eastAsia="en-US"/>
    </w:rPr>
  </w:style>
  <w:style w:type="paragraph" w:customStyle="1" w:styleId="HeadingBase">
    <w:name w:val="Heading Base"/>
    <w:rsid w:val="00DF40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04F"/>
    <w:pPr>
      <w:tabs>
        <w:tab w:val="right" w:leader="dot" w:pos="9072"/>
      </w:tabs>
      <w:ind w:left="567"/>
    </w:pPr>
    <w:rPr>
      <w:szCs w:val="22"/>
    </w:rPr>
  </w:style>
  <w:style w:type="paragraph" w:customStyle="1" w:styleId="TOCBase">
    <w:name w:val="TOC Base"/>
    <w:rsid w:val="00DF40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04F"/>
    <w:pPr>
      <w:tabs>
        <w:tab w:val="right" w:leader="dot" w:pos="9072"/>
      </w:tabs>
      <w:spacing w:before="40" w:after="40"/>
      <w:ind w:left="284"/>
    </w:pPr>
    <w:rPr>
      <w:rFonts w:ascii="Times New Roman" w:hAnsi="Times New Roman"/>
    </w:rPr>
  </w:style>
  <w:style w:type="paragraph" w:styleId="TOC1">
    <w:name w:val="toc 1"/>
    <w:basedOn w:val="TOCBase"/>
    <w:next w:val="Normal"/>
    <w:rsid w:val="00DF40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04F"/>
    <w:pPr>
      <w:spacing w:before="5040"/>
      <w:jc w:val="center"/>
    </w:pPr>
    <w:rPr>
      <w:sz w:val="48"/>
      <w:szCs w:val="72"/>
      <w:lang w:val="en-US"/>
    </w:rPr>
  </w:style>
  <w:style w:type="character" w:customStyle="1" w:styleId="TitleChar">
    <w:name w:val="Title Char"/>
    <w:basedOn w:val="DefaultParagraphFont"/>
    <w:link w:val="Title"/>
    <w:rsid w:val="00DF40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04F"/>
    <w:pPr>
      <w:tabs>
        <w:tab w:val="left" w:pos="3600"/>
        <w:tab w:val="left" w:pos="3958"/>
      </w:tabs>
    </w:pPr>
  </w:style>
  <w:style w:type="paragraph" w:styleId="List">
    <w:name w:val="List"/>
    <w:basedOn w:val="BodyText"/>
    <w:next w:val="BodyText"/>
    <w:rsid w:val="00DF404F"/>
    <w:pPr>
      <w:tabs>
        <w:tab w:val="left" w:pos="340"/>
      </w:tabs>
      <w:spacing w:before="60" w:after="60"/>
      <w:ind w:left="340" w:hanging="340"/>
    </w:pPr>
  </w:style>
  <w:style w:type="paragraph" w:customStyle="1" w:styleId="Note">
    <w:name w:val="Note"/>
    <w:basedOn w:val="BodyText"/>
    <w:rsid w:val="00DF40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04F"/>
    <w:pPr>
      <w:framePr w:wrap="auto" w:hAnchor="text" w:y="6049"/>
    </w:pPr>
    <w:rPr>
      <w:color w:val="000000"/>
      <w:sz w:val="40"/>
    </w:rPr>
  </w:style>
  <w:style w:type="paragraph" w:customStyle="1" w:styleId="TOCTitle">
    <w:name w:val="TOCTitle"/>
    <w:basedOn w:val="Heading1"/>
    <w:rsid w:val="00DF404F"/>
    <w:pPr>
      <w:spacing w:after="240"/>
      <w:jc w:val="center"/>
      <w:outlineLvl w:val="9"/>
    </w:pPr>
    <w:rPr>
      <w:caps/>
    </w:rPr>
  </w:style>
  <w:style w:type="paragraph" w:customStyle="1" w:styleId="Version">
    <w:name w:val="Version"/>
    <w:rsid w:val="00DF40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04F"/>
    <w:pPr>
      <w:keepNext w:val="0"/>
      <w:tabs>
        <w:tab w:val="right" w:pos="4176"/>
      </w:tabs>
      <w:ind w:left="198" w:hanging="198"/>
    </w:pPr>
    <w:rPr>
      <w:rFonts w:ascii="Garamond" w:hAnsi="Garamond"/>
    </w:rPr>
  </w:style>
  <w:style w:type="paragraph" w:styleId="IndexHeading">
    <w:name w:val="index heading"/>
    <w:basedOn w:val="Normal"/>
    <w:next w:val="Index1"/>
    <w:semiHidden/>
    <w:rsid w:val="00DF404F"/>
    <w:pPr>
      <w:spacing w:before="120" w:after="120"/>
    </w:pPr>
    <w:rPr>
      <w:rFonts w:ascii="Arial" w:hAnsi="Arial"/>
      <w:b/>
      <w:color w:val="918585"/>
      <w:sz w:val="24"/>
    </w:rPr>
  </w:style>
  <w:style w:type="paragraph" w:customStyle="1" w:styleId="Chapter">
    <w:name w:val="Chapter"/>
    <w:basedOn w:val="Normal"/>
    <w:rsid w:val="00DF404F"/>
    <w:pPr>
      <w:spacing w:before="240"/>
    </w:pPr>
    <w:rPr>
      <w:rFonts w:ascii="Times New Roman" w:hAnsi="Times New Roman"/>
      <w:smallCaps/>
      <w:spacing w:val="80"/>
      <w:sz w:val="28"/>
    </w:rPr>
  </w:style>
  <w:style w:type="paragraph" w:customStyle="1" w:styleId="InChapter">
    <w:name w:val="InChapter"/>
    <w:basedOn w:val="Heading3"/>
    <w:rsid w:val="00DF404F"/>
    <w:pPr>
      <w:spacing w:after="240"/>
      <w:outlineLvl w:val="9"/>
    </w:pPr>
    <w:rPr>
      <w:noProof/>
    </w:rPr>
  </w:style>
  <w:style w:type="paragraph" w:styleId="Index2">
    <w:name w:val="index 2"/>
    <w:basedOn w:val="Normal"/>
    <w:next w:val="Normal"/>
    <w:semiHidden/>
    <w:rsid w:val="00DF404F"/>
    <w:pPr>
      <w:tabs>
        <w:tab w:val="right" w:pos="4176"/>
      </w:tabs>
      <w:ind w:left="568" w:hanging="284"/>
    </w:pPr>
    <w:rPr>
      <w:rFonts w:ascii="Garamond" w:hAnsi="Garamond"/>
    </w:rPr>
  </w:style>
  <w:style w:type="paragraph" w:customStyle="1" w:styleId="Byline">
    <w:name w:val="Byline"/>
    <w:rsid w:val="00DF40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04F"/>
    <w:pPr>
      <w:tabs>
        <w:tab w:val="clear" w:pos="3600"/>
        <w:tab w:val="clear" w:pos="3958"/>
      </w:tabs>
      <w:jc w:val="right"/>
    </w:pPr>
  </w:style>
  <w:style w:type="character" w:styleId="Emphasis">
    <w:name w:val="Emphasis"/>
    <w:basedOn w:val="DefaultParagraphFont"/>
    <w:qFormat/>
    <w:rsid w:val="00DF404F"/>
    <w:rPr>
      <w:i/>
    </w:rPr>
  </w:style>
  <w:style w:type="paragraph" w:styleId="Caption">
    <w:name w:val="caption"/>
    <w:basedOn w:val="BodyText"/>
    <w:next w:val="Normal"/>
    <w:qFormat/>
    <w:rsid w:val="00DF404F"/>
    <w:pPr>
      <w:framePr w:w="2268" w:hSpace="181" w:vSpace="181" w:wrap="around" w:vAnchor="text" w:hAnchor="page" w:x="1135" w:y="285" w:anchorLock="1"/>
    </w:pPr>
    <w:rPr>
      <w:i/>
    </w:rPr>
  </w:style>
  <w:style w:type="paragraph" w:customStyle="1" w:styleId="MiniTOCTitle">
    <w:name w:val="MiniTOCTitle"/>
    <w:basedOn w:val="Heading4"/>
    <w:rsid w:val="00DF404F"/>
    <w:pPr>
      <w:spacing w:before="240"/>
      <w:outlineLvl w:val="9"/>
    </w:pPr>
    <w:rPr>
      <w:noProof/>
      <w:sz w:val="24"/>
    </w:rPr>
  </w:style>
  <w:style w:type="paragraph" w:customStyle="1" w:styleId="MiniTOCItem">
    <w:name w:val="MiniTOCItem"/>
    <w:basedOn w:val="ListBullet"/>
    <w:rsid w:val="00DF404F"/>
    <w:pPr>
      <w:numPr>
        <w:numId w:val="0"/>
      </w:numPr>
      <w:tabs>
        <w:tab w:val="right" w:leader="dot" w:pos="6521"/>
      </w:tabs>
      <w:spacing w:before="0" w:after="0"/>
    </w:pPr>
  </w:style>
  <w:style w:type="paragraph" w:customStyle="1" w:styleId="TOFTitle">
    <w:name w:val="TOFTitle"/>
    <w:basedOn w:val="TOCTitle"/>
    <w:rsid w:val="00DF404F"/>
  </w:style>
  <w:style w:type="paragraph" w:styleId="TableofFigures">
    <w:name w:val="table of figures"/>
    <w:basedOn w:val="Normal"/>
    <w:next w:val="Normal"/>
    <w:semiHidden/>
    <w:rsid w:val="00DF404F"/>
    <w:pPr>
      <w:tabs>
        <w:tab w:val="right" w:leader="dot" w:pos="9072"/>
      </w:tabs>
      <w:ind w:left="970" w:hanging="403"/>
    </w:pPr>
    <w:rPr>
      <w:rFonts w:ascii="Times New Roman" w:hAnsi="Times New Roman"/>
      <w:b/>
    </w:rPr>
  </w:style>
  <w:style w:type="paragraph" w:styleId="ListNumber">
    <w:name w:val="List Number"/>
    <w:basedOn w:val="List"/>
    <w:rsid w:val="00DF404F"/>
    <w:pPr>
      <w:numPr>
        <w:numId w:val="11"/>
      </w:numPr>
    </w:pPr>
  </w:style>
  <w:style w:type="character" w:customStyle="1" w:styleId="WingdingSymbols">
    <w:name w:val="Wingding Symbols"/>
    <w:rsid w:val="00DF404F"/>
    <w:rPr>
      <w:rFonts w:ascii="Wingdings" w:hAnsi="Wingdings"/>
    </w:rPr>
  </w:style>
  <w:style w:type="paragraph" w:customStyle="1" w:styleId="TableHeading">
    <w:name w:val="Table Heading"/>
    <w:basedOn w:val="HeadingBase"/>
    <w:rsid w:val="00DF404F"/>
    <w:pPr>
      <w:keepLines/>
      <w:pBdr>
        <w:bottom w:val="single" w:sz="6" w:space="1" w:color="918585"/>
      </w:pBdr>
      <w:spacing w:before="240"/>
    </w:pPr>
  </w:style>
  <w:style w:type="character" w:customStyle="1" w:styleId="HotSpot">
    <w:name w:val="HotSpot"/>
    <w:rsid w:val="00DF404F"/>
    <w:rPr>
      <w:color w:val="0033CC"/>
      <w:u w:val="none"/>
    </w:rPr>
  </w:style>
  <w:style w:type="paragraph" w:customStyle="1" w:styleId="BodyTextRight">
    <w:name w:val="Body Text Right"/>
    <w:basedOn w:val="BodyText"/>
    <w:rsid w:val="00DF404F"/>
    <w:pPr>
      <w:spacing w:before="0" w:after="0"/>
      <w:jc w:val="right"/>
    </w:pPr>
  </w:style>
  <w:style w:type="paragraph" w:styleId="Index3">
    <w:name w:val="index 3"/>
    <w:basedOn w:val="ListNumber2"/>
    <w:next w:val="Normal"/>
    <w:semiHidden/>
    <w:rsid w:val="00DF404F"/>
    <w:pPr>
      <w:numPr>
        <w:numId w:val="0"/>
      </w:numPr>
      <w:tabs>
        <w:tab w:val="right" w:leader="dot" w:pos="4176"/>
      </w:tabs>
    </w:pPr>
  </w:style>
  <w:style w:type="paragraph" w:styleId="ListNumber2">
    <w:name w:val="List Number 2"/>
    <w:basedOn w:val="List2"/>
    <w:rsid w:val="00DF404F"/>
    <w:pPr>
      <w:numPr>
        <w:numId w:val="10"/>
      </w:numPr>
      <w:tabs>
        <w:tab w:val="clear" w:pos="1060"/>
      </w:tabs>
    </w:pPr>
  </w:style>
  <w:style w:type="paragraph" w:customStyle="1" w:styleId="MarginNote">
    <w:name w:val="Margin Note"/>
    <w:basedOn w:val="BodyText"/>
    <w:rsid w:val="00DF40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0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0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04F"/>
    <w:rPr>
      <w:sz w:val="32"/>
    </w:rPr>
  </w:style>
  <w:style w:type="paragraph" w:customStyle="1" w:styleId="HeadingProcedure">
    <w:name w:val="Heading Procedure"/>
    <w:basedOn w:val="HeadingBase"/>
    <w:next w:val="Normal"/>
    <w:rsid w:val="00DF404F"/>
    <w:pPr>
      <w:tabs>
        <w:tab w:val="left" w:pos="0"/>
      </w:tabs>
      <w:spacing w:before="120" w:after="60"/>
    </w:pPr>
    <w:rPr>
      <w:i/>
      <w:color w:val="918585"/>
      <w:sz w:val="22"/>
    </w:rPr>
  </w:style>
  <w:style w:type="paragraph" w:customStyle="1" w:styleId="TableBodyText">
    <w:name w:val="Table Body Text"/>
    <w:basedOn w:val="BodyText"/>
    <w:rsid w:val="00DF404F"/>
    <w:pPr>
      <w:spacing w:before="60" w:after="60"/>
    </w:pPr>
  </w:style>
  <w:style w:type="paragraph" w:styleId="ListContinue">
    <w:name w:val="List Continue"/>
    <w:basedOn w:val="List"/>
    <w:rsid w:val="00DF404F"/>
    <w:pPr>
      <w:ind w:firstLine="0"/>
    </w:pPr>
  </w:style>
  <w:style w:type="paragraph" w:customStyle="1" w:styleId="ListNote">
    <w:name w:val="List Note"/>
    <w:basedOn w:val="List"/>
    <w:rsid w:val="00DF404F"/>
    <w:pPr>
      <w:pBdr>
        <w:top w:val="single" w:sz="6" w:space="2" w:color="918585"/>
        <w:bottom w:val="single" w:sz="6" w:space="2" w:color="918585"/>
      </w:pBdr>
      <w:tabs>
        <w:tab w:val="left" w:pos="1021"/>
      </w:tabs>
      <w:ind w:firstLine="0"/>
    </w:pPr>
  </w:style>
  <w:style w:type="paragraph" w:customStyle="1" w:styleId="Warning">
    <w:name w:val="Warning"/>
    <w:basedOn w:val="BodyText"/>
    <w:rsid w:val="00DF404F"/>
    <w:pPr>
      <w:shd w:val="clear" w:color="auto" w:fill="D9D9D9"/>
      <w:tabs>
        <w:tab w:val="left" w:pos="992"/>
      </w:tabs>
      <w:ind w:left="119" w:right="119"/>
    </w:pPr>
    <w:rPr>
      <w:sz w:val="20"/>
    </w:rPr>
  </w:style>
  <w:style w:type="paragraph" w:customStyle="1" w:styleId="MarginIcons">
    <w:name w:val="Margin Icons"/>
    <w:basedOn w:val="BodyText"/>
    <w:rsid w:val="00DF40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04F"/>
    <w:rPr>
      <w:rFonts w:ascii="Courier New" w:hAnsi="Courier New"/>
    </w:rPr>
  </w:style>
  <w:style w:type="paragraph" w:customStyle="1" w:styleId="NoteBullet">
    <w:name w:val="Note Bullet"/>
    <w:basedOn w:val="Note"/>
    <w:rsid w:val="00DF404F"/>
    <w:pPr>
      <w:tabs>
        <w:tab w:val="clear" w:pos="680"/>
      </w:tabs>
      <w:spacing w:before="60" w:after="60"/>
    </w:pPr>
  </w:style>
  <w:style w:type="paragraph" w:customStyle="1" w:styleId="SubHeading2">
    <w:name w:val="SubHeading2"/>
    <w:basedOn w:val="HeadingBase"/>
    <w:rsid w:val="00DF404F"/>
    <w:pPr>
      <w:spacing w:before="240" w:after="60"/>
    </w:pPr>
    <w:rPr>
      <w:sz w:val="20"/>
    </w:rPr>
  </w:style>
  <w:style w:type="paragraph" w:customStyle="1" w:styleId="SubHeading1">
    <w:name w:val="SubHeading1"/>
    <w:basedOn w:val="HeadingBase"/>
    <w:rsid w:val="00DF404F"/>
    <w:pPr>
      <w:spacing w:before="240" w:after="60"/>
    </w:pPr>
    <w:rPr>
      <w:color w:val="918585"/>
      <w:sz w:val="22"/>
    </w:rPr>
  </w:style>
  <w:style w:type="paragraph" w:customStyle="1" w:styleId="SideHeading">
    <w:name w:val="Side Heading"/>
    <w:basedOn w:val="HeadingBase"/>
    <w:rsid w:val="00DF40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04F"/>
    <w:pPr>
      <w:numPr>
        <w:numId w:val="12"/>
      </w:numPr>
    </w:pPr>
  </w:style>
  <w:style w:type="paragraph" w:styleId="PlainText">
    <w:name w:val="Plain Text"/>
    <w:basedOn w:val="Normal"/>
    <w:link w:val="PlainTextChar"/>
    <w:rsid w:val="00DF404F"/>
    <w:rPr>
      <w:sz w:val="20"/>
    </w:rPr>
  </w:style>
  <w:style w:type="character" w:customStyle="1" w:styleId="PlainTextChar">
    <w:name w:val="Plain Text Char"/>
    <w:basedOn w:val="DefaultParagraphFont"/>
    <w:link w:val="PlainText"/>
    <w:rsid w:val="00DF40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404F"/>
    <w:rPr>
      <w:b/>
      <w:smallCaps/>
    </w:rPr>
  </w:style>
  <w:style w:type="paragraph" w:customStyle="1" w:styleId="TableListNumber">
    <w:name w:val="Table List Number"/>
    <w:basedOn w:val="ListNumber"/>
    <w:rsid w:val="00DF404F"/>
    <w:pPr>
      <w:numPr>
        <w:numId w:val="0"/>
      </w:numPr>
    </w:pPr>
  </w:style>
  <w:style w:type="paragraph" w:styleId="TOC4">
    <w:name w:val="toc 4"/>
    <w:basedOn w:val="TOCBase"/>
    <w:next w:val="Normal"/>
    <w:semiHidden/>
    <w:rsid w:val="00DF404F"/>
    <w:pPr>
      <w:tabs>
        <w:tab w:val="right" w:leader="dot" w:pos="9071"/>
      </w:tabs>
      <w:ind w:left="1701"/>
    </w:pPr>
  </w:style>
  <w:style w:type="paragraph" w:customStyle="1" w:styleId="ListAlpha">
    <w:name w:val="List Alpha"/>
    <w:basedOn w:val="List"/>
    <w:rsid w:val="00DF404F"/>
    <w:pPr>
      <w:numPr>
        <w:numId w:val="9"/>
      </w:numPr>
    </w:pPr>
  </w:style>
  <w:style w:type="paragraph" w:customStyle="1" w:styleId="ListAlpha2">
    <w:name w:val="List Alpha 2"/>
    <w:basedOn w:val="List2"/>
    <w:rsid w:val="00DF404F"/>
    <w:pPr>
      <w:numPr>
        <w:numId w:val="8"/>
      </w:numPr>
    </w:pPr>
  </w:style>
  <w:style w:type="paragraph" w:styleId="List2">
    <w:name w:val="List 2"/>
    <w:basedOn w:val="BodyText"/>
    <w:rsid w:val="00DF404F"/>
    <w:pPr>
      <w:tabs>
        <w:tab w:val="left" w:pos="680"/>
      </w:tabs>
      <w:spacing w:before="60" w:after="60"/>
      <w:ind w:left="680" w:hanging="340"/>
    </w:pPr>
  </w:style>
  <w:style w:type="paragraph" w:styleId="List3">
    <w:name w:val="List 3"/>
    <w:basedOn w:val="BodyText"/>
    <w:rsid w:val="00DF404F"/>
    <w:pPr>
      <w:tabs>
        <w:tab w:val="left" w:pos="1021"/>
      </w:tabs>
      <w:spacing w:before="60" w:after="60"/>
      <w:ind w:left="1020" w:hanging="340"/>
    </w:pPr>
  </w:style>
  <w:style w:type="paragraph" w:styleId="List4">
    <w:name w:val="List 4"/>
    <w:basedOn w:val="BodyText"/>
    <w:rsid w:val="00DF404F"/>
    <w:pPr>
      <w:tabs>
        <w:tab w:val="left" w:pos="1361"/>
      </w:tabs>
      <w:spacing w:before="60" w:after="60"/>
      <w:ind w:left="1361" w:hanging="340"/>
    </w:pPr>
  </w:style>
  <w:style w:type="paragraph" w:styleId="List5">
    <w:name w:val="List 5"/>
    <w:basedOn w:val="BodyText"/>
    <w:rsid w:val="00DF404F"/>
    <w:pPr>
      <w:tabs>
        <w:tab w:val="left" w:pos="1701"/>
      </w:tabs>
      <w:spacing w:before="60" w:after="60"/>
      <w:ind w:left="1701" w:hanging="340"/>
    </w:pPr>
  </w:style>
  <w:style w:type="paragraph" w:styleId="ListBullet3">
    <w:name w:val="List Bullet 3"/>
    <w:basedOn w:val="List3"/>
    <w:rsid w:val="00DF404F"/>
    <w:pPr>
      <w:numPr>
        <w:numId w:val="15"/>
      </w:numPr>
      <w:tabs>
        <w:tab w:val="clear" w:pos="1021"/>
      </w:tabs>
      <w:ind w:left="1037" w:hanging="357"/>
    </w:pPr>
  </w:style>
  <w:style w:type="paragraph" w:styleId="ListBullet4">
    <w:name w:val="List Bullet 4"/>
    <w:basedOn w:val="List4"/>
    <w:rsid w:val="00DF404F"/>
    <w:pPr>
      <w:numPr>
        <w:numId w:val="3"/>
      </w:numPr>
    </w:pPr>
  </w:style>
  <w:style w:type="paragraph" w:styleId="ListBullet5">
    <w:name w:val="List Bullet 5"/>
    <w:basedOn w:val="List5"/>
    <w:rsid w:val="00DF404F"/>
    <w:pPr>
      <w:numPr>
        <w:numId w:val="4"/>
      </w:numPr>
    </w:pPr>
  </w:style>
  <w:style w:type="paragraph" w:styleId="ListContinue2">
    <w:name w:val="List Continue 2"/>
    <w:basedOn w:val="List2"/>
    <w:rsid w:val="00DF404F"/>
    <w:pPr>
      <w:ind w:firstLine="0"/>
    </w:pPr>
  </w:style>
  <w:style w:type="paragraph" w:styleId="ListContinue3">
    <w:name w:val="List Continue 3"/>
    <w:basedOn w:val="List3"/>
    <w:rsid w:val="00DF404F"/>
    <w:pPr>
      <w:ind w:left="1021" w:firstLine="0"/>
    </w:pPr>
  </w:style>
  <w:style w:type="paragraph" w:styleId="ListContinue4">
    <w:name w:val="List Continue 4"/>
    <w:basedOn w:val="List4"/>
    <w:rsid w:val="00DF404F"/>
    <w:pPr>
      <w:ind w:firstLine="0"/>
    </w:pPr>
  </w:style>
  <w:style w:type="paragraph" w:styleId="ListContinue5">
    <w:name w:val="List Continue 5"/>
    <w:basedOn w:val="List5"/>
    <w:rsid w:val="00DF404F"/>
    <w:pPr>
      <w:ind w:firstLine="0"/>
    </w:pPr>
  </w:style>
  <w:style w:type="paragraph" w:styleId="ListNumber3">
    <w:name w:val="List Number 3"/>
    <w:basedOn w:val="List3"/>
    <w:rsid w:val="00DF404F"/>
    <w:pPr>
      <w:numPr>
        <w:numId w:val="5"/>
      </w:numPr>
    </w:pPr>
  </w:style>
  <w:style w:type="paragraph" w:styleId="ListNumber4">
    <w:name w:val="List Number 4"/>
    <w:basedOn w:val="List4"/>
    <w:rsid w:val="00DF404F"/>
    <w:pPr>
      <w:numPr>
        <w:numId w:val="6"/>
      </w:numPr>
    </w:pPr>
  </w:style>
  <w:style w:type="paragraph" w:styleId="ListNumber5">
    <w:name w:val="List Number 5"/>
    <w:basedOn w:val="List5"/>
    <w:rsid w:val="00DF404F"/>
    <w:pPr>
      <w:numPr>
        <w:numId w:val="7"/>
      </w:numPr>
    </w:pPr>
  </w:style>
  <w:style w:type="paragraph" w:styleId="BlockText">
    <w:name w:val="Block Text"/>
    <w:basedOn w:val="Normal"/>
    <w:rsid w:val="00DF404F"/>
    <w:pPr>
      <w:spacing w:after="120"/>
      <w:ind w:left="1440" w:right="1440"/>
    </w:pPr>
  </w:style>
  <w:style w:type="character" w:customStyle="1" w:styleId="Subscript">
    <w:name w:val="Subscript"/>
    <w:basedOn w:val="DefaultParagraphFont"/>
    <w:rsid w:val="00DF404F"/>
    <w:rPr>
      <w:sz w:val="16"/>
      <w:vertAlign w:val="subscript"/>
    </w:rPr>
  </w:style>
  <w:style w:type="character" w:customStyle="1" w:styleId="Superscript">
    <w:name w:val="Superscript"/>
    <w:basedOn w:val="DefaultParagraphFont"/>
    <w:rsid w:val="00DF404F"/>
    <w:rPr>
      <w:sz w:val="16"/>
      <w:vertAlign w:val="superscript"/>
    </w:rPr>
  </w:style>
  <w:style w:type="character" w:customStyle="1" w:styleId="Symbols">
    <w:name w:val="Symbols"/>
    <w:basedOn w:val="DefaultParagraphFont"/>
    <w:rsid w:val="00DF404F"/>
    <w:rPr>
      <w:rFonts w:ascii="Symbol" w:hAnsi="Symbol"/>
    </w:rPr>
  </w:style>
  <w:style w:type="character" w:customStyle="1" w:styleId="MenuOptions">
    <w:name w:val="Menu Options"/>
    <w:basedOn w:val="DefaultParagraphFont"/>
    <w:rsid w:val="00DF404F"/>
    <w:rPr>
      <w:rFonts w:ascii="Arial Narrow" w:hAnsi="Arial Narrow"/>
      <w:smallCaps/>
    </w:rPr>
  </w:style>
  <w:style w:type="character" w:customStyle="1" w:styleId="Buttons">
    <w:name w:val="Buttons"/>
    <w:basedOn w:val="DefaultParagraphFont"/>
    <w:rsid w:val="00DF404F"/>
    <w:rPr>
      <w:b/>
    </w:rPr>
  </w:style>
  <w:style w:type="character" w:customStyle="1" w:styleId="Underlined">
    <w:name w:val="Underlined"/>
    <w:basedOn w:val="DefaultParagraphFont"/>
    <w:rsid w:val="00DF404F"/>
    <w:rPr>
      <w:u w:val="single"/>
    </w:rPr>
  </w:style>
  <w:style w:type="paragraph" w:customStyle="1" w:styleId="TableBodyTextRight">
    <w:name w:val="Table Body Text Right"/>
    <w:basedOn w:val="TableBodyText"/>
    <w:rsid w:val="00DF404F"/>
    <w:pPr>
      <w:widowControl w:val="0"/>
      <w:autoSpaceDE w:val="0"/>
      <w:autoSpaceDN w:val="0"/>
      <w:adjustRightInd w:val="0"/>
      <w:jc w:val="right"/>
    </w:pPr>
    <w:rPr>
      <w:rFonts w:cs="Arial"/>
      <w:szCs w:val="18"/>
    </w:rPr>
  </w:style>
  <w:style w:type="paragraph" w:customStyle="1" w:styleId="CopyrightText">
    <w:name w:val="Copyright Text"/>
    <w:basedOn w:val="BodyText"/>
    <w:rsid w:val="00DF404F"/>
    <w:rPr>
      <w:sz w:val="18"/>
    </w:rPr>
  </w:style>
  <w:style w:type="paragraph" w:customStyle="1" w:styleId="BodySmallRight">
    <w:name w:val="Body Small Right"/>
    <w:basedOn w:val="BodyTextRight"/>
    <w:rsid w:val="00DF404F"/>
    <w:rPr>
      <w:sz w:val="18"/>
      <w:szCs w:val="18"/>
    </w:rPr>
  </w:style>
  <w:style w:type="paragraph" w:customStyle="1" w:styleId="MarginEdition">
    <w:name w:val="Margin Edition"/>
    <w:basedOn w:val="MarginNote"/>
    <w:rsid w:val="00DF404F"/>
    <w:pPr>
      <w:spacing w:before="0" w:after="0"/>
    </w:pPr>
    <w:rPr>
      <w:rFonts w:ascii="Times New Roman" w:hAnsi="Times New Roman"/>
      <w:color w:val="999999"/>
    </w:rPr>
  </w:style>
  <w:style w:type="paragraph" w:customStyle="1" w:styleId="Spacer">
    <w:name w:val="Spacer"/>
    <w:basedOn w:val="Normal"/>
    <w:rsid w:val="00DF404F"/>
    <w:rPr>
      <w:sz w:val="2"/>
      <w:szCs w:val="2"/>
    </w:rPr>
  </w:style>
  <w:style w:type="character" w:customStyle="1" w:styleId="Small">
    <w:name w:val="Small"/>
    <w:basedOn w:val="DefaultParagraphFont"/>
    <w:rsid w:val="00DF404F"/>
    <w:rPr>
      <w:sz w:val="16"/>
    </w:rPr>
  </w:style>
  <w:style w:type="paragraph" w:customStyle="1" w:styleId="WideTable">
    <w:name w:val="Wide Table"/>
    <w:basedOn w:val="Normal"/>
    <w:rsid w:val="00DF404F"/>
    <w:pPr>
      <w:ind w:left="-1418"/>
    </w:pPr>
    <w:rPr>
      <w:sz w:val="2"/>
      <w:szCs w:val="2"/>
    </w:rPr>
  </w:style>
  <w:style w:type="character" w:styleId="PageNumber">
    <w:name w:val="page number"/>
    <w:basedOn w:val="DefaultParagraphFont"/>
    <w:rsid w:val="00DF404F"/>
  </w:style>
  <w:style w:type="paragraph" w:styleId="Quote">
    <w:name w:val="Quote"/>
    <w:basedOn w:val="Heading1"/>
    <w:link w:val="QuoteChar"/>
    <w:qFormat/>
    <w:rsid w:val="00DF404F"/>
    <w:rPr>
      <w:b w:val="0"/>
      <w:sz w:val="72"/>
      <w:szCs w:val="72"/>
      <w:lang w:val="en-NZ"/>
    </w:rPr>
  </w:style>
  <w:style w:type="character" w:customStyle="1" w:styleId="QuoteChar">
    <w:name w:val="Quote Char"/>
    <w:basedOn w:val="DefaultParagraphFont"/>
    <w:link w:val="Quote"/>
    <w:rsid w:val="00DF40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04F"/>
    <w:pPr>
      <w:pageBreakBefore/>
    </w:pPr>
  </w:style>
  <w:style w:type="paragraph" w:customStyle="1" w:styleId="Border">
    <w:name w:val="Border"/>
    <w:basedOn w:val="Normal"/>
    <w:qFormat/>
    <w:rsid w:val="00DF40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04F"/>
    <w:rPr>
      <w:b/>
      <w:bCs/>
      <w:i/>
      <w:iCs/>
      <w:color w:val="auto"/>
    </w:rPr>
  </w:style>
  <w:style w:type="paragraph" w:styleId="IntenseQuote">
    <w:name w:val="Intense Quote"/>
    <w:basedOn w:val="Normal"/>
    <w:next w:val="Normal"/>
    <w:link w:val="IntenseQuoteChar"/>
    <w:uiPriority w:val="30"/>
    <w:qFormat/>
    <w:rsid w:val="00DF40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0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404F"/>
    <w:rPr>
      <w:smallCaps/>
      <w:color w:val="auto"/>
      <w:u w:val="single"/>
    </w:rPr>
  </w:style>
  <w:style w:type="character" w:styleId="IntenseReference">
    <w:name w:val="Intense Reference"/>
    <w:basedOn w:val="DefaultParagraphFont"/>
    <w:uiPriority w:val="32"/>
    <w:qFormat/>
    <w:rsid w:val="00DF404F"/>
    <w:rPr>
      <w:b/>
      <w:bCs/>
      <w:smallCaps/>
      <w:color w:val="auto"/>
      <w:spacing w:val="5"/>
      <w:u w:val="single"/>
    </w:rPr>
  </w:style>
  <w:style w:type="paragraph" w:customStyle="1" w:styleId="2ColumnHeading">
    <w:name w:val="2Column Heading"/>
    <w:basedOn w:val="BodyText"/>
    <w:qFormat/>
    <w:rsid w:val="00DF404F"/>
    <w:pPr>
      <w:spacing w:after="60"/>
      <w:ind w:left="-2268"/>
    </w:pPr>
    <w:rPr>
      <w:b/>
    </w:rPr>
  </w:style>
  <w:style w:type="paragraph" w:customStyle="1" w:styleId="Heading1TOC">
    <w:name w:val="Heading1 TOC"/>
    <w:basedOn w:val="Normal"/>
    <w:qFormat/>
    <w:rsid w:val="00DF404F"/>
    <w:pPr>
      <w:spacing w:before="240" w:after="120"/>
    </w:pPr>
    <w:rPr>
      <w:rFonts w:ascii="Times New Roman" w:hAnsi="Times New Roman"/>
      <w:b/>
      <w:sz w:val="32"/>
    </w:rPr>
  </w:style>
  <w:style w:type="paragraph" w:customStyle="1" w:styleId="Heading2TOC">
    <w:name w:val="Heading2 TOC"/>
    <w:basedOn w:val="Normal"/>
    <w:qFormat/>
    <w:rsid w:val="00DF404F"/>
    <w:pPr>
      <w:spacing w:before="240" w:after="60"/>
    </w:pPr>
    <w:rPr>
      <w:rFonts w:ascii="Times New Roman" w:hAnsi="Times New Roman"/>
      <w:b/>
      <w:sz w:val="28"/>
    </w:rPr>
  </w:style>
  <w:style w:type="character" w:customStyle="1" w:styleId="Underline">
    <w:name w:val="Underline"/>
    <w:basedOn w:val="DefaultParagraphFont"/>
    <w:qFormat/>
    <w:rsid w:val="00DF404F"/>
    <w:rPr>
      <w:u w:val="single"/>
    </w:rPr>
  </w:style>
  <w:style w:type="character" w:customStyle="1" w:styleId="BoldandItalics">
    <w:name w:val="Bold and Italics"/>
    <w:qFormat/>
    <w:rsid w:val="00DF404F"/>
    <w:rPr>
      <w:b/>
      <w:i/>
      <w:u w:val="none"/>
    </w:rPr>
  </w:style>
  <w:style w:type="paragraph" w:styleId="BalloonText">
    <w:name w:val="Balloon Text"/>
    <w:basedOn w:val="Normal"/>
    <w:link w:val="BalloonTextChar"/>
    <w:rsid w:val="00DF404F"/>
    <w:rPr>
      <w:rFonts w:ascii="Tahoma" w:hAnsi="Tahoma" w:cs="Tahoma"/>
      <w:sz w:val="16"/>
      <w:szCs w:val="16"/>
    </w:rPr>
  </w:style>
  <w:style w:type="character" w:customStyle="1" w:styleId="BalloonTextChar">
    <w:name w:val="Balloon Text Char"/>
    <w:basedOn w:val="DefaultParagraphFont"/>
    <w:link w:val="BalloonText"/>
    <w:rsid w:val="00DF40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0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0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2480</Words>
  <Characters>15131</Characters>
  <Application>Microsoft Office Word</Application>
  <DocSecurity>0</DocSecurity>
  <Lines>727</Lines>
  <Paragraphs>282</Paragraphs>
  <ScaleCrop>false</ScaleCrop>
  <Company>Author-it Software Corporation Ltd.</Company>
  <LinksUpToDate>false</LinksUpToDate>
  <CharactersWithSpaces>17363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UEGNSG208A Gas distribution pipeline surveillance</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2012-05-26T22:04:00Z</dcterms:created>
  <dcterms:modified xsi:type="dcterms:W3CDTF">2012-05-26T22:04:00Z</dcterms:modified>
</cp:coreProperties>
</file>