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5DD" w:rsidP="002165DD">
      <w:pPr>
        <w:pStyle w:val="Title"/>
      </w:pPr>
      <w:r>
        <w:fldChar w:fldCharType="begin"/>
      </w:r>
      <w:r>
        <w:instrText xml:space="preserve"> TITLE   \* MERGEFORMAT </w:instrText>
      </w:r>
      <w:r>
        <w:fldChar w:fldCharType="separate"/>
      </w:r>
      <w:r>
        <w:t>UEGNSG202A Construct and lay distribution pipelines</w:t>
      </w:r>
      <w:r>
        <w:fldChar w:fldCharType="end"/>
      </w:r>
    </w:p>
    <w:p w:rsidR="002165DD" w:rsidP="002165DD">
      <w:pPr>
        <w:pStyle w:val="Version"/>
        <w:sectPr w:rsidSect="00B70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B3C" w:rsidP="00B70B3C">
      <w:pPr>
        <w:pStyle w:val="SuperHeading"/>
      </w:pPr>
      <w:r w:rsidRPr="00B70B3C">
        <w:t>UEGNSG202A Construct and lay distribution pipelines</w:t>
      </w:r>
    </w:p>
    <w:p w:rsidR="00000000" w:rsidRPr="00B70B3C" w:rsidP="00B70B3C">
      <w:pPr>
        <w:pStyle w:val="Heading1"/>
      </w:pPr>
      <w:bookmarkStart w:id="1" w:name="O_275098"/>
      <w:bookmarkEnd w:id="1"/>
      <w:r w:rsidRPr="00B70B3C">
        <w:t>Modification History</w:t>
      </w:r>
    </w:p>
    <w:p w:rsidR="00000000" w:rsidRPr="00B70B3C" w:rsidP="00B70B3C">
      <w:pPr>
        <w:pStyle w:val="BodyText"/>
      </w:pPr>
      <w:r w:rsidRPr="00B70B3C">
        <w:t>Not Applicable</w:t>
      </w:r>
    </w:p>
    <w:p w:rsidR="00000000" w:rsidRPr="00B70B3C" w:rsidP="00B70B3C">
      <w:pPr>
        <w:pStyle w:val="AllowPageBreak"/>
      </w:pPr>
    </w:p>
    <w:p w:rsidR="00000000" w:rsidRPr="00B70B3C" w:rsidP="00B70B3C">
      <w:pPr>
        <w:pStyle w:val="Heading1"/>
      </w:pPr>
      <w:bookmarkStart w:id="2" w:name="O_229412"/>
      <w:bookmarkEnd w:id="2"/>
      <w:r w:rsidRPr="00B70B3C">
        <w:t>Unit Descriptor</w:t>
      </w:r>
    </w:p>
    <w:tbl>
      <w:tblPr>
        <w:tblW w:w="0" w:type="auto"/>
        <w:tblLayout w:type="fixed"/>
        <w:tblCellMar>
          <w:left w:w="62" w:type="dxa"/>
          <w:right w:w="62" w:type="dxa"/>
        </w:tblCellMar>
        <w:tblLook w:val="0000"/>
      </w:tblPr>
      <w:tblGrid>
        <w:gridCol w:w="2700"/>
        <w:gridCol w:w="5760"/>
      </w:tblGrid>
      <w:tr w:rsidTr="00216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1</w:t>
            </w:r>
            <w:r w:rsidRPr="00B70B3C">
              <w:t xml:space="preserve">) </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t>This Competency Standard Unit covers the construction and laying of pipelines in a utilities industry workplace. This competency standard refers to the relevant services; appropriate persons; the relevant materials required to lay distribution pipelines; t</w:t>
            </w:r>
            <w:r w:rsidRPr="00B70B3C">
              <w:t>ools and equipment; safe working procedures and the relevant legislative requirements.</w:t>
            </w:r>
          </w:p>
        </w:tc>
      </w:tr>
    </w:tbl>
    <w:p w:rsidR="002165DD" w:rsidP="00B70B3C">
      <w:pPr>
        <w:pStyle w:val="BodyText"/>
      </w:pPr>
    </w:p>
    <w:p w:rsidR="002165DD" w:rsidP="00B70B3C">
      <w:pPr>
        <w:pStyle w:val="BodyText"/>
      </w:pPr>
    </w:p>
    <w:p w:rsidR="00000000" w:rsidRPr="00B70B3C" w:rsidP="00B70B3C">
      <w:pPr>
        <w:pStyle w:val="Heading1"/>
      </w:pPr>
      <w:bookmarkStart w:id="3" w:name="O_229415"/>
      <w:bookmarkEnd w:id="3"/>
      <w:r w:rsidRPr="00B70B3C">
        <w:t>Application of the Unit</w:t>
      </w:r>
    </w:p>
    <w:tbl>
      <w:tblPr>
        <w:tblW w:w="0" w:type="auto"/>
        <w:tblLayout w:type="fixed"/>
        <w:tblCellMar>
          <w:left w:w="62" w:type="dxa"/>
          <w:right w:w="62" w:type="dxa"/>
        </w:tblCellMar>
        <w:tblLook w:val="0000"/>
      </w:tblPr>
      <w:tblGrid>
        <w:gridCol w:w="2700"/>
        <w:gridCol w:w="5760"/>
      </w:tblGrid>
      <w:tr w:rsidTr="00216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3</w:t>
            </w:r>
            <w:r w:rsidRPr="00B70B3C">
              <w:t xml:space="preserve">) </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t>This competency standard shall apply to any basic and safe work site where Gas Industry operati</w:t>
            </w:r>
            <w:r w:rsidRPr="00B70B3C">
              <w:t>ons occur. It could also apply, where applicable to other workplaces in the electricity supply industry (transmission and distribution and generation), the electrotechnology industry and the water industry, subject to all Occupational Health and Safety and</w:t>
            </w:r>
            <w:r w:rsidRPr="00B70B3C">
              <w:t xml:space="preserve"> duty of care requirements being met for the workplace.</w:t>
            </w:r>
          </w:p>
        </w:tc>
      </w:tr>
    </w:tbl>
    <w:p w:rsidR="002165DD" w:rsidP="00B70B3C">
      <w:pPr>
        <w:pStyle w:val="BodyText"/>
      </w:pPr>
    </w:p>
    <w:p w:rsidR="002165DD" w:rsidP="00B70B3C">
      <w:pPr>
        <w:pStyle w:val="BodyText"/>
      </w:pPr>
    </w:p>
    <w:p w:rsidR="00000000" w:rsidRPr="00B70B3C" w:rsidP="00B70B3C">
      <w:pPr>
        <w:pStyle w:val="Heading1"/>
      </w:pPr>
      <w:bookmarkStart w:id="4" w:name="O_229416"/>
      <w:bookmarkEnd w:id="4"/>
      <w:r w:rsidRPr="00B70B3C">
        <w:t>Licensing/Regulatory Information</w:t>
      </w:r>
    </w:p>
    <w:tbl>
      <w:tblPr>
        <w:tblW w:w="0" w:type="auto"/>
        <w:tblLayout w:type="fixed"/>
        <w:tblCellMar>
          <w:left w:w="62" w:type="dxa"/>
          <w:right w:w="62" w:type="dxa"/>
        </w:tblCellMar>
        <w:tblLook w:val="0000"/>
      </w:tblPr>
      <w:tblGrid>
        <w:gridCol w:w="2700"/>
        <w:gridCol w:w="5760"/>
      </w:tblGrid>
      <w:tr w:rsidTr="00216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3</w:t>
            </w:r>
            <w:r w:rsidRPr="00B70B3C">
              <w:t>.</w:t>
            </w:r>
            <w:r w:rsidRPr="00B70B3C">
              <w:rPr>
                <w:rStyle w:val="SpecialBold"/>
              </w:rPr>
              <w:t>1</w:t>
            </w:r>
            <w:r w:rsidRPr="00B70B3C">
              <w:t xml:space="preserve">) </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t>The skills and knowledge described in this unit are not subject to licence re</w:t>
            </w:r>
            <w:r w:rsidRPr="00B70B3C">
              <w:t xml:space="preserve">gulation other than those directly related to Occupational Health and Safety, gas/electricity/water industry safety and compliance, industrial relations, environmental protection, telecommunications, anti discrimination and training. </w:t>
            </w:r>
            <w:r w:rsidRPr="00B70B3C">
              <w:t>Commonwealth, State/Te</w:t>
            </w:r>
            <w:r w:rsidRPr="00B70B3C">
              <w:t>rritory or Local Government legislation and regulations may exist that limits the age of those who can operate certain equipment.</w:t>
            </w:r>
          </w:p>
        </w:tc>
      </w:tr>
    </w:tbl>
    <w:p w:rsidR="002165DD" w:rsidP="00B70B3C">
      <w:pPr>
        <w:pStyle w:val="BodyText"/>
      </w:pPr>
    </w:p>
    <w:p w:rsidR="002165DD" w:rsidP="00B70B3C">
      <w:pPr>
        <w:pStyle w:val="BodyText"/>
      </w:pPr>
    </w:p>
    <w:p w:rsidR="00000000" w:rsidRPr="00B70B3C" w:rsidP="00B70B3C">
      <w:pPr>
        <w:pStyle w:val="Heading1"/>
      </w:pPr>
      <w:bookmarkStart w:id="5" w:name="O_229413"/>
      <w:bookmarkEnd w:id="5"/>
      <w:r w:rsidRPr="00B70B3C">
        <w:t>Pre-Requisites</w:t>
      </w:r>
    </w:p>
    <w:tbl>
      <w:tblPr>
        <w:tblW w:w="0" w:type="auto"/>
        <w:tblLayout w:type="fixed"/>
        <w:tblCellMar>
          <w:left w:w="62" w:type="dxa"/>
          <w:right w:w="62" w:type="dxa"/>
        </w:tblCellMar>
        <w:tblLook w:val="0000"/>
      </w:tblPr>
      <w:tblGrid>
        <w:gridCol w:w="2700"/>
        <w:gridCol w:w="1800"/>
        <w:gridCol w:w="3960"/>
      </w:tblGrid>
      <w:tr w:rsidTr="00216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Prerequisite Unit</w:t>
            </w:r>
            <w:r w:rsidRPr="00B70B3C">
              <w:t>(</w:t>
            </w:r>
            <w:r w:rsidRPr="00B70B3C">
              <w:rPr>
                <w:rStyle w:val="SpecialBold"/>
              </w:rPr>
              <w:t>s</w:t>
            </w:r>
            <w:r w:rsidRPr="00B70B3C">
              <w:t>)</w:t>
            </w:r>
          </w:p>
        </w:tc>
        <w:tc>
          <w:tcPr>
            <w:tcW w:w="5760" w:type="dxa"/>
            <w:gridSpan w:val="2"/>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2</w:t>
            </w:r>
            <w:r w:rsidRPr="00B70B3C">
              <w:t xml:space="preserve">) </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2</w:t>
            </w:r>
            <w:r w:rsidRPr="00B70B3C">
              <w:t>.</w:t>
            </w:r>
            <w:r w:rsidRPr="00B70B3C">
              <w:rPr>
                <w:rStyle w:val="SpecialBold"/>
              </w:rPr>
              <w:t>1</w:t>
            </w:r>
            <w:r w:rsidRPr="00B70B3C">
              <w:t xml:space="preserve">) </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Granting of competency in this unit shall be made only after competency in the following unit(s) has/have been confirmed:</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Nil</w:t>
            </w:r>
          </w:p>
        </w:tc>
        <w:tc>
          <w:tcPr>
            <w:tcW w:w="3960" w:type="dxa"/>
            <w:tcBorders>
              <w:top w:val="nil"/>
              <w:left w:val="nil"/>
              <w:bottom w:val="nil"/>
              <w:right w:val="nil"/>
            </w:tcBorders>
            <w:tcMar>
              <w:top w:w="0" w:type="dxa"/>
              <w:left w:w="62" w:type="dxa"/>
              <w:bottom w:w="0" w:type="dxa"/>
              <w:right w:w="62" w:type="dxa"/>
            </w:tcMar>
          </w:tcPr>
          <w:p w:rsidR="00000000" w:rsidRPr="00B70B3C" w:rsidP="00B70B3C">
            <w:pPr>
              <w:pStyle w:val="BodyText"/>
            </w:pPr>
          </w:p>
        </w:tc>
      </w:tr>
    </w:tbl>
    <w:p w:rsidR="002165DD" w:rsidP="00B70B3C">
      <w:pPr>
        <w:pStyle w:val="BodyText"/>
      </w:pPr>
    </w:p>
    <w:p w:rsidR="002165DD" w:rsidP="00B70B3C">
      <w:pPr>
        <w:pStyle w:val="BodyText"/>
      </w:pPr>
    </w:p>
    <w:p w:rsidR="00000000" w:rsidRPr="00B70B3C" w:rsidP="00B70B3C">
      <w:pPr>
        <w:pStyle w:val="Heading1"/>
      </w:pPr>
      <w:bookmarkStart w:id="6" w:name="O_285347"/>
      <w:bookmarkEnd w:id="6"/>
      <w:r w:rsidRPr="00B70B3C">
        <w:t>Employability Skills Information</w:t>
      </w:r>
    </w:p>
    <w:p w:rsidR="00000000" w:rsidRPr="00B70B3C" w:rsidP="00B70B3C">
      <w:pPr>
        <w:pStyle w:val="BodyText"/>
      </w:pPr>
      <w:r w:rsidRPr="00B70B3C">
        <w:t>Refer to the Evidence Guide</w:t>
      </w:r>
    </w:p>
    <w:p w:rsidR="00000000" w:rsidRPr="00B70B3C" w:rsidP="00B70B3C">
      <w:pPr>
        <w:pStyle w:val="AllowPageBreak"/>
      </w:pPr>
    </w:p>
    <w:p w:rsidR="00000000" w:rsidRPr="00B70B3C" w:rsidP="00B70B3C">
      <w:pPr>
        <w:pStyle w:val="Heading1"/>
      </w:pPr>
      <w:bookmarkStart w:id="7" w:name="O_293144"/>
      <w:bookmarkEnd w:id="7"/>
      <w:r w:rsidRPr="00B70B3C">
        <w:t>Elements and Performance Criteria Pre-Content</w:t>
      </w:r>
    </w:p>
    <w:tbl>
      <w:tblPr>
        <w:tblW w:w="0" w:type="auto"/>
        <w:tblLayout w:type="fixed"/>
        <w:tblCellMar>
          <w:left w:w="62" w:type="dxa"/>
          <w:right w:w="62" w:type="dxa"/>
        </w:tblCellMar>
        <w:tblLook w:val="0000"/>
      </w:tblPr>
      <w:tblGrid>
        <w:gridCol w:w="2700"/>
        <w:gridCol w:w="5760"/>
      </w:tblGrid>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5</w:t>
            </w:r>
            <w:r w:rsidRPr="00B70B3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t>Performance Criteria describe the required performance needed to demonstrate achievement of the element. Assessment of performance is to</w:t>
            </w:r>
            <w:r w:rsidRPr="00B70B3C">
              <w:t xml:space="preserve"> be consistent with the Evidence Guide.</w:t>
            </w:r>
          </w:p>
        </w:tc>
      </w:tr>
    </w:tbl>
    <w:p w:rsidR="00000000" w:rsidRPr="00B70B3C" w:rsidP="00B70B3C">
      <w:pPr>
        <w:pStyle w:val="BodyText"/>
      </w:pPr>
    </w:p>
    <w:p w:rsidR="00000000" w:rsidRPr="00B70B3C" w:rsidP="00B70B3C">
      <w:pPr>
        <w:pStyle w:val="AllowPageBreak"/>
      </w:pPr>
    </w:p>
    <w:p w:rsidR="00000000" w:rsidRPr="00B70B3C" w:rsidP="00B70B3C">
      <w:pPr>
        <w:pStyle w:val="Heading1"/>
      </w:pPr>
      <w:bookmarkStart w:id="8" w:name="O_239812"/>
      <w:bookmarkEnd w:id="8"/>
      <w:r w:rsidRPr="00B70B3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165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PERFORMANCE CRITERIA</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w:t>
            </w:r>
          </w:p>
        </w:tc>
        <w:tc>
          <w:tcPr>
            <w:tcW w:w="2296" w:type="dxa"/>
            <w:vMerge w:val="restart"/>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Prepare for the laying of a distribution pipeline </w:t>
            </w: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1.1</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Plans, specifications and work instructions are received and confirmed</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1.2</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Alignment of main and other relevant requirements are defined and established procedures are followed and the work to be performed is discussed with all persons to establish and confirm the work schedule </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1.3</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OHS, environmental and sustainable energy policies and procedures to be followed for the work to be performed are received and confirmed</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1.4</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Suggestions to assist with the laying of distribution pipelines work are made to others involved in the work</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1.5</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Hazards are identified, OHS risks assessed and control measures are prioritised, implemented and monitored including emergency exits kept clear according to established procedures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1.6</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Scope of responsibility under the relevant work permit is received and confirmed according to requirements and established procedures with relevant persons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1.7</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Resources and materials including, appropriately qualified persons, equipment, tools and pers</w:t>
            </w:r>
            <w:r w:rsidRPr="00B70B3C">
              <w:t>onal protective equipment required for the job are obtained and in working order according to established procedures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1.8</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Relevant responsibilities associated with First Aid and other related work safety procedures at the worksite are confirmed in accord</w:t>
            </w:r>
            <w:r w:rsidRPr="00B70B3C">
              <w:t>ance with requirements and established procedures to ensure safety measures are followed in the event of an incident</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1.9</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Client issues are referred to appropriate persons in accordance with industry and community standards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1.10</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Site is prepared acc</w:t>
            </w:r>
            <w:r w:rsidRPr="00B70B3C">
              <w:t>ording to given instructions and the work schedule to ensure a quality outcome and to minimise risk and damage to property, commerce and individuals in accordance with established procedures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1.11</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Road signs, barriers and warning devices are positioned i</w:t>
            </w:r>
            <w:r w:rsidRPr="00B70B3C">
              <w:t>n accordance with given instructions and requirements including traffic management plans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2</w:t>
            </w:r>
          </w:p>
        </w:tc>
        <w:tc>
          <w:tcPr>
            <w:tcW w:w="2296"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Carry out the construction of a distribution pipeline </w:t>
            </w: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2.1</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OHS policies and procedures and safe work practices are followed to eliminate or minimise incidents and hazards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2.2</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Lifting, climbing, working in confined spaces, excavations, trenches or aloft, and use of power tools, techniques and practices are safel</w:t>
            </w:r>
            <w:r w:rsidRPr="00B70B3C">
              <w:t>y followed in accordance with given instructions and according to requirements confirmed to minimise OHS risks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2.3</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Operational knowledge for carrying out pipeline construction work is confirmed to ensure completion in an agreed timeframe and to quality </w:t>
            </w:r>
            <w:r w:rsidRPr="00B70B3C">
              <w:t>standards with a minimum of waste according to requirements and established procedures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2.4</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Pipeline construction work is performed in accordance with given instructions and established procedures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2.5</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Hazard warnings and safety signs are recognised and hazards are assessed and OHS risks are reported to the authorised persons for directions according to established procedures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2.6</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Non-routine events are referred to the authorised persons for directions</w:t>
            </w:r>
            <w:r w:rsidRPr="00B70B3C">
              <w:t xml:space="preserve"> according to established procedures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2.7</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Problems associated with the construction of a distribution pipeline are dealt with using acquired known solutions and skills related to routine procedures to ensure work instructions and established procedures a</w:t>
            </w:r>
            <w:r w:rsidRPr="00B70B3C">
              <w:t>re met</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2.8</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Ongoing checks of work quality are undertaken in accordance with given instructions and established procedures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3</w:t>
            </w:r>
          </w:p>
        </w:tc>
        <w:tc>
          <w:tcPr>
            <w:tcW w:w="2296"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Complete the construction of a distribution pipeline </w:t>
            </w: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3.1</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Work undertaken is checked against work schedule and anomalies reported to authorised persons in accordance with established procedures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3.2</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Accidents and incidents are actioned and reported to authorised persons in accordance with established procedures</w:t>
            </w:r>
            <w:r w:rsidRPr="00B70B3C">
              <w:t xml:space="preserve"> </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3.3</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Work site is rehabilitated, cleaned up and made safe in accordance with given instructions and established procedures </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3.4</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Tools, equipment and any surplus resources and materials are, where appropriate, cleaned, checked and returned to storage in accordance with established procedures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3.5</w:t>
            </w:r>
          </w:p>
        </w:tc>
        <w:tc>
          <w:tcPr>
            <w:tcW w:w="48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Appropriate persons are notified of work completion according to established procedur</w:t>
            </w:r>
            <w:r w:rsidRPr="00B70B3C">
              <w:t>es</w:t>
            </w:r>
          </w:p>
        </w:tc>
      </w:tr>
      <w:tr w:rsidTr="00216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3.6</w:t>
            </w:r>
          </w:p>
        </w:tc>
        <w:tc>
          <w:tcPr>
            <w:tcW w:w="486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t>Work completion records, report forms and data sheets are completed accurately in accordance with given instructions and established procedures</w:t>
            </w:r>
          </w:p>
        </w:tc>
      </w:tr>
    </w:tbl>
    <w:p w:rsidR="002165DD" w:rsidP="00B70B3C">
      <w:pPr>
        <w:pStyle w:val="BodyText"/>
      </w:pPr>
    </w:p>
    <w:p w:rsidR="002165DD" w:rsidP="00B70B3C">
      <w:pPr>
        <w:pStyle w:val="BodyText"/>
      </w:pPr>
    </w:p>
    <w:p w:rsidR="00000000" w:rsidRPr="00B70B3C" w:rsidP="00B70B3C">
      <w:pPr>
        <w:pStyle w:val="Heading1"/>
      </w:pPr>
      <w:bookmarkStart w:id="9" w:name="O_263603"/>
      <w:bookmarkEnd w:id="9"/>
      <w:r w:rsidRPr="00B70B3C">
        <w:t>Required Skills and Knowledge</w:t>
      </w:r>
    </w:p>
    <w:tbl>
      <w:tblPr>
        <w:tblW w:w="0" w:type="auto"/>
        <w:tblLayout w:type="fixed"/>
        <w:tblCellMar>
          <w:left w:w="62" w:type="dxa"/>
          <w:right w:w="62" w:type="dxa"/>
        </w:tblCellMar>
        <w:tblLook w:val="0000"/>
      </w:tblPr>
      <w:tblGrid>
        <w:gridCol w:w="2700"/>
        <w:gridCol w:w="1080"/>
        <w:gridCol w:w="4680"/>
      </w:tblGrid>
      <w:tr w:rsidTr="002165D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REQUIRED SKILLS AND KNOWLEDGE</w:t>
            </w:r>
          </w:p>
        </w:tc>
      </w:tr>
      <w:tr w:rsidTr="002165D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6</w:t>
            </w:r>
            <w:r w:rsidRPr="00B70B3C">
              <w:t>) This describes the essential skills and knowledge and their level, required for this unit.</w:t>
            </w:r>
          </w:p>
        </w:tc>
      </w:tr>
      <w:tr w:rsidTr="002165D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Evidence shall show that knowledge has been acquired of safe working practices for constructing and laying distribution pipelines. The extent of the essential k</w:t>
            </w:r>
            <w:r w:rsidRPr="00B70B3C">
              <w:t>nowledge and associated skills (EKAS) required is given in Volume 2 - Part 2.2 EKAS.  It forms an integral part of this unit.</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Working in the gas sector</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2.1.2</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Identify roles of statutory authorities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2.1.3</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Identify employment roles and responsibilities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2.1.4</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Apply relevant OHS regulations, policies and procedures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2.1.5</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Maintain safe, clean and healthy workplace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2.1.6</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Work safely with hazardous materials and equipment</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2.1.7</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Apply safe manual handling techniques in the workplace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2.1.8</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Control traffic at the work-site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2.1.9</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Respond to emergency and accident situations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2.1.10</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Apply relevant environmental legislation, regulations and codes of practice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2.1.11</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Prote</w:t>
            </w:r>
            <w:r w:rsidRPr="00B70B3C">
              <w:t>ct and maintain the environment</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2.1.12</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Communicate in the workplace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2.1.13</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Communicate effectively in a team</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2.1.14</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Read and interpret workplace documents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2.1.15</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Complete routine workplace forms, memos and reports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2.1.16</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Identify requirements of work activity</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2.1.17</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Apply basic planning skills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2.1.18</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Conduct tasks to complete work activity</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2.1.19</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Review work activity</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2.1.20</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Customer relations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2.1.21</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Problem solving</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2.1.22</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Confined spaces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2.1.23</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Work site environmental compliance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2.1.24</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Work site environmental impact</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0B3C">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AND one or more of the following depending on pipe type</w:t>
            </w:r>
            <w:r w:rsidRPr="00B70B3C">
              <w:t>:</w:t>
            </w:r>
          </w:p>
          <w:p w:rsidR="00000000" w:rsidP="00B70B3C">
            <w:pPr>
              <w:pStyle w:val="BodyText"/>
              <w:rPr>
                <w:lang w:val="en-NZ"/>
              </w:rPr>
            </w:pPr>
            <w:r w:rsidRPr="00B70B3C">
              <w:rPr>
                <w:rStyle w:val="Emphasis"/>
              </w:rPr>
              <w:t>If undertaking the laying of nylon pipe and PE pipe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2.2.12</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Identify nylon pipeline, fittings and accessories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2.2.13</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Join nylon pipeline and fittings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2.2.14</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Repair damaged nylon pipe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2.2.15</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Determine depth of pipeline in ground</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2.2.16</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Install nylon pipe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2.2.17</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Identify polyethylene pipeline, fittings and accessories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2.2.18</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Join PE pipes and fittings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2.2.19</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Repair damaged PE pipeline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0B3C">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Emphasis"/>
              </w:rPr>
              <w:t>If undertaking the laying of cast iron and steel pipe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2.2.20</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Identify cast iron pipe and fittings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2.2.21</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Work with cast iron pipe and fittings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2.2.22</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Repair or replace cast iron pipeline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2.2.23</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Identify steel pipeline, fittings and accessories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2.2.24</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Work with steel pipeline and fittings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2.2.25</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Cut out, repair and replace steel pipeline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2.2.26</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Determine depth of pipeline in ground</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0B3C">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Emphasis"/>
              </w:rPr>
              <w:t>If u</w:t>
            </w:r>
            <w:r w:rsidRPr="00B70B3C">
              <w:rPr>
                <w:rStyle w:val="Emphasis"/>
              </w:rPr>
              <w:t>ndertaking the laying of copper pipe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2.2.27</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Identify copper pipeline, fittings and accessories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2.2.28</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Bend and join copper pipeline and fittings</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2.2.29</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Repair damaged copper pipe</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2.2.30</w:t>
            </w:r>
          </w:p>
        </w:tc>
        <w:tc>
          <w:tcPr>
            <w:tcW w:w="46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Determine depth of pipeline in the ground</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G 2.2.31</w:t>
            </w:r>
          </w:p>
        </w:tc>
        <w:tc>
          <w:tcPr>
            <w:tcW w:w="468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t>Install copper pipe</w:t>
            </w:r>
          </w:p>
        </w:tc>
      </w:tr>
    </w:tbl>
    <w:p w:rsidR="002165DD" w:rsidP="00B70B3C">
      <w:pPr>
        <w:pStyle w:val="BodyText"/>
      </w:pPr>
    </w:p>
    <w:p w:rsidR="002165DD" w:rsidP="00B70B3C">
      <w:pPr>
        <w:pStyle w:val="BodyText"/>
      </w:pPr>
    </w:p>
    <w:p w:rsidR="00000000" w:rsidRPr="00B70B3C" w:rsidP="00B70B3C">
      <w:pPr>
        <w:pStyle w:val="Heading1"/>
      </w:pPr>
      <w:bookmarkStart w:id="10" w:name="O_247795"/>
      <w:bookmarkEnd w:id="10"/>
      <w:r w:rsidRPr="00B70B3C">
        <w:t>Evidence Guide</w:t>
      </w:r>
    </w:p>
    <w:tbl>
      <w:tblPr>
        <w:tblW w:w="0" w:type="auto"/>
        <w:tblLayout w:type="fixed"/>
        <w:tblCellMar>
          <w:left w:w="62" w:type="dxa"/>
          <w:right w:w="62" w:type="dxa"/>
        </w:tblCellMar>
        <w:tblLook w:val="0000"/>
      </w:tblPr>
      <w:tblGrid>
        <w:gridCol w:w="326"/>
        <w:gridCol w:w="1834"/>
        <w:gridCol w:w="540"/>
        <w:gridCol w:w="900"/>
        <w:gridCol w:w="180"/>
        <w:gridCol w:w="1440"/>
        <w:gridCol w:w="1677"/>
        <w:gridCol w:w="1563"/>
      </w:tblGrid>
      <w:tr w:rsidTr="002165DD">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EVIDENCE GUIDE</w:t>
            </w:r>
          </w:p>
        </w:tc>
      </w:tr>
      <w:tr w:rsidTr="002165DD">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8</w:t>
            </w:r>
            <w:r w:rsidRPr="00B70B3C">
              <w:t xml:space="preserve">) The Evidence Guide forms an integral part of this Unit and shall be used in conjunction with </w:t>
            </w:r>
            <w:r w:rsidRPr="00B70B3C">
              <w:t>all components parts of the unit and performed in accordance with the Assessment Guidelines of this Training Package.</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8</w:t>
            </w:r>
            <w:r w:rsidRPr="00B70B3C">
              <w:t>.</w:t>
            </w:r>
            <w:r w:rsidRPr="00B70B3C">
              <w:rPr>
                <w:rStyle w:val="SpecialBold"/>
              </w:rPr>
              <w:t>1</w:t>
            </w:r>
            <w:r w:rsidRPr="00B70B3C">
              <w:t xml:space="preserve">) </w:t>
            </w:r>
          </w:p>
          <w:p w:rsidR="00000000" w:rsidRPr="00B70B3C" w:rsidP="00B70B3C">
            <w:pPr>
              <w:pStyle w:val="BodyText"/>
            </w:pPr>
            <w:r w:rsidRPr="00B70B3C">
              <w:t xml:space="preserve">Longitudinal competency development approaches to assessment, such as Profiling, require data to be </w:t>
            </w:r>
            <w:r w:rsidRPr="00B70B3C">
              <w:t>reliably gathered in a form that can be consistently interpreted over time. This approach is best utilised in Apprenticeship programs and reduces assessment intervention. It is the Industry's preferred model for apprenticeships. However, where summative (o</w:t>
            </w:r>
            <w:r w:rsidRPr="00B70B3C">
              <w:t>r final) assessment is used it is to include the application of the competency in the normal work environment or, at a minimum, the application of the competency in a realistically simulated work environment. It is recognised that, in some circumstances, a</w:t>
            </w:r>
            <w:r w:rsidRPr="00B70B3C">
              <w:t>ssessment in part or full can occur outside the workplace. However, it must be in accord with Industry regulatory policy in this regard.</w:t>
            </w:r>
          </w:p>
          <w:p w:rsidR="00000000" w:rsidRPr="00B70B3C" w:rsidP="00B70B3C">
            <w:pPr>
              <w:pStyle w:val="BodyText"/>
            </w:pPr>
            <w:r w:rsidRPr="00B70B3C">
              <w:t>Methods chosen for a particular assessment will be influenced by various factors. These include the extent of the asses</w:t>
            </w:r>
            <w:r w:rsidRPr="00B70B3C">
              <w:t>sment, the most effective locations for the assessment activities to take place, access to physical resources, additional safety measures that may be required and the critical nature of the competencies being assessed.</w:t>
            </w:r>
          </w:p>
          <w:p w:rsidR="00000000" w:rsidRPr="00B70B3C" w:rsidP="00B70B3C">
            <w:pPr>
              <w:pStyle w:val="BodyText"/>
            </w:pPr>
            <w:r w:rsidRPr="00B70B3C">
              <w:t>The critical safety nature of working</w:t>
            </w:r>
            <w:r w:rsidRPr="00B70B3C">
              <w:t xml:space="preserve"> with electricity, electrical equipment, gas or any other hazardous substance/material carries risk in deeming a person competent. Hence, sources of evidence need to be 'rich' in nature so as to minimise error in judgment.</w:t>
            </w:r>
          </w:p>
          <w:p w:rsidR="00000000" w:rsidP="00B70B3C">
            <w:pPr>
              <w:pStyle w:val="BodyText"/>
              <w:rPr>
                <w:lang w:val="en-NZ"/>
              </w:rPr>
            </w:pPr>
            <w:r w:rsidRPr="00B70B3C">
              <w:t>Activities associated with normal</w:t>
            </w:r>
            <w:r w:rsidRPr="00B70B3C">
              <w:t xml:space="preserve"> every day work have a bearing on the decision as to how much and how detailed the data gathered will contribute to its 'richness'. Some skills are more critical to safety and operational requirements while the same skills may be more or less frequently pr</w:t>
            </w:r>
            <w:r w:rsidRPr="00B70B3C">
              <w:t>acticed. These points are raised for the assessors to consider when choosing an assessment method and developing assessment instruments. Sample assessment instruments are included for Assessors in the Assessment Guidelines of this Training Package.</w:t>
            </w:r>
          </w:p>
        </w:tc>
      </w:tr>
      <w:tr w:rsidTr="002165D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8</w:t>
            </w:r>
            <w:r w:rsidRPr="00B70B3C">
              <w:t>.</w:t>
            </w:r>
            <w:r w:rsidRPr="00B70B3C">
              <w:rPr>
                <w:rStyle w:val="SpecialBold"/>
              </w:rPr>
              <w:t>2</w:t>
            </w:r>
            <w:r w:rsidRPr="00B70B3C">
              <w:t xml:space="preserve">) </w:t>
            </w:r>
          </w:p>
          <w:p w:rsidR="00000000" w:rsidP="00B70B3C">
            <w:pPr>
              <w:pStyle w:val="BodyText"/>
              <w:rPr>
                <w:lang w:val="en-NZ"/>
              </w:rPr>
            </w:pPr>
            <w:r w:rsidRPr="00B70B3C">
              <w:t>Before the critical aspects of evidence are considered all prerequisites shall be met.</w:t>
            </w:r>
          </w:p>
        </w:tc>
      </w:tr>
      <w:tr w:rsidTr="002165D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B70B3C">
            <w:pPr>
              <w:pStyle w:val="ListBullet"/>
              <w:rPr>
                <w:lang w:val="en-NZ"/>
              </w:rPr>
            </w:pPr>
            <w:r w:rsidRPr="00B70B3C">
              <w:t xml:space="preserve">A </w:t>
            </w:r>
            <w:r w:rsidRPr="00B70B3C">
              <w:t>representative body of Performance Criteria demonstrated within the timeframes typically expected of the discipline, work function and industrial environment. In particular this shall incorporate evidence that shows a candidate is able to:</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70B3C" w:rsidP="00B70B3C">
            <w:pPr>
              <w:pStyle w:val="ListBullet2"/>
            </w:pPr>
            <w:r w:rsidRPr="00B70B3C">
              <w:t>Implement Occupational Health and Safety workplace procedures and practices including the use of risk control measures as specified in the Performance Criteria and range</w:t>
            </w:r>
          </w:p>
          <w:p w:rsidR="00000000" w:rsidRPr="00B70B3C" w:rsidP="00B70B3C">
            <w:pPr>
              <w:pStyle w:val="ListBullet2"/>
            </w:pPr>
            <w:r w:rsidRPr="00B70B3C">
              <w:t>Apply sustainable energy principles and practices as specified in the Performance Crit</w:t>
            </w:r>
            <w:r w:rsidRPr="00B70B3C">
              <w:t>eria and range</w:t>
            </w:r>
          </w:p>
          <w:p w:rsidR="00000000" w:rsidRPr="00B70B3C" w:rsidP="00B70B3C">
            <w:pPr>
              <w:pStyle w:val="ListBullet2"/>
            </w:pPr>
            <w:r w:rsidRPr="00B70B3C">
              <w:t>Demonstrate an understanding of the essential knowledge and associated skills as described in this unit to such an extent that the learner's performance outcome is reported in accordance with the preferred approach; namely a percentile grade</w:t>
            </w:r>
            <w:r w:rsidRPr="00B70B3C">
              <w:t>d result, where required by the regulated environment</w:t>
            </w:r>
          </w:p>
          <w:p w:rsidR="00000000" w:rsidRPr="00B70B3C" w:rsidP="00B70B3C">
            <w:pPr>
              <w:pStyle w:val="ListBullet2"/>
            </w:pPr>
            <w:r w:rsidRPr="00B70B3C">
              <w:t>Demonstrate an appropriate level of skills enabling employment</w:t>
            </w:r>
          </w:p>
          <w:p w:rsidR="00000000" w:rsidP="00B70B3C">
            <w:pPr>
              <w:pStyle w:val="ListBullet2"/>
              <w:rPr>
                <w:lang w:val="en-NZ"/>
              </w:rPr>
            </w:pPr>
            <w:r w:rsidRPr="00B70B3C">
              <w:t>Conduct work observing the relevant anti discrimination legislation, regulations, polices and workplace procedures</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70B3C">
            <w:pPr>
              <w:pStyle w:val="ListBullet2"/>
              <w:rPr>
                <w:lang w:val="en-NZ"/>
              </w:rPr>
            </w:pPr>
            <w:r w:rsidRPr="00B70B3C">
              <w:t>Demonstrate performance across a representative range of contexts from the prescribed items below.</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B70B3C">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rPr>
                <w:rStyle w:val="SpecialBold"/>
              </w:rPr>
              <w:t>Range of tools</w:t>
            </w:r>
            <w:r w:rsidRPr="00B70B3C">
              <w:t>/</w:t>
            </w:r>
            <w:r w:rsidRPr="00B70B3C">
              <w:rPr>
                <w:rStyle w:val="SpecialBold"/>
              </w:rPr>
              <w:t>equipment</w:t>
            </w:r>
            <w:r w:rsidRPr="00B70B3C">
              <w:t>/</w:t>
            </w:r>
            <w:r w:rsidRPr="00B70B3C">
              <w:rPr>
                <w:rStyle w:val="SpecialBold"/>
              </w:rPr>
              <w:t>materials</w:t>
            </w:r>
            <w:r w:rsidRPr="00B70B3C">
              <w:t>/</w:t>
            </w:r>
            <w:r w:rsidRPr="00B70B3C">
              <w:rPr>
                <w:rStyle w:val="SpecialBold"/>
              </w:rPr>
              <w:t>procedures</w:t>
            </w:r>
            <w:r w:rsidRPr="00B70B3C">
              <w:t>/</w:t>
            </w:r>
            <w:r w:rsidRPr="00B70B3C">
              <w:br/>
            </w:r>
            <w:r w:rsidRPr="00B70B3C">
              <w:rPr>
                <w:rStyle w:val="SpecialBold"/>
              </w:rPr>
              <w:t>workplaces</w:t>
            </w:r>
            <w:r w:rsidRPr="00B70B3C">
              <w:t>/</w:t>
            </w:r>
            <w:r w:rsidRPr="00B70B3C">
              <w:rPr>
                <w:rStyle w:val="SpecialBold"/>
              </w:rPr>
              <w:t>other variables</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B70B3C">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rPr>
                <w:rStyle w:val="SpecialBold"/>
              </w:rPr>
              <w:t>Item List</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t>Interpret technical drawings and symbols</w:t>
            </w:r>
          </w:p>
          <w:p w:rsidR="00000000" w:rsidRPr="00B70B3C" w:rsidP="00B70B3C">
            <w:pPr>
              <w:pStyle w:val="BodyText"/>
            </w:pPr>
            <w:r w:rsidRPr="00B70B3C">
              <w:t>Isolate, vent and purge gas pipeline systems</w:t>
            </w:r>
          </w:p>
          <w:p w:rsidR="00000000" w:rsidRPr="00B70B3C" w:rsidP="00B70B3C">
            <w:pPr>
              <w:pStyle w:val="BodyText"/>
            </w:pPr>
            <w:r w:rsidRPr="00B70B3C">
              <w:t>Operation of gas detector</w:t>
            </w:r>
          </w:p>
          <w:p w:rsidR="00000000" w:rsidRPr="00B70B3C" w:rsidP="00B70B3C">
            <w:pPr>
              <w:pStyle w:val="BodyText"/>
            </w:pPr>
            <w:r w:rsidRPr="00B70B3C">
              <w:t>Emergency response procedures</w:t>
            </w:r>
          </w:p>
          <w:p w:rsidR="00000000" w:rsidRPr="00B70B3C" w:rsidP="00B70B3C">
            <w:pPr>
              <w:pStyle w:val="BodyText"/>
            </w:pPr>
            <w:r w:rsidRPr="00B70B3C">
              <w:t>Operate service locator</w:t>
            </w:r>
          </w:p>
          <w:p w:rsidR="00000000" w:rsidP="00B70B3C">
            <w:pPr>
              <w:pStyle w:val="BodyText"/>
              <w:rPr>
                <w:lang w:val="en-NZ"/>
              </w:rPr>
            </w:pPr>
            <w:r w:rsidRPr="00B70B3C">
              <w:t>Use and interpret Dial Before You Dig report or its equivalent</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t>Excavation</w:t>
            </w:r>
          </w:p>
          <w:p w:rsidR="00000000" w:rsidRPr="00B70B3C" w:rsidP="00B70B3C">
            <w:pPr>
              <w:pStyle w:val="BodyText"/>
            </w:pPr>
            <w:r w:rsidRPr="00B70B3C">
              <w:t>Trenching</w:t>
            </w:r>
          </w:p>
          <w:p w:rsidR="00000000" w:rsidRPr="00B70B3C" w:rsidP="00B70B3C">
            <w:pPr>
              <w:pStyle w:val="BodyText"/>
            </w:pPr>
            <w:r w:rsidRPr="00B70B3C">
              <w:t>Stich bore</w:t>
            </w:r>
          </w:p>
          <w:p w:rsidR="00000000" w:rsidRPr="00B70B3C" w:rsidP="00B70B3C">
            <w:pPr>
              <w:pStyle w:val="BodyText"/>
            </w:pPr>
            <w:r w:rsidRPr="00B70B3C">
              <w:t>Horizontal drilling</w:t>
            </w:r>
          </w:p>
          <w:p w:rsidR="00000000" w:rsidP="00B70B3C">
            <w:pPr>
              <w:pStyle w:val="BodyText"/>
              <w:rPr>
                <w:lang w:val="en-NZ"/>
              </w:rPr>
            </w:pPr>
            <w:r w:rsidRPr="00B70B3C">
              <w:t>Directional drilling</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t>Nylon (Polyamide) pipeline laying techniques</w:t>
            </w:r>
          </w:p>
          <w:p w:rsidR="00000000" w:rsidRPr="00B70B3C" w:rsidP="00B70B3C">
            <w:pPr>
              <w:pStyle w:val="BodyText"/>
            </w:pPr>
            <w:r w:rsidRPr="00B70B3C">
              <w:t>Nylon gluing</w:t>
            </w:r>
          </w:p>
          <w:p w:rsidR="00000000" w:rsidRPr="00B70B3C" w:rsidP="00B70B3C">
            <w:pPr>
              <w:pStyle w:val="BodyText"/>
            </w:pPr>
            <w:r w:rsidRPr="00B70B3C">
              <w:t>Connection of Nylon to PE</w:t>
            </w:r>
          </w:p>
          <w:p w:rsidR="00000000" w:rsidP="00B70B3C">
            <w:pPr>
              <w:pStyle w:val="BodyText"/>
              <w:rPr>
                <w:lang w:val="en-NZ"/>
              </w:rPr>
            </w:pPr>
            <w:r w:rsidRPr="00B70B3C">
              <w:t>Practical application of AS3723 'installation and maintenance of plastic pipe systems for gas'</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t>PE pipeline laying techniques</w:t>
            </w:r>
          </w:p>
          <w:p w:rsidR="00000000" w:rsidRPr="00B70B3C" w:rsidP="00B70B3C">
            <w:pPr>
              <w:pStyle w:val="BodyText"/>
            </w:pPr>
            <w:r w:rsidRPr="00B70B3C">
              <w:t>PE Electrofusion</w:t>
            </w:r>
          </w:p>
          <w:p w:rsidR="00000000" w:rsidRPr="00B70B3C" w:rsidP="00B70B3C">
            <w:pPr>
              <w:pStyle w:val="BodyText"/>
            </w:pPr>
            <w:r w:rsidRPr="00B70B3C">
              <w:t>PE Butt Fusion</w:t>
            </w:r>
          </w:p>
          <w:p w:rsidR="00000000" w:rsidRPr="00B70B3C" w:rsidP="00B70B3C">
            <w:pPr>
              <w:pStyle w:val="BodyText"/>
            </w:pPr>
            <w:r w:rsidRPr="00B70B3C">
              <w:t>Compression couplings or flanges</w:t>
            </w:r>
          </w:p>
          <w:p w:rsidR="00000000" w:rsidRPr="00B70B3C" w:rsidP="00B70B3C">
            <w:pPr>
              <w:pStyle w:val="BodyText"/>
            </w:pPr>
            <w:r w:rsidRPr="00B70B3C">
              <w:t>Connection of PE to Nylon</w:t>
            </w:r>
          </w:p>
          <w:p w:rsidR="00000000" w:rsidP="00B70B3C">
            <w:pPr>
              <w:pStyle w:val="BodyText"/>
              <w:rPr>
                <w:lang w:val="en-NZ"/>
              </w:rPr>
            </w:pPr>
            <w:r w:rsidRPr="00B70B3C">
              <w:t>Practical application of AS3723 'installation and maintenance of plastic pipe systems for gas'</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t>UPVC pipeline laying techniques</w:t>
            </w:r>
          </w:p>
          <w:p w:rsidR="00000000" w:rsidRPr="00B70B3C" w:rsidP="00B70B3C">
            <w:pPr>
              <w:pStyle w:val="BodyText"/>
            </w:pPr>
            <w:r w:rsidRPr="00B70B3C">
              <w:t>UPVC solvent cemented joints</w:t>
            </w:r>
          </w:p>
          <w:p w:rsidR="00000000" w:rsidRPr="00B70B3C" w:rsidP="00B70B3C">
            <w:pPr>
              <w:pStyle w:val="BodyText"/>
            </w:pPr>
            <w:r w:rsidRPr="00B70B3C">
              <w:t>UPVC moulded joints</w:t>
            </w:r>
          </w:p>
          <w:p w:rsidR="00000000" w:rsidRPr="00B70B3C" w:rsidP="00B70B3C">
            <w:pPr>
              <w:pStyle w:val="BodyText"/>
            </w:pPr>
            <w:r w:rsidRPr="00B70B3C">
              <w:t xml:space="preserve">UPVC compression couplings or flanges </w:t>
            </w:r>
          </w:p>
          <w:p w:rsidR="00000000" w:rsidRPr="00B70B3C" w:rsidP="00B70B3C">
            <w:pPr>
              <w:pStyle w:val="BodyText"/>
            </w:pPr>
            <w:r w:rsidRPr="00B70B3C">
              <w:t>Connection of UPVC to steel</w:t>
            </w:r>
          </w:p>
          <w:p w:rsidR="00000000" w:rsidP="00B70B3C">
            <w:pPr>
              <w:pStyle w:val="BodyText"/>
              <w:rPr>
                <w:lang w:val="en-NZ"/>
              </w:rPr>
            </w:pPr>
            <w:r w:rsidRPr="00B70B3C">
              <w:t>Practical application of AS3723 'installation and maintenance of plastic pipe systems for gas'</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F</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t>Steel pipeline coating repair</w:t>
            </w:r>
          </w:p>
          <w:p w:rsidR="00000000" w:rsidRPr="00B70B3C" w:rsidP="00B70B3C">
            <w:pPr>
              <w:pStyle w:val="BodyText"/>
            </w:pPr>
            <w:r w:rsidRPr="00B70B3C">
              <w:t>Steel pipeline coating testing (Jeeper)</w:t>
            </w:r>
          </w:p>
          <w:p w:rsidR="00000000" w:rsidP="00B70B3C">
            <w:pPr>
              <w:pStyle w:val="BodyText"/>
              <w:rPr>
                <w:lang w:val="en-NZ"/>
              </w:rPr>
            </w:pPr>
            <w:r w:rsidRPr="00B70B3C">
              <w:t>Steel field joint coating</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G</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t>Connection of PE to Steel mains</w:t>
            </w:r>
          </w:p>
          <w:p w:rsidR="00000000" w:rsidRPr="00B70B3C" w:rsidP="00B70B3C">
            <w:pPr>
              <w:pStyle w:val="BodyText"/>
            </w:pPr>
            <w:r w:rsidRPr="00B70B3C">
              <w:t>Steel mains welding</w:t>
            </w:r>
          </w:p>
          <w:p w:rsidR="00000000" w:rsidRPr="00B70B3C" w:rsidP="00B70B3C">
            <w:pPr>
              <w:pStyle w:val="BodyText"/>
            </w:pPr>
            <w:r w:rsidRPr="00B70B3C">
              <w:t>Steel mains repair</w:t>
            </w:r>
          </w:p>
          <w:p w:rsidR="00000000" w:rsidRPr="00B70B3C" w:rsidP="00B70B3C">
            <w:pPr>
              <w:pStyle w:val="BodyText"/>
            </w:pPr>
            <w:r w:rsidRPr="00B70B3C">
              <w:t>Sleave application</w:t>
            </w:r>
          </w:p>
          <w:p w:rsidR="00000000" w:rsidRPr="00B70B3C" w:rsidP="00B70B3C">
            <w:pPr>
              <w:pStyle w:val="BodyText"/>
            </w:pPr>
            <w:r w:rsidRPr="00B70B3C">
              <w:t>Clamp application</w:t>
            </w:r>
          </w:p>
          <w:p w:rsidR="00000000" w:rsidRPr="00B70B3C" w:rsidP="00B70B3C">
            <w:pPr>
              <w:pStyle w:val="BodyText"/>
            </w:pPr>
            <w:r w:rsidRPr="00B70B3C">
              <w:t xml:space="preserve">Hot tap and stopple </w:t>
            </w:r>
          </w:p>
          <w:p w:rsidR="00000000" w:rsidRPr="00B70B3C" w:rsidP="00B70B3C">
            <w:pPr>
              <w:pStyle w:val="BodyText"/>
            </w:pPr>
            <w:r w:rsidRPr="00B70B3C">
              <w:t>Working knowledge of AS1697</w:t>
            </w:r>
          </w:p>
          <w:p w:rsidR="00000000" w:rsidP="00B70B3C">
            <w:pPr>
              <w:pStyle w:val="BodyText"/>
              <w:rPr>
                <w:lang w:val="en-NZ"/>
              </w:rPr>
            </w:pPr>
            <w:r w:rsidRPr="00B70B3C">
              <w:t xml:space="preserve">Working knowledge of AS2885 </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H</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t>Work utilising relevant OHS legislation, regulations, codes of practice, policies and procedures</w:t>
            </w:r>
          </w:p>
          <w:p w:rsidR="00000000" w:rsidRPr="00B70B3C" w:rsidP="00B70B3C">
            <w:pPr>
              <w:pStyle w:val="BodyText"/>
            </w:pPr>
            <w:r w:rsidRPr="00B70B3C">
              <w:t>Working knowledge of AS2865</w:t>
            </w:r>
          </w:p>
          <w:p w:rsidR="00000000" w:rsidRPr="00B70B3C" w:rsidP="00B70B3C">
            <w:pPr>
              <w:pStyle w:val="BodyText"/>
            </w:pPr>
            <w:r w:rsidRPr="00B70B3C">
              <w:t>Maintain a safe and clean workplace</w:t>
            </w:r>
          </w:p>
          <w:p w:rsidR="00000000" w:rsidRPr="00B70B3C" w:rsidP="00B70B3C">
            <w:pPr>
              <w:pStyle w:val="BodyText"/>
            </w:pPr>
            <w:r w:rsidRPr="00B70B3C">
              <w:t>Work safely with hazardous materials and equipment</w:t>
            </w:r>
          </w:p>
          <w:p w:rsidR="00000000" w:rsidRPr="00B70B3C" w:rsidP="00B70B3C">
            <w:pPr>
              <w:pStyle w:val="BodyText"/>
            </w:pPr>
            <w:r w:rsidRPr="00B70B3C">
              <w:t>Apply safe manual handling techniques</w:t>
            </w:r>
          </w:p>
          <w:p w:rsidR="00000000" w:rsidRPr="00B70B3C" w:rsidP="00B70B3C">
            <w:pPr>
              <w:pStyle w:val="BodyText"/>
            </w:pPr>
            <w:r w:rsidRPr="00B70B3C">
              <w:t>Communicate effectively in the workplace</w:t>
            </w:r>
          </w:p>
          <w:p w:rsidR="00000000" w:rsidP="00B70B3C">
            <w:pPr>
              <w:pStyle w:val="BodyText"/>
              <w:rPr>
                <w:lang w:val="en-NZ"/>
              </w:rPr>
            </w:pPr>
            <w:r w:rsidRPr="00B70B3C">
              <w:t>Apply basic planning skills</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I</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Deal with an unplanned event by drawing on essential knowledge and associated skills to provide appropriate solutions incorporated in the holistic assessment</w:t>
            </w:r>
            <w:r w:rsidRPr="00B70B3C">
              <w:t xml:space="preserve"> with the above listed items </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8</w:t>
            </w:r>
            <w:r w:rsidRPr="00B70B3C">
              <w:t>.</w:t>
            </w:r>
            <w:r w:rsidRPr="00B70B3C">
              <w:rPr>
                <w:rStyle w:val="SpecialBold"/>
              </w:rPr>
              <w:t>3</w:t>
            </w:r>
            <w:r w:rsidRPr="00B70B3C">
              <w:t xml:space="preserve">) </w:t>
            </w:r>
          </w:p>
          <w:p w:rsidR="00000000" w:rsidRPr="00B70B3C" w:rsidP="00B70B3C">
            <w:pPr>
              <w:pStyle w:val="BodyText"/>
            </w:pPr>
            <w:r w:rsidRPr="00B70B3C">
              <w:t>This unit should be assessed as it relates to normal work practice using procedures, information and resources typical of a workplace. This should include:</w:t>
            </w:r>
          </w:p>
          <w:p w:rsidR="00000000" w:rsidRPr="00B70B3C" w:rsidP="00B70B3C">
            <w:pPr>
              <w:pStyle w:val="ListBullet"/>
            </w:pPr>
            <w:r w:rsidRPr="00B70B3C">
              <w:t>OHS policy and work procedures and instructions.</w:t>
            </w:r>
          </w:p>
          <w:p w:rsidR="00000000" w:rsidRPr="00B70B3C" w:rsidP="00B70B3C">
            <w:pPr>
              <w:pStyle w:val="ListBullet"/>
            </w:pPr>
            <w:r w:rsidRPr="00B70B3C">
              <w:t>Suitable work environment, facilities, equipment and materials to undertake actual work as prescribed by this Competency Standard Unit.</w:t>
            </w:r>
          </w:p>
          <w:p w:rsidR="00000000" w:rsidRPr="00B70B3C" w:rsidP="00B70B3C">
            <w:pPr>
              <w:pStyle w:val="ListBullet"/>
            </w:pPr>
            <w:r w:rsidRPr="00B70B3C">
              <w:t>Appropriate environmental regulation and work practices.</w:t>
            </w:r>
          </w:p>
          <w:p w:rsidR="00000000" w:rsidRPr="00B70B3C" w:rsidP="00B70B3C">
            <w:pPr>
              <w:pStyle w:val="ListBullet"/>
            </w:pPr>
            <w:r w:rsidRPr="00B70B3C">
              <w:t>Appropriate or</w:t>
            </w:r>
            <w:r w:rsidRPr="00B70B3C">
              <w:t>ganisational requirements.</w:t>
            </w:r>
          </w:p>
          <w:p w:rsidR="00000000" w:rsidP="00B70B3C">
            <w:pPr>
              <w:pStyle w:val="ListBullet"/>
              <w:rPr>
                <w:lang w:val="en-NZ"/>
              </w:rPr>
            </w:pPr>
            <w:r w:rsidRPr="00B70B3C">
              <w:t>Appropriate work environment, equipment and tools.</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In addition to the resources listed above, in Context of and specific resources for assessment, evidence should show demonstrated competency </w:t>
            </w:r>
            <w:r w:rsidRPr="00B70B3C">
              <w:t xml:space="preserve">in constructing and laying distribution pipelines. </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Assessment of this competency must also be undertaken in either an actual workplace or under a simulated work environment. Assessment must also integrate the key competencies.</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Method of asse</w:t>
            </w:r>
            <w:r w:rsidRPr="00B70B3C">
              <w:rPr>
                <w:rStyle w:val="SpecialBold"/>
              </w:rPr>
              <w:t>ssment</w:t>
            </w:r>
          </w:p>
        </w:tc>
        <w:tc>
          <w:tcPr>
            <w:tcW w:w="6300" w:type="dxa"/>
            <w:gridSpan w:val="6"/>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8</w:t>
            </w:r>
            <w:r w:rsidRPr="00B70B3C">
              <w:t>.</w:t>
            </w:r>
            <w:r w:rsidRPr="00B70B3C">
              <w:rPr>
                <w:rStyle w:val="SpecialBold"/>
              </w:rPr>
              <w:t>4</w:t>
            </w:r>
            <w:r w:rsidRPr="00B70B3C">
              <w:t xml:space="preserve">) </w:t>
            </w:r>
          </w:p>
          <w:p w:rsidR="00000000" w:rsidRPr="00B70B3C" w:rsidP="00B70B3C">
            <w:pPr>
              <w:pStyle w:val="BodyText"/>
            </w:pPr>
            <w:r w:rsidRPr="00B70B3C">
              <w:t>This Competency Standard Unit shall be assessed by methods given in Volume 1, Part 3 'Assessment Guidelines'.</w:t>
            </w:r>
          </w:p>
          <w:p w:rsidR="00000000" w:rsidP="00B70B3C">
            <w:pPr>
              <w:pStyle w:val="BodyText"/>
              <w:rPr>
                <w:lang w:val="en-NZ"/>
              </w:rPr>
            </w:pPr>
            <w:r w:rsidRPr="00B70B3C">
              <w:t>Note:</w:t>
            </w:r>
            <w:r w:rsidRPr="00B70B3C">
              <w:br/>
            </w:r>
            <w:r w:rsidRPr="00B70B3C">
              <w:t>Competent performance with inherent safe working practices is expected in the Industry to which this Competency Standard Unit applies. This requires that the specified Essential Knowledge and Associated Skills are assessed in a structured environment which</w:t>
            </w:r>
            <w:r w:rsidRPr="00B70B3C">
              <w:t xml:space="preserve"> is primarily intended for learning/assessment and incorporates all necessary equipment and facilities for learners to develop and demonstrate the essential knowledge and associated skills described in this unit.</w:t>
            </w:r>
          </w:p>
        </w:tc>
      </w:tr>
      <w:tr w:rsidTr="002165D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Concurrent assessment and relationshi</w:t>
            </w:r>
            <w:r w:rsidRPr="00B70B3C">
              <w:rPr>
                <w:rStyle w:val="SpecialBold"/>
              </w:rPr>
              <w:t>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8</w:t>
            </w:r>
            <w:r w:rsidRPr="00B70B3C">
              <w:t>.</w:t>
            </w:r>
            <w:r w:rsidRPr="00B70B3C">
              <w:rPr>
                <w:rStyle w:val="SpecialBold"/>
              </w:rPr>
              <w:t>5</w:t>
            </w:r>
            <w:r w:rsidRPr="00B70B3C">
              <w:t xml:space="preserve">) </w:t>
            </w:r>
          </w:p>
          <w:p w:rsidR="00000000" w:rsidP="00B70B3C">
            <w:pPr>
              <w:pStyle w:val="BodyText"/>
              <w:rPr>
                <w:lang w:val="en-NZ"/>
              </w:rPr>
            </w:pPr>
            <w:r w:rsidRPr="00B70B3C">
              <w:t>There are no recommended concurrent assessments with this unit, however in some cases efficiencies may be gained in terms of learning and assessment effort being concurrently managed with allied Competency Standard Units where lis</w:t>
            </w:r>
            <w:r w:rsidRPr="00B70B3C">
              <w:t>ted.</w:t>
            </w:r>
          </w:p>
        </w:tc>
      </w:tr>
      <w:tr w:rsidTr="002165D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UEGNSG102A </w:t>
            </w:r>
          </w:p>
        </w:tc>
        <w:tc>
          <w:tcPr>
            <w:tcW w:w="468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Carry out work activities in a utilities industry work environment</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UEGNSG103A </w:t>
            </w:r>
          </w:p>
        </w:tc>
        <w:tc>
          <w:tcPr>
            <w:tcW w:w="468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Comply with workplace OHS procedures and practices </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UEGNSG104A </w:t>
            </w:r>
          </w:p>
        </w:tc>
        <w:tc>
          <w:tcPr>
            <w:tcW w:w="468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Comply with environmental policies and procedures</w:t>
            </w:r>
          </w:p>
        </w:tc>
      </w:tr>
      <w:tr w:rsidTr="002165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 xml:space="preserve">UEGNSG105A </w:t>
            </w:r>
          </w:p>
        </w:tc>
        <w:tc>
          <w:tcPr>
            <w:tcW w:w="4680" w:type="dxa"/>
            <w:gridSpan w:val="3"/>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Establish the work site</w:t>
            </w:r>
          </w:p>
        </w:tc>
      </w:tr>
      <w:tr w:rsidTr="002165D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70B3C" w:rsidP="00B70B3C">
            <w:pPr>
              <w:pStyle w:val="BodyText"/>
            </w:pPr>
            <w:r w:rsidRPr="00B70B3C">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8</w:t>
            </w:r>
            <w:r w:rsidRPr="00B70B3C">
              <w:t>.</w:t>
            </w:r>
            <w:r w:rsidRPr="00B70B3C">
              <w:rPr>
                <w:rStyle w:val="SpecialBold"/>
              </w:rPr>
              <w:t>6</w:t>
            </w:r>
            <w:r w:rsidRPr="00B70B3C">
              <w:t xml:space="preserve">) </w:t>
            </w:r>
          </w:p>
          <w:p w:rsidR="00000000" w:rsidP="00B70B3C">
            <w:pPr>
              <w:pStyle w:val="BodyText"/>
              <w:rPr>
                <w:lang w:val="en-NZ"/>
              </w:rPr>
            </w:pPr>
            <w:r w:rsidRPr="00B70B3C">
              <w:t>Evidence that particular key competencies have been achieved within this Competency Standard Unit is in the context of the following Performance Criteria of evidence. See Volume 2, Part 4 for an explanatio</w:t>
            </w:r>
            <w:r w:rsidRPr="00B70B3C">
              <w:t>n of Key Competencies and levels of this Training Package.</w:t>
            </w:r>
          </w:p>
        </w:tc>
      </w:tr>
      <w:tr w:rsidTr="002165D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rPr>
                <w:rStyle w:val="SpecialBold"/>
              </w:rPr>
              <w:t>Performance Level</w:t>
            </w:r>
          </w:p>
        </w:tc>
      </w:tr>
      <w:tr w:rsidTr="002165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p>
          <w:p w:rsidR="00000000" w:rsidP="00B70B3C">
            <w:pPr>
              <w:pStyle w:val="BodyText"/>
              <w:rPr>
                <w:lang w:val="en-NZ"/>
              </w:rPr>
            </w:pPr>
            <w:r w:rsidRPr="00B70B3C">
              <w:t>1</w:t>
            </w:r>
          </w:p>
        </w:tc>
      </w:tr>
      <w:tr w:rsidTr="002165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1.4;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p>
        </w:tc>
      </w:tr>
      <w:tr w:rsidTr="002165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p>
          <w:p w:rsidR="00000000" w:rsidP="00B70B3C">
            <w:pPr>
              <w:pStyle w:val="BodyText"/>
              <w:rPr>
                <w:lang w:val="en-NZ"/>
              </w:rPr>
            </w:pPr>
            <w:r w:rsidRPr="00B70B3C">
              <w:t>2</w:t>
            </w:r>
          </w:p>
        </w:tc>
      </w:tr>
      <w:tr w:rsidTr="002165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1.5; 2.5;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p>
        </w:tc>
      </w:tr>
      <w:tr w:rsidTr="002165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p>
          <w:p w:rsidR="00000000" w:rsidP="00B70B3C">
            <w:pPr>
              <w:pStyle w:val="BodyText"/>
              <w:rPr>
                <w:lang w:val="en-NZ"/>
              </w:rPr>
            </w:pPr>
            <w:r w:rsidRPr="00B70B3C">
              <w:t>1</w:t>
            </w:r>
          </w:p>
        </w:tc>
      </w:tr>
      <w:tr w:rsidTr="002165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p>
        </w:tc>
      </w:tr>
      <w:tr w:rsidTr="002165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p>
          <w:p w:rsidR="00000000" w:rsidP="00B70B3C">
            <w:pPr>
              <w:pStyle w:val="BodyText"/>
              <w:rPr>
                <w:lang w:val="en-NZ"/>
              </w:rPr>
            </w:pPr>
            <w:r w:rsidRPr="00B70B3C">
              <w:t>2</w:t>
            </w:r>
          </w:p>
        </w:tc>
      </w:tr>
      <w:tr w:rsidTr="002165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p>
        </w:tc>
      </w:tr>
      <w:tr w:rsidTr="002165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p>
          <w:p w:rsidR="00000000" w:rsidP="00B70B3C">
            <w:pPr>
              <w:pStyle w:val="BodyText"/>
              <w:rPr>
                <w:lang w:val="en-NZ"/>
              </w:rPr>
            </w:pPr>
            <w:r w:rsidRPr="00B70B3C">
              <w:t>N/A</w:t>
            </w:r>
          </w:p>
        </w:tc>
      </w:tr>
      <w:tr w:rsidTr="002165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p>
        </w:tc>
      </w:tr>
      <w:tr w:rsidTr="002165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p>
          <w:p w:rsidR="00000000" w:rsidP="00B70B3C">
            <w:pPr>
              <w:pStyle w:val="BodyText"/>
              <w:rPr>
                <w:lang w:val="en-NZ"/>
              </w:rPr>
            </w:pPr>
            <w:r w:rsidRPr="00B70B3C">
              <w:t>N/A</w:t>
            </w:r>
          </w:p>
        </w:tc>
      </w:tr>
      <w:tr w:rsidTr="002165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p>
        </w:tc>
      </w:tr>
      <w:tr w:rsidTr="002165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p>
          <w:p w:rsidR="00000000" w:rsidP="00B70B3C">
            <w:pPr>
              <w:pStyle w:val="BodyText"/>
              <w:rPr>
                <w:lang w:val="en-NZ"/>
              </w:rPr>
            </w:pPr>
            <w:r w:rsidRPr="00B70B3C">
              <w:t>N/A</w:t>
            </w:r>
          </w:p>
        </w:tc>
      </w:tr>
      <w:tr w:rsidTr="002165DD">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65D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65D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70B3C" w:rsidP="00B70B3C">
            <w:pPr>
              <w:pStyle w:val="BodyText"/>
            </w:pPr>
            <w:r w:rsidRPr="00B70B3C">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B70B3C" w:rsidP="00B70B3C">
            <w:pPr>
              <w:pStyle w:val="BodyText"/>
            </w:pPr>
            <w:r w:rsidRPr="00B70B3C">
              <w:rPr>
                <w:rStyle w:val="SpecialBold"/>
              </w:rPr>
              <w:t>8</w:t>
            </w:r>
            <w:r w:rsidRPr="00B70B3C">
              <w:t>.</w:t>
            </w:r>
            <w:r w:rsidRPr="00B70B3C">
              <w:rPr>
                <w:rStyle w:val="SpecialBold"/>
              </w:rPr>
              <w:t>7</w:t>
            </w:r>
            <w:r w:rsidRPr="00B70B3C">
              <w:t xml:space="preserve">) </w:t>
            </w:r>
          </w:p>
          <w:p w:rsidR="00000000" w:rsidP="00B70B3C">
            <w:pPr>
              <w:pStyle w:val="BodyText"/>
              <w:rPr>
                <w:lang w:val="en-NZ"/>
              </w:rPr>
            </w:pPr>
            <w:r w:rsidRPr="00B70B3C">
              <w:t>Evidence</w:t>
            </w:r>
            <w:r w:rsidRPr="00B70B3C">
              <w:t xml:space="preserve"> that competency in this unit incorporates skills enabling employment is in the context of the following performance. See Volume 2, Part 5 for definitions and an explanation of skills enabling employment. </w:t>
            </w:r>
          </w:p>
        </w:tc>
      </w:tr>
      <w:tr w:rsidTr="002165D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rPr>
                <w:rStyle w:val="SpecialBold"/>
              </w:rPr>
              <w:t>Example of Application</w:t>
            </w:r>
          </w:p>
        </w:tc>
      </w:tr>
      <w:tr w:rsidTr="002165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r>
      <w:tr w:rsidTr="002165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All</w:t>
            </w:r>
          </w:p>
        </w:tc>
      </w:tr>
      <w:tr w:rsidTr="002165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r>
      <w:tr w:rsidTr="002165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1.1; 1.5</w:t>
            </w:r>
          </w:p>
        </w:tc>
      </w:tr>
      <w:tr w:rsidTr="002165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r>
      <w:tr w:rsidTr="002165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3.1; 3.6</w:t>
            </w:r>
          </w:p>
        </w:tc>
      </w:tr>
      <w:tr w:rsidTr="002165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r>
      <w:tr w:rsidTr="002165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1.2; 2.5; 2.8; 3.3</w:t>
            </w:r>
          </w:p>
        </w:tc>
      </w:tr>
      <w:tr w:rsidTr="002165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w:t>
            </w:r>
            <w:r w:rsidRPr="00B70B3C">
              <w:t>er to the following Performance Criteria for examples of application:</w:t>
            </w:r>
          </w:p>
        </w:tc>
      </w:tr>
      <w:tr w:rsidTr="002165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1.4; 1.5; 1.7</w:t>
            </w:r>
          </w:p>
        </w:tc>
      </w:tr>
      <w:tr w:rsidTr="002165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3C">
            <w:pPr>
              <w:pStyle w:val="BodyText"/>
              <w:rPr>
                <w:lang w:val="en-NZ"/>
              </w:rPr>
            </w:pPr>
            <w:r w:rsidRPr="00B70B3C">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B3C">
            <w:pPr>
              <w:pStyle w:val="BodyText"/>
              <w:rPr>
                <w:lang w:val="en-NZ"/>
              </w:rPr>
            </w:pPr>
            <w:r w:rsidRPr="00B70B3C">
              <w:t>Refer to the following Performance Criteria for examples of application:</w:t>
            </w:r>
          </w:p>
        </w:tc>
      </w:tr>
      <w:tr w:rsidTr="002165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70B3C" w:rsidP="00B70B3C">
            <w:pPr>
              <w:pStyle w:val="BodyText"/>
            </w:pPr>
            <w:r w:rsidRPr="00B70B3C">
              <w:t>2.6; 2.7</w:t>
            </w:r>
          </w:p>
        </w:tc>
      </w:tr>
    </w:tbl>
    <w:p w:rsidR="002165DD" w:rsidP="00B70B3C">
      <w:pPr>
        <w:pStyle w:val="BodyText"/>
      </w:pPr>
    </w:p>
    <w:p w:rsidR="002165DD" w:rsidP="00B70B3C">
      <w:pPr>
        <w:pStyle w:val="BodyText"/>
      </w:pPr>
    </w:p>
    <w:p w:rsidR="00000000" w:rsidRPr="00B70B3C" w:rsidP="00B70B3C">
      <w:pPr>
        <w:pStyle w:val="Heading1"/>
      </w:pPr>
      <w:bookmarkStart w:id="11" w:name="O_255779"/>
      <w:bookmarkEnd w:id="11"/>
      <w:r w:rsidRPr="00B70B3C">
        <w:t>Range Statement</w:t>
      </w:r>
    </w:p>
    <w:tbl>
      <w:tblPr>
        <w:tblW w:w="0" w:type="auto"/>
        <w:tblLayout w:type="fixed"/>
        <w:tblCellMar>
          <w:left w:w="62" w:type="dxa"/>
          <w:right w:w="62" w:type="dxa"/>
        </w:tblCellMar>
        <w:tblLook w:val="0000"/>
      </w:tblPr>
      <w:tblGrid>
        <w:gridCol w:w="8460"/>
      </w:tblGrid>
      <w:tr w:rsidTr="002165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RANGE STATEMENT</w:t>
            </w:r>
          </w:p>
        </w:tc>
      </w:tr>
      <w:tr w:rsidTr="00216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7</w:t>
            </w:r>
            <w:r w:rsidRPr="00B70B3C">
              <w:t xml:space="preserve">) This relates to the competency standard unit as a whole providing the range of contexts and conditions </w:t>
            </w:r>
            <w:r w:rsidRPr="00B70B3C">
              <w:t>to which the Performance Criteria apply. It allows for different work environments and situations that will affect performance.</w:t>
            </w:r>
          </w:p>
        </w:tc>
      </w:tr>
      <w:tr w:rsidTr="00216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t>This Competency Standard Unit shall/may be demonstrated in relation to the construction and laying of distribution pipelines.</w:t>
            </w:r>
          </w:p>
          <w:p w:rsidR="00000000" w:rsidRPr="00B70B3C" w:rsidP="00B70B3C">
            <w:pPr>
              <w:pStyle w:val="BodyText"/>
            </w:pPr>
            <w:r w:rsidRPr="00B70B3C">
              <w:t>T</w:t>
            </w:r>
            <w:r w:rsidRPr="00B70B3C">
              <w:t>he following constants and variables included in the Element/Performance Criteria in this unit are fully described in the Definitions Section of this volume and form an integral part of the Range Statement of this unit:</w:t>
            </w:r>
          </w:p>
          <w:p w:rsidR="00000000" w:rsidRPr="00B70B3C" w:rsidP="00B70B3C">
            <w:pPr>
              <w:pStyle w:val="BodyText"/>
            </w:pPr>
            <w:r w:rsidRPr="00B70B3C">
              <w:t>Services (2)</w:t>
            </w:r>
          </w:p>
          <w:p w:rsidR="00000000" w:rsidRPr="00B70B3C" w:rsidP="00B70B3C">
            <w:pPr>
              <w:pStyle w:val="BodyText"/>
            </w:pPr>
            <w:r w:rsidRPr="00B70B3C">
              <w:t>Appropriate persons (2)</w:t>
            </w:r>
          </w:p>
          <w:p w:rsidR="00000000" w:rsidRPr="00B70B3C" w:rsidP="00B70B3C">
            <w:pPr>
              <w:pStyle w:val="BodyText"/>
            </w:pPr>
            <w:r w:rsidRPr="00B70B3C">
              <w:t xml:space="preserve">Materials (2) </w:t>
            </w:r>
          </w:p>
          <w:p w:rsidR="00000000" w:rsidRPr="00B70B3C" w:rsidP="00B70B3C">
            <w:pPr>
              <w:pStyle w:val="BodyText"/>
            </w:pPr>
            <w:r w:rsidRPr="00B70B3C">
              <w:t>Tools and equipment (2)</w:t>
            </w:r>
          </w:p>
          <w:p w:rsidR="00000000" w:rsidRPr="00B70B3C" w:rsidP="00B70B3C">
            <w:pPr>
              <w:pStyle w:val="BodyText"/>
            </w:pPr>
            <w:r w:rsidRPr="00B70B3C">
              <w:t>Safe working procedures (2)</w:t>
            </w:r>
          </w:p>
          <w:p w:rsidR="00000000" w:rsidRPr="00B70B3C" w:rsidP="00B70B3C">
            <w:pPr>
              <w:pStyle w:val="BodyText"/>
            </w:pPr>
            <w:r w:rsidRPr="00B70B3C">
              <w:t>Legislative requirements (2)</w:t>
            </w:r>
          </w:p>
        </w:tc>
      </w:tr>
    </w:tbl>
    <w:p w:rsidR="002165DD" w:rsidP="00B70B3C">
      <w:pPr>
        <w:pStyle w:val="BodyText"/>
      </w:pPr>
    </w:p>
    <w:p w:rsidR="002165DD" w:rsidP="00B70B3C">
      <w:pPr>
        <w:pStyle w:val="BodyText"/>
      </w:pPr>
    </w:p>
    <w:p w:rsidR="00000000" w:rsidRPr="00B70B3C" w:rsidP="00B70B3C">
      <w:pPr>
        <w:pStyle w:val="Heading1"/>
      </w:pPr>
      <w:bookmarkStart w:id="12" w:name="O_296792"/>
      <w:bookmarkEnd w:id="12"/>
      <w:r w:rsidRPr="00B70B3C">
        <w:t>Unit Sector(s)</w:t>
      </w:r>
    </w:p>
    <w:p w:rsidR="00000000" w:rsidRPr="00B70B3C" w:rsidP="00B70B3C">
      <w:pPr>
        <w:pStyle w:val="BodyText"/>
      </w:pPr>
      <w:r w:rsidRPr="00B70B3C">
        <w:t>Not Applicable</w:t>
      </w:r>
    </w:p>
    <w:p w:rsidR="00000000" w:rsidRPr="00B70B3C" w:rsidP="00B70B3C">
      <w:pPr>
        <w:pStyle w:val="AllowPageBreak"/>
      </w:pPr>
    </w:p>
    <w:p w:rsidR="00000000" w:rsidRPr="00B70B3C" w:rsidP="00B70B3C">
      <w:pPr>
        <w:pStyle w:val="Heading1"/>
      </w:pPr>
      <w:bookmarkStart w:id="13" w:name="O_229414"/>
      <w:bookmarkEnd w:id="13"/>
      <w:r w:rsidRPr="00B70B3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16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2</w:t>
            </w:r>
            <w:r w:rsidRPr="00B70B3C">
              <w:t>.</w:t>
            </w:r>
            <w:r w:rsidRPr="00B70B3C">
              <w:rPr>
                <w:rStyle w:val="SpecialBold"/>
              </w:rPr>
              <w:t>2</w:t>
            </w:r>
            <w:r w:rsidRPr="00B70B3C">
              <w:t xml:space="preserve">) </w:t>
            </w:r>
          </w:p>
          <w:p w:rsidR="00000000" w:rsidP="00B70B3C">
            <w:pPr>
              <w:pStyle w:val="BodyText"/>
              <w:rPr>
                <w:lang w:val="en-NZ"/>
              </w:rPr>
            </w:pPr>
            <w:r w:rsidRPr="00B70B3C">
              <w:t>Participants are best equipped to achieve this unit if they have reading, writing and numeracy skills indicated by the following scales. Description of each scale is given in Volume 2, Part 3 'Literacy and Numeracy'</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Reading</w:t>
            </w:r>
          </w:p>
        </w:tc>
        <w:tc>
          <w:tcPr>
            <w:tcW w:w="805"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3</w:t>
            </w:r>
          </w:p>
        </w:tc>
        <w:tc>
          <w:tcPr>
            <w:tcW w:w="1184"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Writing</w:t>
            </w:r>
          </w:p>
        </w:tc>
        <w:tc>
          <w:tcPr>
            <w:tcW w:w="805"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3</w:t>
            </w:r>
          </w:p>
        </w:tc>
        <w:tc>
          <w:tcPr>
            <w:tcW w:w="1172"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t>Numeracy</w:t>
            </w:r>
          </w:p>
        </w:tc>
        <w:tc>
          <w:tcPr>
            <w:tcW w:w="805"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t>3</w:t>
            </w:r>
          </w:p>
        </w:tc>
      </w:tr>
    </w:tbl>
    <w:p w:rsidR="002165DD" w:rsidP="00B70B3C">
      <w:pPr>
        <w:pStyle w:val="BodyText"/>
      </w:pPr>
    </w:p>
    <w:p w:rsidR="002165DD" w:rsidP="00B70B3C">
      <w:pPr>
        <w:pStyle w:val="BodyText"/>
      </w:pPr>
    </w:p>
    <w:p w:rsidR="00000000" w:rsidRPr="00B70B3C" w:rsidP="00B70B3C">
      <w:pPr>
        <w:pStyle w:val="Heading1"/>
      </w:pPr>
      <w:bookmarkStart w:id="14" w:name="O_229417"/>
      <w:bookmarkEnd w:id="14"/>
      <w:r w:rsidRPr="00B70B3C">
        <w:t>Competency Field</w:t>
      </w:r>
    </w:p>
    <w:tbl>
      <w:tblPr>
        <w:tblW w:w="0" w:type="auto"/>
        <w:tblLayout w:type="fixed"/>
        <w:tblCellMar>
          <w:left w:w="62" w:type="dxa"/>
          <w:right w:w="62" w:type="dxa"/>
        </w:tblCellMar>
        <w:tblLook w:val="0000"/>
      </w:tblPr>
      <w:tblGrid>
        <w:gridCol w:w="2700"/>
        <w:gridCol w:w="5760"/>
      </w:tblGrid>
      <w:tr w:rsidTr="00216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70B3C">
            <w:pPr>
              <w:pStyle w:val="BodyText"/>
              <w:rPr>
                <w:lang w:val="en-NZ"/>
              </w:rPr>
            </w:pPr>
            <w:r w:rsidRPr="00B70B3C">
              <w:rPr>
                <w:rStyle w:val="SpecialBold"/>
              </w:rPr>
              <w:t>4</w:t>
            </w:r>
            <w:r w:rsidRPr="00B70B3C">
              <w:t xml:space="preserve">) </w:t>
            </w:r>
          </w:p>
        </w:tc>
      </w:tr>
      <w:tr w:rsidTr="00216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0B3C" w:rsidP="00B70B3C">
            <w:pPr>
              <w:pStyle w:val="BodyText"/>
            </w:pPr>
            <w:r w:rsidRPr="00B70B3C">
              <w:t>Distribution.</w:t>
            </w:r>
          </w:p>
        </w:tc>
      </w:tr>
    </w:tbl>
    <w:p w:rsidR="002165DD" w:rsidP="00B70B3C">
      <w:pPr>
        <w:pStyle w:val="BodyText"/>
      </w:pPr>
    </w:p>
    <w:p w:rsidR="002165DD" w:rsidP="00B70B3C">
      <w:pPr>
        <w:pStyle w:val="BodyText"/>
      </w:pPr>
    </w:p>
    <w:p w:rsidR="00000000" w:rsidRPr="00B70B3C" w:rsidP="00B70B3C"/>
    <w:sectPr w:rsidSect="00B70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5DD" w:rsidP="00216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DD" w:rsidP="00B70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165DD" w:rsidP="00B70B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165DD" w:rsidP="00B70B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5DD" w:rsidP="002165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DD" w:rsidP="00B70B3C">
    <w:pPr>
      <w:pStyle w:val="Header"/>
      <w:framePr w:wrap="around"/>
    </w:pPr>
    <w:r>
      <w:fldChar w:fldCharType="begin"/>
    </w:r>
    <w:r>
      <w:instrText xml:space="preserve"> TITLE   \* MERGEFORMAT </w:instrText>
    </w:r>
    <w:r>
      <w:fldChar w:fldCharType="separate"/>
    </w:r>
    <w:r>
      <w:t>UEGNSG202A Construct and lay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65DD" w:rsidP="00B70B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5E8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0E7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702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B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0B3C"/>
    <w:pPr>
      <w:spacing w:before="360" w:after="60"/>
      <w:outlineLvl w:val="0"/>
    </w:pPr>
    <w:rPr>
      <w:sz w:val="32"/>
    </w:rPr>
  </w:style>
  <w:style w:type="paragraph" w:styleId="Heading2">
    <w:name w:val="heading 2"/>
    <w:basedOn w:val="HeadingBase"/>
    <w:next w:val="BodyText"/>
    <w:link w:val="Heading2Char"/>
    <w:qFormat/>
    <w:rsid w:val="00B70B3C"/>
    <w:pPr>
      <w:keepLines/>
      <w:spacing w:before="240" w:after="120"/>
      <w:outlineLvl w:val="1"/>
    </w:pPr>
    <w:rPr>
      <w:sz w:val="28"/>
      <w:szCs w:val="40"/>
    </w:rPr>
  </w:style>
  <w:style w:type="paragraph" w:styleId="Heading3">
    <w:name w:val="heading 3"/>
    <w:basedOn w:val="HeadingBase"/>
    <w:next w:val="BodyText"/>
    <w:link w:val="Heading3Char"/>
    <w:qFormat/>
    <w:rsid w:val="00B70B3C"/>
    <w:pPr>
      <w:spacing w:before="180" w:after="120"/>
      <w:outlineLvl w:val="2"/>
    </w:pPr>
    <w:rPr>
      <w:spacing w:val="-10"/>
      <w:kern w:val="32"/>
    </w:rPr>
  </w:style>
  <w:style w:type="paragraph" w:styleId="Heading4">
    <w:name w:val="heading 4"/>
    <w:basedOn w:val="HeadingBase"/>
    <w:next w:val="BodyText"/>
    <w:link w:val="Heading4Char"/>
    <w:qFormat/>
    <w:rsid w:val="00B70B3C"/>
    <w:pPr>
      <w:spacing w:before="160" w:after="120"/>
      <w:outlineLvl w:val="3"/>
    </w:pPr>
    <w:rPr>
      <w:sz w:val="22"/>
    </w:rPr>
  </w:style>
  <w:style w:type="paragraph" w:styleId="Heading5">
    <w:name w:val="heading 5"/>
    <w:basedOn w:val="HeadingBase"/>
    <w:next w:val="Normal"/>
    <w:link w:val="Heading5Char"/>
    <w:qFormat/>
    <w:rsid w:val="00B70B3C"/>
    <w:pPr>
      <w:spacing w:before="80"/>
      <w:outlineLvl w:val="4"/>
    </w:pPr>
    <w:rPr>
      <w:color w:val="918585"/>
      <w:sz w:val="20"/>
    </w:rPr>
  </w:style>
  <w:style w:type="paragraph" w:styleId="Heading6">
    <w:name w:val="heading 6"/>
    <w:basedOn w:val="HeadingBase"/>
    <w:next w:val="Normal"/>
    <w:link w:val="Heading6Char"/>
    <w:qFormat/>
    <w:rsid w:val="00B70B3C"/>
    <w:pPr>
      <w:spacing w:before="60"/>
      <w:outlineLvl w:val="5"/>
    </w:pPr>
    <w:rPr>
      <w:color w:val="918585"/>
      <w:sz w:val="20"/>
    </w:rPr>
  </w:style>
  <w:style w:type="paragraph" w:styleId="Heading7">
    <w:name w:val="heading 7"/>
    <w:basedOn w:val="Normal"/>
    <w:next w:val="Normal"/>
    <w:link w:val="Heading7Char"/>
    <w:qFormat/>
    <w:rsid w:val="00B70B3C"/>
    <w:pPr>
      <w:ind w:left="720"/>
      <w:outlineLvl w:val="6"/>
    </w:pPr>
    <w:rPr>
      <w:i/>
    </w:rPr>
  </w:style>
  <w:style w:type="paragraph" w:styleId="Heading8">
    <w:name w:val="heading 8"/>
    <w:basedOn w:val="Normal"/>
    <w:next w:val="Normal"/>
    <w:link w:val="Heading8Char"/>
    <w:qFormat/>
    <w:rsid w:val="00B70B3C"/>
    <w:pPr>
      <w:ind w:left="720"/>
      <w:outlineLvl w:val="7"/>
    </w:pPr>
    <w:rPr>
      <w:i/>
    </w:rPr>
  </w:style>
  <w:style w:type="paragraph" w:styleId="Heading9">
    <w:name w:val="heading 9"/>
    <w:basedOn w:val="Normal"/>
    <w:next w:val="Normal"/>
    <w:link w:val="Heading9Char"/>
    <w:qFormat/>
    <w:rsid w:val="00B70B3C"/>
    <w:pPr>
      <w:ind w:left="720"/>
      <w:outlineLvl w:val="8"/>
    </w:pPr>
    <w:rPr>
      <w:i/>
    </w:rPr>
  </w:style>
  <w:style w:type="character" w:default="1" w:styleId="DefaultParagraphFont">
    <w:name w:val="Default Paragraph Font"/>
    <w:uiPriority w:val="1"/>
    <w:unhideWhenUsed/>
    <w:rsid w:val="00B70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B3C"/>
  </w:style>
  <w:style w:type="character" w:customStyle="1" w:styleId="Heading1Char">
    <w:name w:val="Heading 1 Char"/>
    <w:link w:val="Heading1"/>
    <w:rsid w:val="00B70B3C"/>
    <w:rPr>
      <w:rFonts w:ascii="Times New Roman" w:eastAsia="Times New Roman" w:hAnsi="Times New Roman" w:cs="Times New Roman"/>
      <w:b/>
      <w:sz w:val="32"/>
      <w:szCs w:val="20"/>
      <w:lang w:eastAsia="en-US"/>
    </w:rPr>
  </w:style>
  <w:style w:type="paragraph" w:styleId="BodyText">
    <w:name w:val="Body Text"/>
    <w:basedOn w:val="Normal"/>
    <w:link w:val="BodyTextChar"/>
    <w:rsid w:val="00B70B3C"/>
    <w:pPr>
      <w:spacing w:before="120" w:after="120"/>
      <w:contextualSpacing/>
    </w:pPr>
    <w:rPr>
      <w:rFonts w:ascii="Times New Roman" w:hAnsi="Times New Roman"/>
      <w:sz w:val="24"/>
      <w:szCs w:val="22"/>
    </w:rPr>
  </w:style>
  <w:style w:type="character" w:customStyle="1" w:styleId="BodyTextChar">
    <w:name w:val="Body Text Char"/>
    <w:link w:val="BodyText"/>
    <w:rsid w:val="00B70B3C"/>
    <w:rPr>
      <w:rFonts w:ascii="Times New Roman" w:eastAsia="Times New Roman" w:hAnsi="Times New Roman" w:cs="Times New Roman"/>
      <w:sz w:val="24"/>
      <w:lang w:val="en-US" w:eastAsia="en-US"/>
    </w:rPr>
  </w:style>
  <w:style w:type="paragraph" w:styleId="Footer">
    <w:name w:val="footer"/>
    <w:basedOn w:val="Normal"/>
    <w:link w:val="FooterChar"/>
    <w:rsid w:val="00B70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70B3C"/>
    <w:rPr>
      <w:rFonts w:ascii="Times New Roman" w:eastAsia="Times New Roman" w:hAnsi="Times New Roman" w:cs="Times New Roman"/>
      <w:sz w:val="16"/>
      <w:lang w:val="en-US" w:eastAsia="en-US"/>
    </w:rPr>
  </w:style>
  <w:style w:type="paragraph" w:styleId="ListBullet">
    <w:name w:val="List Bullet"/>
    <w:basedOn w:val="List"/>
    <w:rsid w:val="00B70B3C"/>
    <w:pPr>
      <w:numPr>
        <w:numId w:val="13"/>
      </w:numPr>
      <w:tabs>
        <w:tab w:val="clear" w:pos="340"/>
      </w:tabs>
      <w:spacing w:before="40" w:after="40"/>
    </w:pPr>
  </w:style>
  <w:style w:type="character" w:customStyle="1" w:styleId="SpecialBold">
    <w:name w:val="Special Bold"/>
    <w:rsid w:val="00B70B3C"/>
    <w:rPr>
      <w:b/>
      <w:spacing w:val="0"/>
    </w:rPr>
  </w:style>
  <w:style w:type="paragraph" w:styleId="ListBullet2">
    <w:name w:val="List Bullet 2"/>
    <w:basedOn w:val="List2"/>
    <w:rsid w:val="00B70B3C"/>
    <w:pPr>
      <w:numPr>
        <w:numId w:val="14"/>
      </w:numPr>
      <w:tabs>
        <w:tab w:val="clear" w:pos="680"/>
      </w:tabs>
    </w:pPr>
  </w:style>
  <w:style w:type="paragraph" w:styleId="Header">
    <w:name w:val="header"/>
    <w:basedOn w:val="Normal"/>
    <w:link w:val="HeaderChar"/>
    <w:rsid w:val="00B70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70B3C"/>
    <w:rPr>
      <w:rFonts w:ascii="Times New Roman" w:eastAsia="Times New Roman" w:hAnsi="Times New Roman" w:cs="Times New Roman"/>
      <w:sz w:val="16"/>
      <w:szCs w:val="20"/>
      <w:lang w:val="en-GB" w:eastAsia="en-US"/>
    </w:rPr>
  </w:style>
  <w:style w:type="character" w:styleId="Emphasis">
    <w:name w:val="Emphasis"/>
    <w:qFormat/>
    <w:rsid w:val="00B70B3C"/>
    <w:rPr>
      <w:i/>
    </w:rPr>
  </w:style>
  <w:style w:type="paragraph" w:customStyle="1" w:styleId="SuperHeading">
    <w:name w:val="SuperHeading"/>
    <w:basedOn w:val="Normal"/>
    <w:rsid w:val="00B70B3C"/>
    <w:pPr>
      <w:spacing w:before="240" w:after="120"/>
      <w:outlineLvl w:val="0"/>
    </w:pPr>
    <w:rPr>
      <w:rFonts w:ascii="Times New Roman" w:hAnsi="Times New Roman"/>
      <w:b/>
      <w:sz w:val="28"/>
    </w:rPr>
  </w:style>
  <w:style w:type="paragraph" w:customStyle="1" w:styleId="AllowPageBreak">
    <w:name w:val="AllowPageBreak"/>
    <w:rsid w:val="00B70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70B3C"/>
    <w:rPr>
      <w:rFonts w:ascii="Times New Roman" w:eastAsia="Times New Roman" w:hAnsi="Times New Roman" w:cs="Times New Roman"/>
      <w:b/>
      <w:sz w:val="28"/>
      <w:szCs w:val="40"/>
      <w:lang w:eastAsia="en-US"/>
    </w:rPr>
  </w:style>
  <w:style w:type="character" w:customStyle="1" w:styleId="Heading3Char">
    <w:name w:val="Heading 3 Char"/>
    <w:link w:val="Heading3"/>
    <w:rsid w:val="00B70B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70B3C"/>
    <w:rPr>
      <w:rFonts w:ascii="Times New Roman" w:eastAsia="Times New Roman" w:hAnsi="Times New Roman" w:cs="Times New Roman"/>
      <w:b/>
      <w:szCs w:val="20"/>
      <w:lang w:eastAsia="en-US"/>
    </w:rPr>
  </w:style>
  <w:style w:type="character" w:customStyle="1" w:styleId="Heading5Char">
    <w:name w:val="Heading 5 Char"/>
    <w:link w:val="Heading5"/>
    <w:rsid w:val="00B70B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70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B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0B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0B3C"/>
    <w:rPr>
      <w:rFonts w:ascii="Courier New" w:eastAsia="Times New Roman" w:hAnsi="Courier New" w:cs="Times New Roman"/>
      <w:i/>
      <w:szCs w:val="20"/>
      <w:lang w:val="en-US" w:eastAsia="en-US"/>
    </w:rPr>
  </w:style>
  <w:style w:type="paragraph" w:customStyle="1" w:styleId="HeadingBase">
    <w:name w:val="Heading Base"/>
    <w:rsid w:val="00B70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B3C"/>
    <w:pPr>
      <w:tabs>
        <w:tab w:val="right" w:leader="dot" w:pos="9072"/>
      </w:tabs>
      <w:ind w:left="567"/>
    </w:pPr>
    <w:rPr>
      <w:szCs w:val="22"/>
    </w:rPr>
  </w:style>
  <w:style w:type="paragraph" w:customStyle="1" w:styleId="TOCBase">
    <w:name w:val="TOC Base"/>
    <w:rsid w:val="00B70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B3C"/>
    <w:pPr>
      <w:tabs>
        <w:tab w:val="right" w:leader="dot" w:pos="9072"/>
      </w:tabs>
      <w:spacing w:before="40" w:after="40"/>
      <w:ind w:left="284"/>
    </w:pPr>
    <w:rPr>
      <w:rFonts w:ascii="Times New Roman" w:hAnsi="Times New Roman"/>
    </w:rPr>
  </w:style>
  <w:style w:type="paragraph" w:styleId="TOC1">
    <w:name w:val="toc 1"/>
    <w:basedOn w:val="TOCBase"/>
    <w:next w:val="Normal"/>
    <w:rsid w:val="00B70B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0B3C"/>
    <w:pPr>
      <w:spacing w:before="5040"/>
      <w:jc w:val="center"/>
    </w:pPr>
    <w:rPr>
      <w:sz w:val="48"/>
      <w:szCs w:val="72"/>
      <w:lang w:val="en-US"/>
    </w:rPr>
  </w:style>
  <w:style w:type="character" w:customStyle="1" w:styleId="TitleChar">
    <w:name w:val="Title Char"/>
    <w:link w:val="Title"/>
    <w:rsid w:val="00B70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B3C"/>
    <w:pPr>
      <w:tabs>
        <w:tab w:val="left" w:pos="3600"/>
        <w:tab w:val="left" w:pos="3958"/>
      </w:tabs>
    </w:pPr>
  </w:style>
  <w:style w:type="paragraph" w:styleId="List">
    <w:name w:val="List"/>
    <w:basedOn w:val="BodyText"/>
    <w:next w:val="BodyText"/>
    <w:rsid w:val="00B70B3C"/>
    <w:pPr>
      <w:tabs>
        <w:tab w:val="left" w:pos="340"/>
      </w:tabs>
      <w:spacing w:before="60" w:after="60"/>
      <w:ind w:left="340" w:hanging="340"/>
    </w:pPr>
  </w:style>
  <w:style w:type="paragraph" w:customStyle="1" w:styleId="Note">
    <w:name w:val="Note"/>
    <w:basedOn w:val="BodyText"/>
    <w:rsid w:val="00B70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B3C"/>
    <w:pPr>
      <w:framePr w:wrap="auto" w:hAnchor="text" w:y="6049"/>
    </w:pPr>
    <w:rPr>
      <w:color w:val="000000"/>
      <w:sz w:val="40"/>
    </w:rPr>
  </w:style>
  <w:style w:type="paragraph" w:customStyle="1" w:styleId="TOCTitle">
    <w:name w:val="TOCTitle"/>
    <w:basedOn w:val="Heading1"/>
    <w:rsid w:val="00B70B3C"/>
    <w:pPr>
      <w:spacing w:after="240"/>
      <w:jc w:val="center"/>
      <w:outlineLvl w:val="9"/>
    </w:pPr>
    <w:rPr>
      <w:caps/>
    </w:rPr>
  </w:style>
  <w:style w:type="paragraph" w:customStyle="1" w:styleId="Version">
    <w:name w:val="Version"/>
    <w:rsid w:val="00B70B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0B3C"/>
    <w:pPr>
      <w:keepNext w:val="0"/>
      <w:tabs>
        <w:tab w:val="right" w:pos="4176"/>
      </w:tabs>
      <w:ind w:left="198" w:hanging="198"/>
    </w:pPr>
    <w:rPr>
      <w:rFonts w:ascii="Garamond" w:hAnsi="Garamond"/>
    </w:rPr>
  </w:style>
  <w:style w:type="paragraph" w:styleId="IndexHeading">
    <w:name w:val="index heading"/>
    <w:basedOn w:val="Normal"/>
    <w:next w:val="Index1"/>
    <w:semiHidden/>
    <w:rsid w:val="00B70B3C"/>
    <w:pPr>
      <w:spacing w:before="120" w:after="120"/>
    </w:pPr>
    <w:rPr>
      <w:rFonts w:ascii="Arial" w:hAnsi="Arial"/>
      <w:b/>
      <w:color w:val="918585"/>
      <w:sz w:val="24"/>
    </w:rPr>
  </w:style>
  <w:style w:type="paragraph" w:customStyle="1" w:styleId="Chapter">
    <w:name w:val="Chapter"/>
    <w:basedOn w:val="Normal"/>
    <w:rsid w:val="00B70B3C"/>
    <w:pPr>
      <w:spacing w:before="240"/>
    </w:pPr>
    <w:rPr>
      <w:rFonts w:ascii="Times New Roman" w:hAnsi="Times New Roman"/>
      <w:smallCaps/>
      <w:spacing w:val="80"/>
      <w:sz w:val="28"/>
    </w:rPr>
  </w:style>
  <w:style w:type="paragraph" w:customStyle="1" w:styleId="InChapter">
    <w:name w:val="InChapter"/>
    <w:basedOn w:val="Heading3"/>
    <w:rsid w:val="00B70B3C"/>
    <w:pPr>
      <w:spacing w:after="240"/>
      <w:outlineLvl w:val="9"/>
    </w:pPr>
    <w:rPr>
      <w:noProof/>
    </w:rPr>
  </w:style>
  <w:style w:type="paragraph" w:styleId="Index2">
    <w:name w:val="index 2"/>
    <w:basedOn w:val="Normal"/>
    <w:next w:val="Normal"/>
    <w:semiHidden/>
    <w:rsid w:val="00B70B3C"/>
    <w:pPr>
      <w:tabs>
        <w:tab w:val="right" w:pos="4176"/>
      </w:tabs>
      <w:ind w:left="568" w:hanging="284"/>
    </w:pPr>
    <w:rPr>
      <w:rFonts w:ascii="Garamond" w:hAnsi="Garamond"/>
    </w:rPr>
  </w:style>
  <w:style w:type="paragraph" w:customStyle="1" w:styleId="Byline">
    <w:name w:val="Byline"/>
    <w:rsid w:val="00B70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B3C"/>
    <w:pPr>
      <w:tabs>
        <w:tab w:val="clear" w:pos="3600"/>
        <w:tab w:val="clear" w:pos="3958"/>
      </w:tabs>
      <w:jc w:val="right"/>
    </w:pPr>
  </w:style>
  <w:style w:type="paragraph" w:styleId="Caption">
    <w:name w:val="caption"/>
    <w:basedOn w:val="BodyText"/>
    <w:next w:val="Normal"/>
    <w:qFormat/>
    <w:rsid w:val="00B70B3C"/>
    <w:pPr>
      <w:framePr w:w="2268" w:hSpace="181" w:vSpace="181" w:wrap="around" w:vAnchor="text" w:hAnchor="page" w:x="1135" w:y="285" w:anchorLock="1"/>
    </w:pPr>
    <w:rPr>
      <w:i/>
    </w:rPr>
  </w:style>
  <w:style w:type="paragraph" w:customStyle="1" w:styleId="MiniTOCTitle">
    <w:name w:val="MiniTOCTitle"/>
    <w:basedOn w:val="Heading4"/>
    <w:rsid w:val="00B70B3C"/>
    <w:pPr>
      <w:spacing w:before="240"/>
      <w:outlineLvl w:val="9"/>
    </w:pPr>
    <w:rPr>
      <w:noProof/>
      <w:sz w:val="24"/>
    </w:rPr>
  </w:style>
  <w:style w:type="paragraph" w:customStyle="1" w:styleId="MiniTOCItem">
    <w:name w:val="MiniTOCItem"/>
    <w:basedOn w:val="ListBullet"/>
    <w:rsid w:val="00B70B3C"/>
    <w:pPr>
      <w:numPr>
        <w:numId w:val="0"/>
      </w:numPr>
      <w:tabs>
        <w:tab w:val="right" w:leader="dot" w:pos="6521"/>
      </w:tabs>
      <w:spacing w:before="0" w:after="0"/>
    </w:pPr>
  </w:style>
  <w:style w:type="paragraph" w:customStyle="1" w:styleId="TOFTitle">
    <w:name w:val="TOFTitle"/>
    <w:basedOn w:val="TOCTitle"/>
    <w:rsid w:val="00B70B3C"/>
  </w:style>
  <w:style w:type="paragraph" w:styleId="TableofFigures">
    <w:name w:val="table of figures"/>
    <w:basedOn w:val="Normal"/>
    <w:next w:val="Normal"/>
    <w:semiHidden/>
    <w:rsid w:val="00B70B3C"/>
    <w:pPr>
      <w:tabs>
        <w:tab w:val="right" w:leader="dot" w:pos="9072"/>
      </w:tabs>
      <w:ind w:left="970" w:hanging="403"/>
    </w:pPr>
    <w:rPr>
      <w:rFonts w:ascii="Times New Roman" w:hAnsi="Times New Roman"/>
      <w:b/>
    </w:rPr>
  </w:style>
  <w:style w:type="paragraph" w:styleId="ListNumber">
    <w:name w:val="List Number"/>
    <w:basedOn w:val="List"/>
    <w:rsid w:val="00B70B3C"/>
    <w:pPr>
      <w:numPr>
        <w:numId w:val="11"/>
      </w:numPr>
    </w:pPr>
  </w:style>
  <w:style w:type="character" w:customStyle="1" w:styleId="WingdingSymbols">
    <w:name w:val="Wingding Symbols"/>
    <w:rsid w:val="00B70B3C"/>
    <w:rPr>
      <w:rFonts w:ascii="Wingdings" w:hAnsi="Wingdings"/>
    </w:rPr>
  </w:style>
  <w:style w:type="paragraph" w:customStyle="1" w:styleId="TableHeading">
    <w:name w:val="Table Heading"/>
    <w:basedOn w:val="HeadingBase"/>
    <w:rsid w:val="00B70B3C"/>
    <w:pPr>
      <w:keepLines/>
      <w:pBdr>
        <w:bottom w:val="single" w:sz="6" w:space="1" w:color="918585"/>
      </w:pBdr>
      <w:spacing w:before="240"/>
    </w:pPr>
  </w:style>
  <w:style w:type="character" w:customStyle="1" w:styleId="HotSpot">
    <w:name w:val="HotSpot"/>
    <w:rsid w:val="00B70B3C"/>
    <w:rPr>
      <w:color w:val="0033CC"/>
      <w:u w:val="none"/>
    </w:rPr>
  </w:style>
  <w:style w:type="paragraph" w:customStyle="1" w:styleId="BodyTextRight">
    <w:name w:val="Body Text Right"/>
    <w:basedOn w:val="BodyText"/>
    <w:rsid w:val="00B70B3C"/>
    <w:pPr>
      <w:spacing w:before="0" w:after="0"/>
      <w:jc w:val="right"/>
    </w:pPr>
  </w:style>
  <w:style w:type="paragraph" w:styleId="Index3">
    <w:name w:val="index 3"/>
    <w:basedOn w:val="ListNumber2"/>
    <w:next w:val="Normal"/>
    <w:semiHidden/>
    <w:rsid w:val="00B70B3C"/>
    <w:pPr>
      <w:numPr>
        <w:numId w:val="0"/>
      </w:numPr>
      <w:tabs>
        <w:tab w:val="right" w:leader="dot" w:pos="4176"/>
      </w:tabs>
    </w:pPr>
  </w:style>
  <w:style w:type="paragraph" w:styleId="ListNumber2">
    <w:name w:val="List Number 2"/>
    <w:basedOn w:val="List2"/>
    <w:rsid w:val="00B70B3C"/>
    <w:pPr>
      <w:numPr>
        <w:numId w:val="10"/>
      </w:numPr>
      <w:tabs>
        <w:tab w:val="clear" w:pos="1060"/>
      </w:tabs>
    </w:pPr>
  </w:style>
  <w:style w:type="paragraph" w:customStyle="1" w:styleId="MarginNote">
    <w:name w:val="Margin Note"/>
    <w:basedOn w:val="BodyText"/>
    <w:rsid w:val="00B70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70B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0B3C"/>
    <w:rPr>
      <w:sz w:val="32"/>
    </w:rPr>
  </w:style>
  <w:style w:type="paragraph" w:customStyle="1" w:styleId="HeadingProcedure">
    <w:name w:val="Heading Procedure"/>
    <w:basedOn w:val="HeadingBase"/>
    <w:next w:val="Normal"/>
    <w:rsid w:val="00B70B3C"/>
    <w:pPr>
      <w:tabs>
        <w:tab w:val="left" w:pos="0"/>
      </w:tabs>
      <w:spacing w:before="120" w:after="60"/>
    </w:pPr>
    <w:rPr>
      <w:i/>
      <w:color w:val="918585"/>
      <w:sz w:val="22"/>
    </w:rPr>
  </w:style>
  <w:style w:type="paragraph" w:customStyle="1" w:styleId="TableBodyText">
    <w:name w:val="Table Body Text"/>
    <w:basedOn w:val="BodyText"/>
    <w:rsid w:val="00B70B3C"/>
    <w:pPr>
      <w:spacing w:before="60" w:after="60"/>
    </w:pPr>
  </w:style>
  <w:style w:type="paragraph" w:styleId="ListContinue">
    <w:name w:val="List Continue"/>
    <w:basedOn w:val="List"/>
    <w:rsid w:val="00B70B3C"/>
    <w:pPr>
      <w:ind w:firstLine="0"/>
    </w:pPr>
  </w:style>
  <w:style w:type="paragraph" w:customStyle="1" w:styleId="ListNote">
    <w:name w:val="List Note"/>
    <w:basedOn w:val="List"/>
    <w:rsid w:val="00B70B3C"/>
    <w:pPr>
      <w:pBdr>
        <w:top w:val="single" w:sz="6" w:space="2" w:color="918585"/>
        <w:bottom w:val="single" w:sz="6" w:space="2" w:color="918585"/>
      </w:pBdr>
      <w:tabs>
        <w:tab w:val="left" w:pos="1021"/>
      </w:tabs>
      <w:ind w:firstLine="0"/>
    </w:pPr>
  </w:style>
  <w:style w:type="paragraph" w:customStyle="1" w:styleId="Warning">
    <w:name w:val="Warning"/>
    <w:basedOn w:val="BodyText"/>
    <w:rsid w:val="00B70B3C"/>
    <w:pPr>
      <w:shd w:val="clear" w:color="auto" w:fill="D9D9D9"/>
      <w:tabs>
        <w:tab w:val="left" w:pos="992"/>
      </w:tabs>
      <w:ind w:left="119" w:right="119"/>
    </w:pPr>
    <w:rPr>
      <w:sz w:val="20"/>
    </w:rPr>
  </w:style>
  <w:style w:type="paragraph" w:customStyle="1" w:styleId="MarginIcons">
    <w:name w:val="Margin Icons"/>
    <w:basedOn w:val="BodyText"/>
    <w:rsid w:val="00B70B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70B3C"/>
    <w:rPr>
      <w:rFonts w:ascii="Courier New" w:hAnsi="Courier New"/>
    </w:rPr>
  </w:style>
  <w:style w:type="paragraph" w:customStyle="1" w:styleId="NoteBullet">
    <w:name w:val="Note Bullet"/>
    <w:basedOn w:val="Note"/>
    <w:rsid w:val="00B70B3C"/>
    <w:pPr>
      <w:tabs>
        <w:tab w:val="clear" w:pos="680"/>
      </w:tabs>
      <w:spacing w:before="60" w:after="60"/>
    </w:pPr>
  </w:style>
  <w:style w:type="paragraph" w:customStyle="1" w:styleId="SubHeading2">
    <w:name w:val="SubHeading2"/>
    <w:basedOn w:val="HeadingBase"/>
    <w:rsid w:val="00B70B3C"/>
    <w:pPr>
      <w:spacing w:before="240" w:after="60"/>
    </w:pPr>
    <w:rPr>
      <w:sz w:val="20"/>
    </w:rPr>
  </w:style>
  <w:style w:type="paragraph" w:customStyle="1" w:styleId="SubHeading1">
    <w:name w:val="SubHeading1"/>
    <w:basedOn w:val="HeadingBase"/>
    <w:rsid w:val="00B70B3C"/>
    <w:pPr>
      <w:spacing w:before="240" w:after="60"/>
    </w:pPr>
    <w:rPr>
      <w:color w:val="918585"/>
      <w:sz w:val="22"/>
    </w:rPr>
  </w:style>
  <w:style w:type="paragraph" w:customStyle="1" w:styleId="SideHeading">
    <w:name w:val="Side Heading"/>
    <w:basedOn w:val="HeadingBase"/>
    <w:rsid w:val="00B70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B3C"/>
    <w:pPr>
      <w:numPr>
        <w:numId w:val="12"/>
      </w:numPr>
    </w:pPr>
  </w:style>
  <w:style w:type="paragraph" w:styleId="PlainText">
    <w:name w:val="Plain Text"/>
    <w:basedOn w:val="Normal"/>
    <w:link w:val="PlainTextChar"/>
    <w:rsid w:val="00B70B3C"/>
    <w:rPr>
      <w:sz w:val="20"/>
    </w:rPr>
  </w:style>
  <w:style w:type="character" w:customStyle="1" w:styleId="PlainTextChar">
    <w:name w:val="Plain Text Char"/>
    <w:basedOn w:val="DefaultParagraphFont"/>
    <w:link w:val="PlainText"/>
    <w:rsid w:val="00B70B3C"/>
    <w:rPr>
      <w:rFonts w:ascii="Courier New" w:eastAsia="Times New Roman" w:hAnsi="Courier New" w:cs="Times New Roman"/>
      <w:sz w:val="20"/>
      <w:szCs w:val="20"/>
      <w:lang w:val="en-US" w:eastAsia="en-US"/>
    </w:rPr>
  </w:style>
  <w:style w:type="character" w:customStyle="1" w:styleId="MenuOption">
    <w:name w:val="Menu Option"/>
    <w:rsid w:val="00B70B3C"/>
    <w:rPr>
      <w:b/>
      <w:smallCaps/>
    </w:rPr>
  </w:style>
  <w:style w:type="paragraph" w:customStyle="1" w:styleId="TableListNumber">
    <w:name w:val="Table List Number"/>
    <w:basedOn w:val="ListNumber"/>
    <w:rsid w:val="00B70B3C"/>
    <w:pPr>
      <w:numPr>
        <w:numId w:val="0"/>
      </w:numPr>
    </w:pPr>
  </w:style>
  <w:style w:type="paragraph" w:styleId="TOC4">
    <w:name w:val="toc 4"/>
    <w:basedOn w:val="TOCBase"/>
    <w:next w:val="Normal"/>
    <w:semiHidden/>
    <w:rsid w:val="00B70B3C"/>
    <w:pPr>
      <w:tabs>
        <w:tab w:val="right" w:leader="dot" w:pos="9071"/>
      </w:tabs>
      <w:ind w:left="1701"/>
    </w:pPr>
  </w:style>
  <w:style w:type="paragraph" w:customStyle="1" w:styleId="ListAlpha">
    <w:name w:val="List Alpha"/>
    <w:basedOn w:val="List"/>
    <w:rsid w:val="00B70B3C"/>
    <w:pPr>
      <w:numPr>
        <w:numId w:val="9"/>
      </w:numPr>
    </w:pPr>
  </w:style>
  <w:style w:type="paragraph" w:customStyle="1" w:styleId="ListAlpha2">
    <w:name w:val="List Alpha 2"/>
    <w:basedOn w:val="List2"/>
    <w:rsid w:val="00B70B3C"/>
    <w:pPr>
      <w:numPr>
        <w:numId w:val="8"/>
      </w:numPr>
    </w:pPr>
  </w:style>
  <w:style w:type="paragraph" w:styleId="List2">
    <w:name w:val="List 2"/>
    <w:basedOn w:val="BodyText"/>
    <w:rsid w:val="00B70B3C"/>
    <w:pPr>
      <w:tabs>
        <w:tab w:val="left" w:pos="680"/>
      </w:tabs>
      <w:spacing w:before="60" w:after="60"/>
      <w:ind w:left="680" w:hanging="340"/>
    </w:pPr>
  </w:style>
  <w:style w:type="paragraph" w:styleId="List3">
    <w:name w:val="List 3"/>
    <w:basedOn w:val="BodyText"/>
    <w:rsid w:val="00B70B3C"/>
    <w:pPr>
      <w:tabs>
        <w:tab w:val="left" w:pos="1021"/>
      </w:tabs>
      <w:spacing w:before="60" w:after="60"/>
      <w:ind w:left="1020" w:hanging="340"/>
    </w:pPr>
  </w:style>
  <w:style w:type="paragraph" w:styleId="List4">
    <w:name w:val="List 4"/>
    <w:basedOn w:val="BodyText"/>
    <w:rsid w:val="00B70B3C"/>
    <w:pPr>
      <w:tabs>
        <w:tab w:val="left" w:pos="1361"/>
      </w:tabs>
      <w:spacing w:before="60" w:after="60"/>
      <w:ind w:left="1361" w:hanging="340"/>
    </w:pPr>
  </w:style>
  <w:style w:type="paragraph" w:styleId="List5">
    <w:name w:val="List 5"/>
    <w:basedOn w:val="BodyText"/>
    <w:rsid w:val="00B70B3C"/>
    <w:pPr>
      <w:tabs>
        <w:tab w:val="left" w:pos="1701"/>
      </w:tabs>
      <w:spacing w:before="60" w:after="60"/>
      <w:ind w:left="1701" w:hanging="340"/>
    </w:pPr>
  </w:style>
  <w:style w:type="paragraph" w:styleId="ListBullet3">
    <w:name w:val="List Bullet 3"/>
    <w:basedOn w:val="List3"/>
    <w:rsid w:val="00B70B3C"/>
    <w:pPr>
      <w:numPr>
        <w:numId w:val="15"/>
      </w:numPr>
      <w:tabs>
        <w:tab w:val="clear" w:pos="1021"/>
      </w:tabs>
      <w:ind w:left="1037" w:hanging="357"/>
    </w:pPr>
  </w:style>
  <w:style w:type="paragraph" w:styleId="ListBullet4">
    <w:name w:val="List Bullet 4"/>
    <w:basedOn w:val="List4"/>
    <w:rsid w:val="00B70B3C"/>
    <w:pPr>
      <w:numPr>
        <w:numId w:val="3"/>
      </w:numPr>
    </w:pPr>
  </w:style>
  <w:style w:type="paragraph" w:styleId="ListBullet5">
    <w:name w:val="List Bullet 5"/>
    <w:basedOn w:val="List5"/>
    <w:rsid w:val="00B70B3C"/>
    <w:pPr>
      <w:numPr>
        <w:numId w:val="4"/>
      </w:numPr>
    </w:pPr>
  </w:style>
  <w:style w:type="paragraph" w:styleId="ListContinue2">
    <w:name w:val="List Continue 2"/>
    <w:basedOn w:val="List2"/>
    <w:rsid w:val="00B70B3C"/>
    <w:pPr>
      <w:ind w:firstLine="0"/>
    </w:pPr>
  </w:style>
  <w:style w:type="paragraph" w:styleId="ListContinue3">
    <w:name w:val="List Continue 3"/>
    <w:basedOn w:val="List3"/>
    <w:rsid w:val="00B70B3C"/>
    <w:pPr>
      <w:ind w:left="1021" w:firstLine="0"/>
    </w:pPr>
  </w:style>
  <w:style w:type="paragraph" w:styleId="ListContinue4">
    <w:name w:val="List Continue 4"/>
    <w:basedOn w:val="List4"/>
    <w:rsid w:val="00B70B3C"/>
    <w:pPr>
      <w:ind w:firstLine="0"/>
    </w:pPr>
  </w:style>
  <w:style w:type="paragraph" w:styleId="ListContinue5">
    <w:name w:val="List Continue 5"/>
    <w:basedOn w:val="List5"/>
    <w:rsid w:val="00B70B3C"/>
    <w:pPr>
      <w:ind w:firstLine="0"/>
    </w:pPr>
  </w:style>
  <w:style w:type="paragraph" w:styleId="ListNumber3">
    <w:name w:val="List Number 3"/>
    <w:basedOn w:val="List3"/>
    <w:rsid w:val="00B70B3C"/>
    <w:pPr>
      <w:numPr>
        <w:numId w:val="5"/>
      </w:numPr>
    </w:pPr>
  </w:style>
  <w:style w:type="paragraph" w:styleId="ListNumber4">
    <w:name w:val="List Number 4"/>
    <w:basedOn w:val="List4"/>
    <w:rsid w:val="00B70B3C"/>
    <w:pPr>
      <w:numPr>
        <w:numId w:val="6"/>
      </w:numPr>
    </w:pPr>
  </w:style>
  <w:style w:type="paragraph" w:styleId="ListNumber5">
    <w:name w:val="List Number 5"/>
    <w:basedOn w:val="List5"/>
    <w:rsid w:val="00B70B3C"/>
    <w:pPr>
      <w:numPr>
        <w:numId w:val="7"/>
      </w:numPr>
    </w:pPr>
  </w:style>
  <w:style w:type="paragraph" w:styleId="BlockText">
    <w:name w:val="Block Text"/>
    <w:basedOn w:val="Normal"/>
    <w:rsid w:val="00B70B3C"/>
    <w:pPr>
      <w:spacing w:after="120"/>
      <w:ind w:left="1440" w:right="1440"/>
    </w:pPr>
  </w:style>
  <w:style w:type="character" w:customStyle="1" w:styleId="Subscript">
    <w:name w:val="Subscript"/>
    <w:rsid w:val="00B70B3C"/>
    <w:rPr>
      <w:sz w:val="16"/>
      <w:vertAlign w:val="subscript"/>
    </w:rPr>
  </w:style>
  <w:style w:type="character" w:customStyle="1" w:styleId="Superscript">
    <w:name w:val="Superscript"/>
    <w:rsid w:val="00B70B3C"/>
    <w:rPr>
      <w:sz w:val="16"/>
      <w:vertAlign w:val="superscript"/>
    </w:rPr>
  </w:style>
  <w:style w:type="character" w:customStyle="1" w:styleId="Symbols">
    <w:name w:val="Symbols"/>
    <w:rsid w:val="00B70B3C"/>
    <w:rPr>
      <w:rFonts w:ascii="Symbol" w:hAnsi="Symbol"/>
    </w:rPr>
  </w:style>
  <w:style w:type="character" w:customStyle="1" w:styleId="MenuOptions">
    <w:name w:val="Menu Options"/>
    <w:rsid w:val="00B70B3C"/>
    <w:rPr>
      <w:rFonts w:ascii="Arial Narrow" w:hAnsi="Arial Narrow"/>
      <w:smallCaps/>
    </w:rPr>
  </w:style>
  <w:style w:type="character" w:customStyle="1" w:styleId="Buttons">
    <w:name w:val="Buttons"/>
    <w:rsid w:val="00B70B3C"/>
    <w:rPr>
      <w:b/>
    </w:rPr>
  </w:style>
  <w:style w:type="character" w:customStyle="1" w:styleId="Underlined">
    <w:name w:val="Underlined"/>
    <w:rsid w:val="00B70B3C"/>
    <w:rPr>
      <w:u w:val="single"/>
    </w:rPr>
  </w:style>
  <w:style w:type="paragraph" w:customStyle="1" w:styleId="TableBodyTextRight">
    <w:name w:val="Table Body Text Right"/>
    <w:basedOn w:val="TableBodyText"/>
    <w:rsid w:val="00B70B3C"/>
    <w:pPr>
      <w:widowControl w:val="0"/>
      <w:autoSpaceDE w:val="0"/>
      <w:autoSpaceDN w:val="0"/>
      <w:adjustRightInd w:val="0"/>
      <w:jc w:val="right"/>
    </w:pPr>
    <w:rPr>
      <w:rFonts w:cs="Arial"/>
      <w:szCs w:val="18"/>
    </w:rPr>
  </w:style>
  <w:style w:type="paragraph" w:customStyle="1" w:styleId="CopyrightText">
    <w:name w:val="Copyright Text"/>
    <w:basedOn w:val="BodyText"/>
    <w:rsid w:val="00B70B3C"/>
    <w:rPr>
      <w:sz w:val="18"/>
    </w:rPr>
  </w:style>
  <w:style w:type="paragraph" w:customStyle="1" w:styleId="BodySmallRight">
    <w:name w:val="Body Small Right"/>
    <w:basedOn w:val="BodyTextRight"/>
    <w:rsid w:val="00B70B3C"/>
    <w:rPr>
      <w:sz w:val="18"/>
      <w:szCs w:val="18"/>
    </w:rPr>
  </w:style>
  <w:style w:type="paragraph" w:customStyle="1" w:styleId="MarginEdition">
    <w:name w:val="Margin Edition"/>
    <w:basedOn w:val="MarginNote"/>
    <w:rsid w:val="00B70B3C"/>
    <w:pPr>
      <w:spacing w:before="0" w:after="0"/>
    </w:pPr>
    <w:rPr>
      <w:rFonts w:ascii="Times New Roman" w:hAnsi="Times New Roman"/>
      <w:color w:val="999999"/>
    </w:rPr>
  </w:style>
  <w:style w:type="paragraph" w:customStyle="1" w:styleId="Spacer">
    <w:name w:val="Spacer"/>
    <w:basedOn w:val="Normal"/>
    <w:rsid w:val="00B70B3C"/>
    <w:rPr>
      <w:sz w:val="2"/>
      <w:szCs w:val="2"/>
    </w:rPr>
  </w:style>
  <w:style w:type="character" w:customStyle="1" w:styleId="Small">
    <w:name w:val="Small"/>
    <w:rsid w:val="00B70B3C"/>
    <w:rPr>
      <w:sz w:val="16"/>
    </w:rPr>
  </w:style>
  <w:style w:type="paragraph" w:customStyle="1" w:styleId="WideTable">
    <w:name w:val="Wide Table"/>
    <w:basedOn w:val="Normal"/>
    <w:rsid w:val="00B70B3C"/>
    <w:pPr>
      <w:ind w:left="-1418"/>
    </w:pPr>
    <w:rPr>
      <w:sz w:val="2"/>
      <w:szCs w:val="2"/>
    </w:rPr>
  </w:style>
  <w:style w:type="character" w:styleId="PageNumber">
    <w:name w:val="page number"/>
    <w:rsid w:val="00B70B3C"/>
  </w:style>
  <w:style w:type="paragraph" w:styleId="Quote">
    <w:name w:val="Quote"/>
    <w:basedOn w:val="Heading1"/>
    <w:link w:val="QuoteChar"/>
    <w:qFormat/>
    <w:rsid w:val="00B70B3C"/>
    <w:rPr>
      <w:b w:val="0"/>
      <w:sz w:val="72"/>
      <w:szCs w:val="72"/>
      <w:lang w:val="en-NZ"/>
    </w:rPr>
  </w:style>
  <w:style w:type="character" w:customStyle="1" w:styleId="QuoteChar">
    <w:name w:val="Quote Char"/>
    <w:link w:val="Quote"/>
    <w:rsid w:val="00B70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B3C"/>
    <w:pPr>
      <w:pageBreakBefore/>
    </w:pPr>
  </w:style>
  <w:style w:type="paragraph" w:customStyle="1" w:styleId="Border">
    <w:name w:val="Border"/>
    <w:basedOn w:val="Normal"/>
    <w:qFormat/>
    <w:rsid w:val="00B70B3C"/>
    <w:pPr>
      <w:pBdr>
        <w:top w:val="single" w:sz="18" w:space="1" w:color="auto"/>
      </w:pBdr>
    </w:pPr>
    <w:rPr>
      <w:rFonts w:ascii="Times New Roman" w:hAnsi="Times New Roman"/>
      <w:color w:val="FFFFFF"/>
      <w:sz w:val="2"/>
    </w:rPr>
  </w:style>
  <w:style w:type="character" w:styleId="IntenseEmphasis">
    <w:name w:val="Intense Emphasis"/>
    <w:uiPriority w:val="21"/>
    <w:qFormat/>
    <w:rsid w:val="00B70B3C"/>
    <w:rPr>
      <w:b/>
      <w:bCs/>
      <w:i/>
      <w:iCs/>
      <w:color w:val="auto"/>
    </w:rPr>
  </w:style>
  <w:style w:type="paragraph" w:styleId="IntenseQuote">
    <w:name w:val="Intense Quote"/>
    <w:basedOn w:val="Normal"/>
    <w:next w:val="Normal"/>
    <w:link w:val="IntenseQuoteChar"/>
    <w:uiPriority w:val="30"/>
    <w:qFormat/>
    <w:rsid w:val="00B70B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70B3C"/>
    <w:rPr>
      <w:rFonts w:ascii="Courier New" w:eastAsia="Times New Roman" w:hAnsi="Courier New" w:cs="Times New Roman"/>
      <w:b/>
      <w:bCs/>
      <w:i/>
      <w:iCs/>
      <w:szCs w:val="20"/>
      <w:lang w:val="en-US" w:eastAsia="en-US"/>
    </w:rPr>
  </w:style>
  <w:style w:type="character" w:styleId="SubtleReference">
    <w:name w:val="Subtle Reference"/>
    <w:uiPriority w:val="31"/>
    <w:qFormat/>
    <w:rsid w:val="00B70B3C"/>
    <w:rPr>
      <w:smallCaps/>
      <w:color w:val="auto"/>
      <w:u w:val="single"/>
    </w:rPr>
  </w:style>
  <w:style w:type="character" w:styleId="IntenseReference">
    <w:name w:val="Intense Reference"/>
    <w:uiPriority w:val="32"/>
    <w:qFormat/>
    <w:rsid w:val="00B70B3C"/>
    <w:rPr>
      <w:b/>
      <w:bCs/>
      <w:smallCaps/>
      <w:color w:val="auto"/>
      <w:spacing w:val="5"/>
      <w:u w:val="single"/>
    </w:rPr>
  </w:style>
  <w:style w:type="paragraph" w:customStyle="1" w:styleId="2ColumnHeading">
    <w:name w:val="2Column Heading"/>
    <w:basedOn w:val="BodyText"/>
    <w:qFormat/>
    <w:rsid w:val="00B70B3C"/>
    <w:pPr>
      <w:spacing w:after="60"/>
      <w:ind w:left="-2268"/>
    </w:pPr>
    <w:rPr>
      <w:b/>
    </w:rPr>
  </w:style>
  <w:style w:type="paragraph" w:customStyle="1" w:styleId="Heading1TOC">
    <w:name w:val="Heading1 TOC"/>
    <w:basedOn w:val="Normal"/>
    <w:qFormat/>
    <w:rsid w:val="00B70B3C"/>
    <w:pPr>
      <w:spacing w:before="240" w:after="120"/>
    </w:pPr>
    <w:rPr>
      <w:rFonts w:ascii="Times New Roman" w:hAnsi="Times New Roman"/>
      <w:b/>
      <w:sz w:val="32"/>
    </w:rPr>
  </w:style>
  <w:style w:type="paragraph" w:customStyle="1" w:styleId="Heading2TOC">
    <w:name w:val="Heading2 TOC"/>
    <w:basedOn w:val="Normal"/>
    <w:qFormat/>
    <w:rsid w:val="00B70B3C"/>
    <w:pPr>
      <w:spacing w:before="240" w:after="60"/>
    </w:pPr>
    <w:rPr>
      <w:rFonts w:ascii="Times New Roman" w:hAnsi="Times New Roman"/>
      <w:b/>
      <w:sz w:val="28"/>
    </w:rPr>
  </w:style>
  <w:style w:type="character" w:customStyle="1" w:styleId="Underline">
    <w:name w:val="Underline"/>
    <w:qFormat/>
    <w:rsid w:val="00B70B3C"/>
    <w:rPr>
      <w:u w:val="single"/>
    </w:rPr>
  </w:style>
  <w:style w:type="character" w:customStyle="1" w:styleId="BoldandItalics">
    <w:name w:val="Bold and Italics"/>
    <w:qFormat/>
    <w:rsid w:val="00B70B3C"/>
    <w:rPr>
      <w:b/>
      <w:i/>
      <w:u w:val="none"/>
    </w:rPr>
  </w:style>
  <w:style w:type="paragraph" w:styleId="BalloonText">
    <w:name w:val="Balloon Text"/>
    <w:basedOn w:val="Normal"/>
    <w:link w:val="BalloonTextChar"/>
    <w:rsid w:val="00B70B3C"/>
    <w:rPr>
      <w:rFonts w:ascii="Tahoma" w:hAnsi="Tahoma" w:cs="Tahoma"/>
      <w:sz w:val="16"/>
      <w:szCs w:val="16"/>
    </w:rPr>
  </w:style>
  <w:style w:type="character" w:customStyle="1" w:styleId="BalloonTextChar">
    <w:name w:val="Balloon Text Char"/>
    <w:link w:val="BalloonText"/>
    <w:rsid w:val="00B70B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0B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70B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6B5090E2.dotm</Template>
  <TotalTime>0</TotalTime>
  <Pages>14</Pages>
  <Words>2941</Words>
  <Characters>17195</Characters>
  <Application>Microsoft Office Word</Application>
  <DocSecurity>0</DocSecurity>
  <Lines>890</Lines>
  <Paragraphs>384</Paragraphs>
  <ScaleCrop>false</ScaleCrop>
  <Company>Author-it Software Corporation Ltd.</Company>
  <LinksUpToDate>false</LinksUpToDate>
  <CharactersWithSpaces>19797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UEGNSG202A Construct and lay distribution pipelines</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2012-05-26T22:03:00Z</dcterms:created>
  <dcterms:modified xsi:type="dcterms:W3CDTF">2012-05-26T22:03:00Z</dcterms:modified>
</cp:coreProperties>
</file>