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81A" w:rsidP="00C4781A">
      <w:pPr>
        <w:pStyle w:val="Title"/>
      </w:pPr>
      <w:r>
        <w:fldChar w:fldCharType="begin"/>
      </w:r>
      <w:r>
        <w:instrText xml:space="preserve"> TITLE   \* MERGEFORMAT </w:instrText>
      </w:r>
      <w:r>
        <w:fldChar w:fldCharType="separate"/>
      </w:r>
      <w:r>
        <w:t>UEGNSG123A Manage financial resources in Gas Industry facility</w:t>
      </w:r>
      <w:r>
        <w:fldChar w:fldCharType="end"/>
      </w:r>
    </w:p>
    <w:p w:rsidR="00C4781A" w:rsidP="00C4781A">
      <w:pPr>
        <w:pStyle w:val="Version"/>
        <w:sectPr w:rsidSect="000A2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CB0" w:rsidP="000A2CB0">
      <w:pPr>
        <w:pStyle w:val="SuperHeading"/>
      </w:pPr>
      <w:r w:rsidRPr="000A2CB0">
        <w:t>UEGNSG123A Manage financial resources in Gas Industry facility</w:t>
      </w:r>
    </w:p>
    <w:p w:rsidR="00000000" w:rsidRPr="000A2CB0" w:rsidP="000A2CB0">
      <w:pPr>
        <w:pStyle w:val="Heading1"/>
      </w:pPr>
      <w:bookmarkStart w:id="1" w:name="O_275095"/>
      <w:bookmarkEnd w:id="1"/>
      <w:r w:rsidRPr="000A2CB0">
        <w:t>Modification History</w:t>
      </w:r>
    </w:p>
    <w:p w:rsidR="00000000" w:rsidRPr="000A2CB0" w:rsidP="000A2CB0">
      <w:pPr>
        <w:pStyle w:val="BodyText"/>
      </w:pPr>
      <w:r w:rsidRPr="000A2CB0">
        <w:t>Not Applicable</w:t>
      </w:r>
    </w:p>
    <w:p w:rsidR="00000000" w:rsidRPr="000A2CB0" w:rsidP="000A2CB0">
      <w:pPr>
        <w:pStyle w:val="AllowPageBreak"/>
      </w:pPr>
    </w:p>
    <w:p w:rsidR="00000000" w:rsidRPr="000A2CB0" w:rsidP="000A2CB0">
      <w:pPr>
        <w:pStyle w:val="Heading1"/>
      </w:pPr>
      <w:bookmarkStart w:id="2" w:name="O_229394"/>
      <w:bookmarkEnd w:id="2"/>
      <w:r w:rsidRPr="000A2CB0">
        <w:t>Unit Descriptor</w:t>
      </w:r>
    </w:p>
    <w:tbl>
      <w:tblPr>
        <w:tblW w:w="0" w:type="auto"/>
        <w:tblLayout w:type="fixed"/>
        <w:tblCellMar>
          <w:left w:w="62" w:type="dxa"/>
          <w:right w:w="62" w:type="dxa"/>
        </w:tblCellMar>
        <w:tblLook w:val="0000"/>
      </w:tblPr>
      <w:tblGrid>
        <w:gridCol w:w="2700"/>
        <w:gridCol w:w="5760"/>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1</w:t>
            </w:r>
            <w:r w:rsidRPr="000A2CB0">
              <w:t>)</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This Unit covers the requirements to manage financial resources to achieve organisational and operational objectives. This competency standard refers to Budget formats; Operating budget; Policy; Financial reports; Management information systems.</w:t>
            </w:r>
          </w:p>
        </w:tc>
      </w:tr>
    </w:tbl>
    <w:p w:rsidR="00C4781A" w:rsidP="000A2CB0">
      <w:pPr>
        <w:pStyle w:val="BodyText"/>
      </w:pPr>
    </w:p>
    <w:p w:rsidR="00C4781A" w:rsidP="000A2CB0">
      <w:pPr>
        <w:pStyle w:val="BodyText"/>
      </w:pPr>
    </w:p>
    <w:p w:rsidR="00000000" w:rsidRPr="000A2CB0" w:rsidP="000A2CB0">
      <w:pPr>
        <w:pStyle w:val="Heading1"/>
      </w:pPr>
      <w:bookmarkStart w:id="3" w:name="O_229397"/>
      <w:bookmarkEnd w:id="3"/>
      <w:r w:rsidRPr="000A2CB0">
        <w:t>Application of the Unit</w:t>
      </w:r>
    </w:p>
    <w:tbl>
      <w:tblPr>
        <w:tblW w:w="0" w:type="auto"/>
        <w:tblLayout w:type="fixed"/>
        <w:tblCellMar>
          <w:left w:w="62" w:type="dxa"/>
          <w:right w:w="62" w:type="dxa"/>
        </w:tblCellMar>
        <w:tblLook w:val="0000"/>
      </w:tblPr>
      <w:tblGrid>
        <w:gridCol w:w="2700"/>
        <w:gridCol w:w="5760"/>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3</w:t>
            </w:r>
            <w:r w:rsidRPr="000A2CB0">
              <w:t xml:space="preserve">) </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This competency standard shall apply to any basic and safe work site where Gas Industry operations occur. It could also apply, where applicable to other workplaces in the electricity supply in</w:t>
            </w:r>
            <w:r w:rsidRPr="000A2CB0">
              <w:t>dustry (transmission and distribution and generation), the electrotechnology industry and the water industry, subject to all Occupational Health and Safety and duty of care requirements being met for the workplace.</w:t>
            </w:r>
          </w:p>
        </w:tc>
      </w:tr>
    </w:tbl>
    <w:p w:rsidR="00C4781A" w:rsidP="000A2CB0">
      <w:pPr>
        <w:pStyle w:val="BodyText"/>
      </w:pPr>
    </w:p>
    <w:p w:rsidR="00C4781A" w:rsidP="000A2CB0">
      <w:pPr>
        <w:pStyle w:val="BodyText"/>
      </w:pPr>
    </w:p>
    <w:p w:rsidR="00000000" w:rsidRPr="000A2CB0" w:rsidP="000A2CB0">
      <w:pPr>
        <w:pStyle w:val="Heading1"/>
      </w:pPr>
      <w:bookmarkStart w:id="4" w:name="O_229398"/>
      <w:bookmarkEnd w:id="4"/>
      <w:r w:rsidRPr="000A2CB0">
        <w:t>Licensing/Regulatory Information</w:t>
      </w:r>
    </w:p>
    <w:tbl>
      <w:tblPr>
        <w:tblW w:w="0" w:type="auto"/>
        <w:tblLayout w:type="fixed"/>
        <w:tblCellMar>
          <w:left w:w="62" w:type="dxa"/>
          <w:right w:w="62" w:type="dxa"/>
        </w:tblCellMar>
        <w:tblLook w:val="0000"/>
      </w:tblPr>
      <w:tblGrid>
        <w:gridCol w:w="2700"/>
        <w:gridCol w:w="5760"/>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3</w:t>
            </w:r>
            <w:r w:rsidRPr="000A2CB0">
              <w:t>.</w:t>
            </w:r>
            <w:r w:rsidRPr="000A2CB0">
              <w:rPr>
                <w:rStyle w:val="SpecialBold"/>
              </w:rPr>
              <w:t>1</w:t>
            </w:r>
            <w:r w:rsidRPr="000A2CB0">
              <w:t xml:space="preserve">) </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The skills and knowledge described in this unit are not subject to licence regulation other than those directly related to Occupational Health and Safety, gas/electricity/water industry safety an</w:t>
            </w:r>
            <w:r w:rsidRPr="000A2CB0">
              <w:t xml:space="preserve">d compliance, industrial relations, environmental protection, telecommunications, anti discrimination and training. Commonwealth, State/Territory or Local Government </w:t>
            </w:r>
            <w:r w:rsidRPr="000A2CB0">
              <w:t>legislation and regulations may exist that limit the age at which a person can operate cer</w:t>
            </w:r>
            <w:r w:rsidRPr="000A2CB0">
              <w:t>tain equipment.</w:t>
            </w:r>
          </w:p>
        </w:tc>
      </w:tr>
    </w:tbl>
    <w:p w:rsidR="00C4781A" w:rsidP="000A2CB0">
      <w:pPr>
        <w:pStyle w:val="BodyText"/>
      </w:pPr>
    </w:p>
    <w:p w:rsidR="00C4781A" w:rsidP="000A2CB0">
      <w:pPr>
        <w:pStyle w:val="BodyText"/>
      </w:pPr>
    </w:p>
    <w:p w:rsidR="00000000" w:rsidRPr="000A2CB0" w:rsidP="000A2CB0">
      <w:pPr>
        <w:pStyle w:val="Heading1"/>
      </w:pPr>
      <w:bookmarkStart w:id="5" w:name="O_229395"/>
      <w:bookmarkEnd w:id="5"/>
      <w:r w:rsidRPr="000A2CB0">
        <w:t>Pre-Requisites</w:t>
      </w:r>
    </w:p>
    <w:tbl>
      <w:tblPr>
        <w:tblW w:w="0" w:type="auto"/>
        <w:tblLayout w:type="fixed"/>
        <w:tblCellMar>
          <w:left w:w="62" w:type="dxa"/>
          <w:right w:w="62" w:type="dxa"/>
        </w:tblCellMar>
        <w:tblLook w:val="0000"/>
      </w:tblPr>
      <w:tblGrid>
        <w:gridCol w:w="2700"/>
        <w:gridCol w:w="1800"/>
        <w:gridCol w:w="3960"/>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Prerequisite Unit</w:t>
            </w:r>
            <w:r w:rsidRPr="000A2CB0">
              <w:t>(</w:t>
            </w:r>
            <w:r w:rsidRPr="000A2CB0">
              <w:rPr>
                <w:rStyle w:val="SpecialBold"/>
              </w:rPr>
              <w:t>s</w:t>
            </w:r>
            <w:r w:rsidRPr="000A2CB0">
              <w:t>)</w:t>
            </w:r>
          </w:p>
        </w:tc>
        <w:tc>
          <w:tcPr>
            <w:tcW w:w="57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2</w:t>
            </w:r>
            <w:r w:rsidRPr="000A2CB0">
              <w:t xml:space="preserve">) </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2</w:t>
            </w:r>
            <w:r w:rsidRPr="000A2CB0">
              <w:t>.</w:t>
            </w:r>
            <w:r w:rsidRPr="000A2CB0">
              <w:rPr>
                <w:rStyle w:val="SpecialBold"/>
              </w:rPr>
              <w:t>1</w:t>
            </w:r>
            <w:r w:rsidRPr="000A2CB0">
              <w:t xml:space="preserve">) </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Granting of competency in this unit shall be made only after competency in the following unit(s) has/have been confirmed:</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Nil</w:t>
            </w:r>
          </w:p>
        </w:tc>
        <w:tc>
          <w:tcPr>
            <w:tcW w:w="3960" w:type="dxa"/>
            <w:tcBorders>
              <w:top w:val="nil"/>
              <w:left w:val="nil"/>
              <w:bottom w:val="nil"/>
              <w:right w:val="nil"/>
            </w:tcBorders>
            <w:tcMar>
              <w:top w:w="0" w:type="dxa"/>
              <w:left w:w="62" w:type="dxa"/>
              <w:bottom w:w="0" w:type="dxa"/>
              <w:right w:w="62" w:type="dxa"/>
            </w:tcMar>
          </w:tcPr>
          <w:p w:rsidR="00000000" w:rsidRPr="000A2CB0" w:rsidP="000A2CB0">
            <w:pPr>
              <w:pStyle w:val="BodyText"/>
            </w:pPr>
          </w:p>
        </w:tc>
      </w:tr>
    </w:tbl>
    <w:p w:rsidR="00C4781A" w:rsidP="000A2CB0">
      <w:pPr>
        <w:pStyle w:val="BodyText"/>
      </w:pPr>
    </w:p>
    <w:p w:rsidR="00C4781A" w:rsidP="000A2CB0">
      <w:pPr>
        <w:pStyle w:val="BodyText"/>
      </w:pPr>
    </w:p>
    <w:p w:rsidR="00000000" w:rsidRPr="000A2CB0" w:rsidP="000A2CB0">
      <w:pPr>
        <w:pStyle w:val="Heading1"/>
      </w:pPr>
      <w:bookmarkStart w:id="6" w:name="O_285344"/>
      <w:bookmarkEnd w:id="6"/>
      <w:r w:rsidRPr="000A2CB0">
        <w:t>Employability Skills Information</w:t>
      </w:r>
    </w:p>
    <w:p w:rsidR="00000000" w:rsidRPr="000A2CB0" w:rsidP="000A2CB0">
      <w:pPr>
        <w:pStyle w:val="BodyText"/>
      </w:pPr>
      <w:r w:rsidRPr="000A2CB0">
        <w:t>Refer to the Evidence Guide</w:t>
      </w:r>
    </w:p>
    <w:p w:rsidR="00000000" w:rsidRPr="000A2CB0" w:rsidP="000A2CB0">
      <w:pPr>
        <w:pStyle w:val="AllowPageBreak"/>
      </w:pPr>
    </w:p>
    <w:p w:rsidR="00000000" w:rsidRPr="000A2CB0" w:rsidP="000A2CB0">
      <w:pPr>
        <w:pStyle w:val="Heading1"/>
      </w:pPr>
      <w:bookmarkStart w:id="7" w:name="O_293141"/>
      <w:bookmarkEnd w:id="7"/>
      <w:r w:rsidRPr="000A2CB0">
        <w:t>Elements and Performance Criteria Pre-Content</w:t>
      </w:r>
    </w:p>
    <w:tbl>
      <w:tblPr>
        <w:tblW w:w="0" w:type="auto"/>
        <w:tblLayout w:type="fixed"/>
        <w:tblCellMar>
          <w:left w:w="62" w:type="dxa"/>
          <w:right w:w="62" w:type="dxa"/>
        </w:tblCellMar>
        <w:tblLook w:val="0000"/>
      </w:tblPr>
      <w:tblGrid>
        <w:gridCol w:w="2700"/>
        <w:gridCol w:w="5760"/>
      </w:tblGrid>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5</w:t>
            </w:r>
            <w:r w:rsidRPr="000A2CB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Performance Criteria describe the required performance nee</w:t>
            </w:r>
            <w:r w:rsidRPr="000A2CB0">
              <w:t>ded to demonstrate achievement of the element. Assessment of performance is to be consistent with the evidence guide.</w:t>
            </w:r>
          </w:p>
        </w:tc>
      </w:tr>
    </w:tbl>
    <w:p w:rsidR="00000000" w:rsidRPr="000A2CB0" w:rsidP="000A2CB0">
      <w:pPr>
        <w:pStyle w:val="BodyText"/>
      </w:pPr>
    </w:p>
    <w:p w:rsidR="00000000" w:rsidRPr="000A2CB0" w:rsidP="000A2CB0">
      <w:pPr>
        <w:pStyle w:val="AllowPageBreak"/>
      </w:pPr>
    </w:p>
    <w:p w:rsidR="00000000" w:rsidRPr="000A2CB0" w:rsidP="000A2CB0">
      <w:pPr>
        <w:pStyle w:val="Heading1"/>
      </w:pPr>
      <w:bookmarkStart w:id="8" w:name="O_239809"/>
      <w:bookmarkEnd w:id="8"/>
      <w:r w:rsidRPr="000A2CB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478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PERFORMANCE CRITERIA</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w:t>
            </w:r>
          </w:p>
        </w:tc>
        <w:tc>
          <w:tcPr>
            <w:tcW w:w="2296" w:type="dxa"/>
            <w:vMerge w:val="restart"/>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Develop a budget</w:t>
            </w: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1.1</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Budget format is determined and consistent with organisational guidelines and procedures, cost elements are identified and quantified and cost benefit analyses are prepared for major cost items in accordance with the organisations policy and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1.2</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Sub-budgets prepared by other staff are coordinated in order that desired objectives are achieved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1.3</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Organisational established procedures on policies and specifications are obtained or established with the appropriate persons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1.4</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Testing parameters are established from organisational established procedures on policies and specifications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1.5</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Testing procedures are discussed with appropriate persons in order to ascertain the project brief</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1.6</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Cost benefit analysis are prepared for major cost items in accordance with the organisation's policy and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1.7</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Work roles and tasks are allocated according to requirements and individual's competencies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1.8</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Work is prioritised and sequenced f</w:t>
            </w:r>
            <w:r w:rsidRPr="000A2CB0">
              <w:t xml:space="preserve">or the most effective outcome, completed within an acceptable timeframe to a quality standard and in accordance with established procedures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1.9</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Sub-budgets prepared by other staff are coordinated in order that desired objectives are achieved</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1.10</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Liaison and communication issues with authorised persons, authorities and resolved and activities coordinated to carry out work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1.11</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Risk control measures are identified, prioritised and evaluated against the work schedule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w:t>
            </w:r>
          </w:p>
        </w:tc>
        <w:tc>
          <w:tcPr>
            <w:tcW w:w="2296"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Allocate, authorise and monitor expenditure</w:t>
            </w: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2.1</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Financial resources are allocated as agreed in the operational plan and is monitored to ensure that expenditure management meets the financial accountability requirements of the organisation</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2.2</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Supply and</w:t>
            </w:r>
            <w:r w:rsidRPr="000A2CB0">
              <w:t xml:space="preserve"> expenditure processes are performed in accordance with corporate governance and organisational protocols and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2.3</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Mathematical models are used to analyse the financial reports as per requirements and established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2.4</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Sub-budgets </w:t>
            </w:r>
            <w:r w:rsidRPr="000A2CB0">
              <w:t>and financial allocation is continually monitored against organisational objectives and priorities ensuring optimum service delivery</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2.5</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Essential Knowledge and Associated Skills are applied to analyse specific data and compare it with compliance specifications to ensure completion of the project within an agreed timeframe according to requirements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2.6</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Re-allocation of resources is under</w:t>
            </w:r>
            <w:r w:rsidRPr="000A2CB0">
              <w:t>taken taking into account of enterprises needs and priorities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2.7</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Work teams are arranged to ensure planned goals are met according to established procedures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2.8</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Solutions to</w:t>
            </w:r>
            <w:r w:rsidRPr="000A2CB0">
              <w:t xml:space="preserve"> non-routine problems are identified and actioned, using acquired Essential Knowledge and Associated Skills, according to requirements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2.9</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Quality of work is monitored against personal performance agreement and established organisational and profession</w:t>
            </w:r>
            <w:r w:rsidRPr="000A2CB0">
              <w:t>al standards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2.10</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Strategic plans are developed incorporating organisation initiatives as per established procedures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w:t>
            </w:r>
          </w:p>
        </w:tc>
        <w:tc>
          <w:tcPr>
            <w:tcW w:w="2296"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Utilise relevant financial management information systems and review budget </w:t>
            </w: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3.1</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Management information systems are used for plannin</w:t>
            </w:r>
            <w:r w:rsidRPr="000A2CB0">
              <w:t>g, implementing and monitoring the use of financial resources in accordance with company policies and established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management</w:t>
            </w: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3.2</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Management information system reports are produced, verified and interpreted </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3.3</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Management of budget is reviewed in accordance with company policies and established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3.4</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Management of budget is reported in accordance with company policies and established procedures</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3.5</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Appropriate persons are notified of completion and</w:t>
            </w:r>
            <w:r w:rsidRPr="000A2CB0">
              <w:t xml:space="preserve"> reports and completion documents are finalised.</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3.6</w:t>
            </w:r>
          </w:p>
        </w:tc>
        <w:tc>
          <w:tcPr>
            <w:tcW w:w="48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Reports and completion documents are submitted to relevant persons for approval and where applicable, statutory or regulatory approval</w:t>
            </w:r>
          </w:p>
        </w:tc>
      </w:tr>
      <w:tr w:rsidTr="00C478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3.7</w:t>
            </w:r>
          </w:p>
        </w:tc>
        <w:tc>
          <w:tcPr>
            <w:tcW w:w="48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Approved copies of documents are issued and records are updated in accordance with established procedures</w:t>
            </w:r>
          </w:p>
        </w:tc>
      </w:tr>
    </w:tbl>
    <w:p w:rsidR="00C4781A" w:rsidP="000A2CB0">
      <w:pPr>
        <w:pStyle w:val="BodyText"/>
      </w:pPr>
    </w:p>
    <w:p w:rsidR="00C4781A" w:rsidP="000A2CB0">
      <w:pPr>
        <w:pStyle w:val="BodyText"/>
      </w:pPr>
    </w:p>
    <w:p w:rsidR="00000000" w:rsidRPr="000A2CB0" w:rsidP="000A2CB0">
      <w:pPr>
        <w:pStyle w:val="Heading1"/>
      </w:pPr>
      <w:bookmarkStart w:id="9" w:name="O_263600"/>
      <w:bookmarkEnd w:id="9"/>
      <w:r w:rsidRPr="000A2CB0">
        <w:t>Required Skills and Knowledge</w:t>
      </w:r>
    </w:p>
    <w:tbl>
      <w:tblPr>
        <w:tblW w:w="0" w:type="auto"/>
        <w:tblLayout w:type="fixed"/>
        <w:tblCellMar>
          <w:left w:w="62" w:type="dxa"/>
          <w:right w:w="62" w:type="dxa"/>
        </w:tblCellMar>
        <w:tblLook w:val="0000"/>
      </w:tblPr>
      <w:tblGrid>
        <w:gridCol w:w="2700"/>
        <w:gridCol w:w="1080"/>
        <w:gridCol w:w="4680"/>
      </w:tblGrid>
      <w:tr w:rsidTr="00C4781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REQUIRED SKILLS AND KNOWLEDGE</w:t>
            </w:r>
          </w:p>
        </w:tc>
      </w:tr>
      <w:tr w:rsidTr="00C478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6</w:t>
            </w:r>
            <w:r w:rsidRPr="000A2CB0">
              <w:t>) This describes the essential skills and knowledge and their level, required for this unit.</w:t>
            </w:r>
          </w:p>
        </w:tc>
      </w:tr>
      <w:tr w:rsidTr="00C478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Evidence shall show that knowledge has been acquired of working practices for managing financial resources in a Gas Industry facility. The extent of the essenti</w:t>
            </w:r>
            <w:r w:rsidRPr="000A2CB0">
              <w:t>al knowledge and associated skills (EKAS) required is given in Volume 2 - Part 2.2 EKAS.  It forms an integral part of this unit.</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G 6.1.9</w:t>
            </w:r>
          </w:p>
        </w:tc>
        <w:tc>
          <w:tcPr>
            <w:tcW w:w="468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Financial management for Gas Industry supervisors</w:t>
            </w:r>
          </w:p>
        </w:tc>
      </w:tr>
    </w:tbl>
    <w:p w:rsidR="00C4781A" w:rsidP="000A2CB0">
      <w:pPr>
        <w:pStyle w:val="BodyText"/>
      </w:pPr>
    </w:p>
    <w:p w:rsidR="00C4781A" w:rsidP="000A2CB0">
      <w:pPr>
        <w:pStyle w:val="BodyText"/>
      </w:pPr>
    </w:p>
    <w:p w:rsidR="00000000" w:rsidRPr="000A2CB0" w:rsidP="000A2CB0">
      <w:pPr>
        <w:pStyle w:val="Heading1"/>
      </w:pPr>
      <w:bookmarkStart w:id="10" w:name="O_247792"/>
      <w:bookmarkEnd w:id="10"/>
      <w:r w:rsidRPr="000A2CB0">
        <w:t>Evidence Guide</w:t>
      </w:r>
    </w:p>
    <w:tbl>
      <w:tblPr>
        <w:tblW w:w="0" w:type="auto"/>
        <w:tblLayout w:type="fixed"/>
        <w:tblCellMar>
          <w:left w:w="62" w:type="dxa"/>
          <w:right w:w="62" w:type="dxa"/>
        </w:tblCellMar>
        <w:tblLook w:val="0000"/>
      </w:tblPr>
      <w:tblGrid>
        <w:gridCol w:w="326"/>
        <w:gridCol w:w="1834"/>
        <w:gridCol w:w="360"/>
        <w:gridCol w:w="900"/>
        <w:gridCol w:w="360"/>
        <w:gridCol w:w="1440"/>
        <w:gridCol w:w="1677"/>
        <w:gridCol w:w="1563"/>
      </w:tblGrid>
      <w:tr w:rsidTr="00C4781A">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EVIDENCE GUIDE</w:t>
            </w:r>
          </w:p>
        </w:tc>
      </w:tr>
      <w:tr w:rsidTr="00C4781A">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8</w:t>
            </w:r>
            <w:r w:rsidRPr="000A2CB0">
              <w:t>) The Evidence Guide forms an integral part of this Unit and shall be used in conjunction with all components parts of this unit and performed in accordance with the Assessment Guidelines of this Training Package.</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1</w:t>
            </w:r>
            <w:r w:rsidRPr="000A2CB0">
              <w:t xml:space="preserve">) </w:t>
            </w:r>
          </w:p>
          <w:p w:rsidR="00000000" w:rsidRPr="000A2CB0" w:rsidP="000A2CB0">
            <w:pPr>
              <w:pStyle w:val="BodyText"/>
            </w:pPr>
            <w:r w:rsidRPr="000A2CB0">
              <w:t>Longitudinal competency development approaches to assessment, such as Profiling, require data to be reliably gathered in a form that can be consistently interpreted over time. This approach is best utilised in Apprenticeship programs and reduces assessment</w:t>
            </w:r>
            <w:r w:rsidRPr="000A2CB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A2CB0">
              <w:t>tency in a realistically simulated work environment. It is recognised that, in some circumstances, assessment in part or full can occur outside the workplace. However, it must be in accord with industry and regulatory policy in this regard.</w:t>
            </w:r>
          </w:p>
          <w:p w:rsidR="00000000" w:rsidRPr="000A2CB0" w:rsidP="000A2CB0">
            <w:pPr>
              <w:pStyle w:val="BodyText"/>
            </w:pPr>
            <w:r w:rsidRPr="000A2CB0">
              <w:t xml:space="preserve">Methods chosen </w:t>
            </w:r>
            <w:r w:rsidRPr="000A2CB0">
              <w:t>for a particular assessment will be influenced by various factors. These include the extent of the assessment, the most effective locations for the assessment activities to take place, access to physical resources, additional safety measures that may be re</w:t>
            </w:r>
            <w:r w:rsidRPr="000A2CB0">
              <w:t>quired and the critical nature of the competencies being assessed.</w:t>
            </w:r>
          </w:p>
          <w:p w:rsidR="00000000" w:rsidRPr="000A2CB0" w:rsidP="000A2CB0">
            <w:pPr>
              <w:pStyle w:val="BodyText"/>
            </w:pPr>
            <w:r w:rsidRPr="000A2CB0">
              <w:t>The critical safety nature of working with electricity, electrical equipment, gas or any other hazardous substance/material carries risk in deeming a person competent. Hence, sources of evi</w:t>
            </w:r>
            <w:r w:rsidRPr="000A2CB0">
              <w:t>dence need to be 'rich' in nature so as to minimise error in judgment.</w:t>
            </w:r>
          </w:p>
          <w:p w:rsidR="00000000" w:rsidP="000A2CB0">
            <w:pPr>
              <w:pStyle w:val="BodyText"/>
              <w:rPr>
                <w:lang w:val="en-NZ"/>
              </w:rPr>
            </w:pPr>
            <w:r w:rsidRPr="000A2CB0">
              <w:t>Activities associated with normal every day work have a bearing on the decision as to how much and how detailed the data gathered will contribute to its 'richness'. Some skills are more</w:t>
            </w:r>
            <w:r w:rsidRPr="000A2CB0">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0A2CB0">
              <w:t>nt instruments are included in the Assessment Guidelines of this Training Package.</w:t>
            </w:r>
          </w:p>
        </w:tc>
      </w:tr>
      <w:tr w:rsidTr="00C478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2</w:t>
            </w:r>
            <w:r w:rsidRPr="000A2CB0">
              <w:t xml:space="preserve">) </w:t>
            </w:r>
          </w:p>
          <w:p w:rsidR="00000000" w:rsidP="000A2CB0">
            <w:pPr>
              <w:pStyle w:val="BodyText"/>
              <w:rPr>
                <w:lang w:val="en-NZ"/>
              </w:rPr>
            </w:pPr>
            <w:r w:rsidRPr="000A2CB0">
              <w:t>Before the critical aspec</w:t>
            </w:r>
            <w:r w:rsidRPr="000A2CB0">
              <w:t>ts of evidence are considered all prerequisites shall be met.</w:t>
            </w:r>
          </w:p>
        </w:tc>
      </w:tr>
      <w:tr w:rsidTr="00C478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Evidence for competence in this unit shall be considered holistically. Each element and associated Performance Criteria shall be demonstrated </w:t>
            </w:r>
            <w:r w:rsidRPr="000A2CB0">
              <w:t>on at least two occasions in accordance with the 'Assessment Guidelines  UEG06'. Evidence shall also comprise:</w:t>
            </w:r>
          </w:p>
        </w:tc>
      </w:tr>
      <w:tr w:rsidTr="00C478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rsidP="000A2CB0">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ListBullet"/>
              <w:rPr>
                <w:lang w:val="en-NZ"/>
              </w:rPr>
            </w:pPr>
            <w:r w:rsidRPr="000A2CB0">
              <w:t>A representative body of Performance Criteria demonstrated within the timeframes typically expected of the discipline, work function and</w:t>
            </w:r>
            <w:r w:rsidRPr="000A2CB0">
              <w:t xml:space="preserve"> industrial environment. In particular this shall incorporate evidence that shows a candidate is able to:</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ListBullet2"/>
            </w:pPr>
            <w:r w:rsidRPr="000A2CB0">
              <w:t xml:space="preserve">Implement Occupational Health and Safety workplace procedures and practices including </w:t>
            </w:r>
            <w:r w:rsidRPr="000A2CB0">
              <w:t>the use of risk control measures as specified in the Performance Criteria and range</w:t>
            </w:r>
          </w:p>
          <w:p w:rsidR="00000000" w:rsidRPr="000A2CB0" w:rsidP="000A2CB0">
            <w:pPr>
              <w:pStyle w:val="ListBullet2"/>
            </w:pPr>
            <w:r w:rsidRPr="000A2CB0">
              <w:t>Apply sustainable energy principles and practices as specified in the Performance Criteria and range</w:t>
            </w:r>
          </w:p>
          <w:p w:rsidR="00000000" w:rsidRPr="000A2CB0" w:rsidP="000A2CB0">
            <w:pPr>
              <w:pStyle w:val="ListBullet2"/>
            </w:pPr>
            <w:r w:rsidRPr="000A2CB0">
              <w:t>Demonstrate an understanding of the essential knowledge and associated skills as described in this unit to such an extent that the learner's performance outcome is reported in accordance with the preferred approach; namely a percentile graded result, where</w:t>
            </w:r>
            <w:r w:rsidRPr="000A2CB0">
              <w:t xml:space="preserve"> required by the regulated environment</w:t>
            </w:r>
          </w:p>
          <w:p w:rsidR="00000000" w:rsidRPr="000A2CB0" w:rsidP="000A2CB0">
            <w:pPr>
              <w:pStyle w:val="ListBullet2"/>
            </w:pPr>
            <w:r w:rsidRPr="000A2CB0">
              <w:t>Demonstrate an appropriate level of skills enabling employment</w:t>
            </w:r>
          </w:p>
          <w:p w:rsidR="00000000" w:rsidP="000A2CB0">
            <w:pPr>
              <w:pStyle w:val="ListBullet2"/>
              <w:rPr>
                <w:lang w:val="en-NZ"/>
              </w:rPr>
            </w:pPr>
            <w:r w:rsidRPr="000A2CB0">
              <w:t>Conduct work observing the relevant Anti discrimination legislation, regulations, polices and workplace procedures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A2CB0">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ListBullet2"/>
              <w:rPr>
                <w:lang w:val="en-NZ"/>
              </w:rPr>
            </w:pPr>
            <w:r w:rsidRPr="000A2CB0">
              <w:t>Demonstrate performance across a representative range of contexts from the prescribed items below:</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A2CB0">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rPr>
                <w:rStyle w:val="SpecialBold"/>
              </w:rPr>
              <w:t>Range of tools</w:t>
            </w:r>
            <w:r w:rsidRPr="000A2CB0">
              <w:t>/</w:t>
            </w:r>
            <w:r w:rsidRPr="000A2CB0">
              <w:rPr>
                <w:rStyle w:val="SpecialBold"/>
              </w:rPr>
              <w:t>equipment</w:t>
            </w:r>
            <w:r w:rsidRPr="000A2CB0">
              <w:t>/</w:t>
            </w:r>
            <w:r w:rsidRPr="000A2CB0">
              <w:rPr>
                <w:rStyle w:val="SpecialBold"/>
              </w:rPr>
              <w:t>materials</w:t>
            </w:r>
            <w:r w:rsidRPr="000A2CB0">
              <w:t>/</w:t>
            </w:r>
            <w:r w:rsidRPr="000A2CB0">
              <w:rPr>
                <w:rStyle w:val="SpecialBold"/>
              </w:rPr>
              <w:t>procedures</w:t>
            </w:r>
            <w:r w:rsidRPr="000A2CB0">
              <w:t>/</w:t>
            </w:r>
            <w:r w:rsidRPr="000A2CB0">
              <w:br/>
            </w:r>
            <w:r w:rsidRPr="000A2CB0">
              <w:rPr>
                <w:rStyle w:val="SpecialBold"/>
              </w:rPr>
              <w:t>workplaces</w:t>
            </w:r>
            <w:r w:rsidRPr="000A2CB0">
              <w:t>/</w:t>
            </w:r>
            <w:r w:rsidRPr="000A2CB0">
              <w:rPr>
                <w:rStyle w:val="SpecialBold"/>
              </w:rPr>
              <w:t>other variables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A2CB0">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rPr>
                <w:rStyle w:val="SpecialBold"/>
              </w:rPr>
              <w:t>Item List</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At least 1</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Budget formats:</w:t>
            </w:r>
          </w:p>
          <w:p w:rsidR="00000000" w:rsidRPr="000A2CB0" w:rsidP="000A2CB0">
            <w:pPr>
              <w:pStyle w:val="BodyText"/>
            </w:pPr>
            <w:r w:rsidRPr="000A2CB0">
              <w:t>Zero based budgeting</w:t>
            </w:r>
          </w:p>
          <w:p w:rsidR="00000000" w:rsidRPr="000A2CB0" w:rsidP="000A2CB0">
            <w:pPr>
              <w:pStyle w:val="BodyText"/>
            </w:pPr>
            <w:r w:rsidRPr="000A2CB0">
              <w:t>Program budgeting</w:t>
            </w:r>
          </w:p>
          <w:p w:rsidR="00000000" w:rsidP="000A2CB0">
            <w:pPr>
              <w:pStyle w:val="BodyText"/>
              <w:rPr>
                <w:lang w:val="en-NZ"/>
              </w:rPr>
            </w:pPr>
            <w:r w:rsidRPr="000A2CB0">
              <w:t>Line item budgeting</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Operating budget:</w:t>
            </w:r>
          </w:p>
          <w:p w:rsidR="00000000" w:rsidRPr="000A2CB0" w:rsidP="000A2CB0">
            <w:pPr>
              <w:pStyle w:val="BodyText"/>
            </w:pPr>
            <w:r w:rsidRPr="000A2CB0">
              <w:t>Staffing costs</w:t>
            </w:r>
          </w:p>
          <w:p w:rsidR="00000000" w:rsidRPr="000A2CB0" w:rsidP="000A2CB0">
            <w:pPr>
              <w:pStyle w:val="BodyText"/>
            </w:pPr>
            <w:r w:rsidRPr="000A2CB0">
              <w:t>Capital expenditure/income</w:t>
            </w:r>
          </w:p>
          <w:p w:rsidR="00000000" w:rsidRPr="000A2CB0" w:rsidP="000A2CB0">
            <w:pPr>
              <w:pStyle w:val="BodyText"/>
            </w:pPr>
            <w:r w:rsidRPr="000A2CB0">
              <w:t>Recurrent expenditure/income</w:t>
            </w:r>
          </w:p>
          <w:p w:rsidR="00000000" w:rsidRPr="000A2CB0" w:rsidP="000A2CB0">
            <w:pPr>
              <w:pStyle w:val="BodyText"/>
            </w:pPr>
            <w:r w:rsidRPr="000A2CB0">
              <w:t>Forward estimates</w:t>
            </w:r>
          </w:p>
          <w:p w:rsidR="00000000" w:rsidP="000A2CB0">
            <w:pPr>
              <w:pStyle w:val="BodyText"/>
              <w:rPr>
                <w:lang w:val="en-NZ"/>
              </w:rPr>
            </w:pPr>
            <w:r w:rsidRPr="000A2CB0">
              <w:t>Cash flow</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Policy:</w:t>
            </w:r>
          </w:p>
          <w:p w:rsidR="00000000" w:rsidRPr="000A2CB0" w:rsidP="000A2CB0">
            <w:pPr>
              <w:pStyle w:val="BodyText"/>
            </w:pPr>
            <w:r w:rsidRPr="000A2CB0">
              <w:t>Supply</w:t>
            </w:r>
          </w:p>
          <w:p w:rsidR="00000000" w:rsidRPr="000A2CB0" w:rsidP="000A2CB0">
            <w:pPr>
              <w:pStyle w:val="BodyText"/>
            </w:pPr>
            <w:r w:rsidRPr="000A2CB0">
              <w:t>Procurement</w:t>
            </w:r>
          </w:p>
          <w:p w:rsidR="00000000" w:rsidRPr="000A2CB0" w:rsidP="000A2CB0">
            <w:pPr>
              <w:pStyle w:val="BodyText"/>
            </w:pPr>
            <w:r w:rsidRPr="000A2CB0">
              <w:t>Expenditure</w:t>
            </w:r>
          </w:p>
          <w:p w:rsidR="00000000" w:rsidRPr="000A2CB0" w:rsidP="000A2CB0">
            <w:pPr>
              <w:pStyle w:val="BodyText"/>
            </w:pPr>
            <w:r w:rsidRPr="000A2CB0">
              <w:t>Audit</w:t>
            </w:r>
          </w:p>
          <w:p w:rsidR="00000000" w:rsidP="000A2CB0">
            <w:pPr>
              <w:pStyle w:val="BodyText"/>
              <w:rPr>
                <w:lang w:val="en-NZ"/>
              </w:rPr>
            </w:pPr>
            <w:r w:rsidRPr="000A2CB0">
              <w:t>Reporting and recording policies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At least 1</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Financial reports:</w:t>
            </w:r>
          </w:p>
          <w:p w:rsidR="00000000" w:rsidRPr="000A2CB0" w:rsidP="000A2CB0">
            <w:pPr>
              <w:pStyle w:val="BodyText"/>
            </w:pPr>
            <w:r w:rsidRPr="000A2CB0">
              <w:t>Annual reports</w:t>
            </w:r>
          </w:p>
          <w:p w:rsidR="00000000" w:rsidRPr="000A2CB0" w:rsidP="000A2CB0">
            <w:pPr>
              <w:pStyle w:val="BodyText"/>
            </w:pPr>
            <w:r w:rsidRPr="000A2CB0">
              <w:t>Program financial statements</w:t>
            </w:r>
          </w:p>
          <w:p w:rsidR="00000000" w:rsidRPr="000A2CB0" w:rsidP="000A2CB0">
            <w:pPr>
              <w:pStyle w:val="BodyText"/>
            </w:pPr>
            <w:r w:rsidRPr="000A2CB0">
              <w:t>Accrual reports</w:t>
            </w:r>
          </w:p>
          <w:p w:rsidR="00000000" w:rsidP="000A2CB0">
            <w:pPr>
              <w:pStyle w:val="BodyText"/>
              <w:rPr>
                <w:lang w:val="en-NZ"/>
              </w:rPr>
            </w:pPr>
            <w:r w:rsidRPr="000A2CB0">
              <w:t>Monthly/quarterly financial reports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Management information systems:</w:t>
            </w:r>
          </w:p>
          <w:p w:rsidR="00000000" w:rsidRPr="000A2CB0" w:rsidP="000A2CB0">
            <w:pPr>
              <w:pStyle w:val="BodyText"/>
            </w:pPr>
            <w:r w:rsidRPr="000A2CB0">
              <w:t>Computers</w:t>
            </w:r>
          </w:p>
          <w:p w:rsidR="00000000" w:rsidRPr="000A2CB0" w:rsidP="000A2CB0">
            <w:pPr>
              <w:pStyle w:val="BodyText"/>
            </w:pPr>
            <w:r w:rsidRPr="000A2CB0">
              <w:t>Communication channels</w:t>
            </w:r>
          </w:p>
          <w:p w:rsidR="00000000" w:rsidRPr="000A2CB0" w:rsidP="000A2CB0">
            <w:pPr>
              <w:pStyle w:val="BodyText"/>
            </w:pPr>
            <w:r w:rsidRPr="000A2CB0">
              <w:t>Records management data</w:t>
            </w:r>
          </w:p>
          <w:p w:rsidR="00000000" w:rsidRPr="000A2CB0" w:rsidP="000A2CB0">
            <w:pPr>
              <w:pStyle w:val="BodyText"/>
            </w:pPr>
            <w:r w:rsidRPr="000A2CB0">
              <w:t>Procedures</w:t>
            </w:r>
          </w:p>
          <w:p w:rsidR="00000000" w:rsidRPr="000A2CB0" w:rsidP="000A2CB0">
            <w:pPr>
              <w:pStyle w:val="BodyText"/>
            </w:pPr>
            <w:r w:rsidRPr="000A2CB0">
              <w:t>Protocol</w:t>
            </w:r>
          </w:p>
          <w:p w:rsidR="00000000" w:rsidRPr="000A2CB0" w:rsidP="000A2CB0">
            <w:pPr>
              <w:pStyle w:val="BodyText"/>
            </w:pPr>
            <w:r w:rsidRPr="000A2CB0">
              <w:t xml:space="preserve">Legislation </w:t>
            </w:r>
          </w:p>
          <w:p w:rsidR="00000000" w:rsidRPr="000A2CB0" w:rsidP="000A2CB0">
            <w:pPr>
              <w:pStyle w:val="BodyText"/>
            </w:pPr>
            <w:r w:rsidRPr="000A2CB0">
              <w:t>Guidelines and awards</w:t>
            </w:r>
          </w:p>
          <w:p w:rsidR="00000000" w:rsidRPr="000A2CB0" w:rsidP="000A2CB0">
            <w:pPr>
              <w:pStyle w:val="BodyText"/>
            </w:pPr>
            <w:r w:rsidRPr="000A2CB0">
              <w:t>Organisation, legal and policy materials</w:t>
            </w:r>
          </w:p>
          <w:p w:rsidR="00000000" w:rsidRPr="000A2CB0" w:rsidP="000A2CB0">
            <w:pPr>
              <w:pStyle w:val="BodyText"/>
            </w:pPr>
            <w:r w:rsidRPr="000A2CB0">
              <w:t>Client information</w:t>
            </w:r>
          </w:p>
          <w:p w:rsidR="00000000" w:rsidRPr="000A2CB0" w:rsidP="000A2CB0">
            <w:pPr>
              <w:pStyle w:val="BodyText"/>
            </w:pPr>
            <w:r w:rsidRPr="000A2CB0">
              <w:t>Market trends</w:t>
            </w:r>
          </w:p>
          <w:p w:rsidR="00000000" w:rsidRPr="000A2CB0" w:rsidP="000A2CB0">
            <w:pPr>
              <w:pStyle w:val="BodyText"/>
            </w:pPr>
            <w:r w:rsidRPr="000A2CB0">
              <w:t>Registry and file records</w:t>
            </w:r>
          </w:p>
          <w:p w:rsidR="00000000" w:rsidRPr="000A2CB0" w:rsidP="000A2CB0">
            <w:pPr>
              <w:pStyle w:val="BodyText"/>
            </w:pPr>
            <w:r w:rsidRPr="000A2CB0">
              <w:t>Financial records</w:t>
            </w:r>
          </w:p>
          <w:p w:rsidR="00000000" w:rsidP="000A2CB0">
            <w:pPr>
              <w:pStyle w:val="BodyText"/>
              <w:rPr>
                <w:lang w:val="en-NZ"/>
              </w:rPr>
            </w:pPr>
            <w:r w:rsidRPr="000A2CB0">
              <w:t>Basic statistical information</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 xml:space="preserve">Deal with an unplanned event by drawing on essential knowledge and associated skills to provide appropriate solutions incorporated in the holistic assessment with the above listed items </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3</w:t>
            </w:r>
            <w:r w:rsidRPr="000A2CB0">
              <w:t xml:space="preserve">) </w:t>
            </w:r>
          </w:p>
          <w:p w:rsidR="00000000" w:rsidRPr="000A2CB0" w:rsidP="000A2CB0">
            <w:pPr>
              <w:pStyle w:val="BodyText"/>
            </w:pPr>
            <w:r w:rsidRPr="000A2CB0">
              <w:t>This unit s</w:t>
            </w:r>
            <w:r w:rsidRPr="000A2CB0">
              <w:t>hould be assessed as it relates to normal work practice using procedures, information and resources typical of a workplace. This should include:</w:t>
            </w:r>
          </w:p>
          <w:p w:rsidR="00000000" w:rsidRPr="000A2CB0" w:rsidP="000A2CB0">
            <w:pPr>
              <w:pStyle w:val="ListBullet"/>
            </w:pPr>
            <w:r w:rsidRPr="000A2CB0">
              <w:t>OHS policy and work procedures and instructions.</w:t>
            </w:r>
          </w:p>
          <w:p w:rsidR="00000000" w:rsidRPr="000A2CB0" w:rsidP="000A2CB0">
            <w:pPr>
              <w:pStyle w:val="ListBullet"/>
            </w:pPr>
            <w:r w:rsidRPr="000A2CB0">
              <w:t>Suitable work environment, facilities, equipment and materials to undertake actual work as prescribed by this Unit.</w:t>
            </w:r>
          </w:p>
          <w:p w:rsidR="00000000" w:rsidRPr="000A2CB0" w:rsidP="000A2CB0">
            <w:pPr>
              <w:pStyle w:val="ListBullet"/>
            </w:pPr>
            <w:r w:rsidRPr="000A2CB0">
              <w:t>Appropriate environmental regulation and work practices.</w:t>
            </w:r>
          </w:p>
          <w:p w:rsidR="00000000" w:rsidRPr="000A2CB0" w:rsidP="000A2CB0">
            <w:pPr>
              <w:pStyle w:val="ListBullet"/>
            </w:pPr>
            <w:r w:rsidRPr="000A2CB0">
              <w:t>Appropriate organisational requirements.</w:t>
            </w:r>
          </w:p>
          <w:p w:rsidR="00000000" w:rsidP="000A2CB0">
            <w:pPr>
              <w:pStyle w:val="ListBullet"/>
              <w:rPr>
                <w:lang w:val="en-NZ"/>
              </w:rPr>
            </w:pPr>
            <w:r w:rsidRPr="000A2CB0">
              <w:t>Appropriate work environment, equipment an</w:t>
            </w:r>
            <w:r w:rsidRPr="000A2CB0">
              <w:t>d tools.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In addition to the resources listed above, in Context of and specific resources for assessment, evidence should show demonstrated competency of managing financial resources in a Gas Industry facility. </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Assessment of this competency must also be undertaken in either an actual workplace or under a simulated work environment. Assessment must also integrate the key competencies.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4</w:t>
            </w:r>
            <w:r w:rsidRPr="000A2CB0">
              <w:t xml:space="preserve">) </w:t>
            </w:r>
          </w:p>
          <w:p w:rsidR="00000000" w:rsidRPr="000A2CB0" w:rsidP="000A2CB0">
            <w:pPr>
              <w:pStyle w:val="BodyText"/>
            </w:pPr>
            <w:r w:rsidRPr="000A2CB0">
              <w:t>This Unit shall be assessed by methods given i</w:t>
            </w:r>
            <w:r w:rsidRPr="000A2CB0">
              <w:t>n Volume 1, Part 3 'Assessment Guidelines'.</w:t>
            </w:r>
          </w:p>
          <w:p w:rsidR="00000000" w:rsidP="000A2CB0">
            <w:pPr>
              <w:pStyle w:val="BodyText"/>
              <w:rPr>
                <w:lang w:val="en-NZ"/>
              </w:rPr>
            </w:pPr>
            <w:r w:rsidRPr="000A2CB0">
              <w:t>Note:</w:t>
            </w:r>
            <w:r w:rsidRPr="000A2CB0">
              <w:br/>
            </w:r>
            <w:r w:rsidRPr="000A2CB0">
              <w:t>Competent performance with inherent safe working practices is expected in the Industry to which this Unit applies. This requires that the specified Essential Knowledge and Associated Skills are assessed in a structured environment which is primarily intend</w:t>
            </w:r>
            <w:r w:rsidRPr="000A2CB0">
              <w:t>ed for learning/assessment and incorporates all necessary equipment and facilities for learners to develop and demonstrate the Essential Knowledge and Associated Skills described in this unit.</w:t>
            </w:r>
          </w:p>
        </w:tc>
      </w:tr>
      <w:tr w:rsidTr="00C478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8</w:t>
            </w:r>
            <w:r w:rsidRPr="000A2CB0">
              <w:t>.</w:t>
            </w:r>
            <w:r w:rsidRPr="000A2CB0">
              <w:rPr>
                <w:rStyle w:val="SpecialBold"/>
              </w:rPr>
              <w:t>5</w:t>
            </w:r>
            <w:r w:rsidRPr="000A2CB0">
              <w:t xml:space="preserve">) </w:t>
            </w:r>
          </w:p>
        </w:tc>
      </w:tr>
      <w:tr w:rsidTr="00C478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There are no recommended concurrent assessments with this unit, however in some cases efficiencies may be gained in terms of learning and assessment effort being concurrently managed with allied Units where listed.</w:t>
            </w:r>
          </w:p>
        </w:tc>
      </w:tr>
      <w:tr w:rsidTr="00C478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UEGNSG117A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Plan and implement the data acquisition and metering requirements of a gas system </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UEGNSG118A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 xml:space="preserve">Select and commission equipment to meet pressure and temperature control specifications </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UEGNSG119A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 workplace risk</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UEGNSG120A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 gas system environmental compliance</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UEGNSG121A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Prepare and design specifications for a gas system</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UEGNSG115A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 gas system projects</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UEGNSG122A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 a customer service gas business unit</w:t>
            </w:r>
          </w:p>
        </w:tc>
      </w:tr>
      <w:tr w:rsidTr="00C478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UEGNSG116A</w:t>
            </w:r>
          </w:p>
        </w:tc>
        <w:tc>
          <w:tcPr>
            <w:tcW w:w="4680" w:type="dxa"/>
            <w:gridSpan w:val="3"/>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Manage physical resources</w:t>
            </w:r>
          </w:p>
        </w:tc>
      </w:tr>
      <w:tr w:rsidTr="00C478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A2CB0" w:rsidP="000A2CB0">
            <w:pPr>
              <w:pStyle w:val="BodyText"/>
            </w:pPr>
            <w:r w:rsidRPr="000A2CB0">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6</w:t>
            </w:r>
            <w:r w:rsidRPr="000A2CB0">
              <w:t xml:space="preserve">) </w:t>
            </w:r>
          </w:p>
          <w:p w:rsidR="00000000" w:rsidP="000A2CB0">
            <w:pPr>
              <w:pStyle w:val="BodyText"/>
              <w:rPr>
                <w:lang w:val="en-NZ"/>
              </w:rPr>
            </w:pPr>
            <w:r w:rsidRPr="000A2CB0">
              <w:t>Evidence that particular key competencies have been achieved within this Unit is in the context of the following Performance Criteria of evidence. See Volume 2, Part 4 for an expla</w:t>
            </w:r>
            <w:r w:rsidRPr="000A2CB0">
              <w:t>nation of Key Competencies and levels of this Training Package.</w:t>
            </w:r>
          </w:p>
        </w:tc>
      </w:tr>
      <w:tr w:rsidTr="00C478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rPr>
                <w:rStyle w:val="SpecialBold"/>
              </w:rPr>
              <w:t>Performance Level</w:t>
            </w: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3</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1.3; 1.6; 1.8; 1.9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1.10; 2.7;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p>
          <w:p w:rsidR="00000000" w:rsidP="000A2CB0">
            <w:pPr>
              <w:pStyle w:val="BodyText"/>
              <w:rPr>
                <w:lang w:val="en-NZ"/>
              </w:rPr>
            </w:pPr>
            <w:r w:rsidRPr="000A2CB0">
              <w:t>2</w:t>
            </w:r>
          </w:p>
        </w:tc>
      </w:tr>
      <w:tr w:rsidTr="00C4781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3.2; 3.6</w:t>
            </w:r>
          </w:p>
        </w:tc>
      </w:tr>
      <w:tr w:rsidTr="00C4781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A2CB0">
            <w:pPr>
              <w:pStyle w:val="BodyText"/>
              <w:rPr>
                <w:lang w:val="en-NZ"/>
              </w:rPr>
            </w:pPr>
          </w:p>
        </w:tc>
      </w:tr>
      <w:tr w:rsidTr="00C478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A2CB0" w:rsidP="000A2CB0">
            <w:pPr>
              <w:pStyle w:val="BodyText"/>
            </w:pPr>
            <w:r w:rsidRPr="000A2CB0">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0A2CB0" w:rsidP="000A2CB0">
            <w:pPr>
              <w:pStyle w:val="BodyText"/>
            </w:pPr>
            <w:r w:rsidRPr="000A2CB0">
              <w:rPr>
                <w:rStyle w:val="SpecialBold"/>
              </w:rPr>
              <w:t>8</w:t>
            </w:r>
            <w:r w:rsidRPr="000A2CB0">
              <w:t>.</w:t>
            </w:r>
            <w:r w:rsidRPr="000A2CB0">
              <w:rPr>
                <w:rStyle w:val="SpecialBold"/>
              </w:rPr>
              <w:t>7</w:t>
            </w:r>
            <w:r w:rsidRPr="000A2CB0">
              <w:t xml:space="preserve">) </w:t>
            </w:r>
          </w:p>
          <w:p w:rsidR="00000000" w:rsidP="000A2CB0">
            <w:pPr>
              <w:pStyle w:val="BodyText"/>
              <w:rPr>
                <w:lang w:val="en-NZ"/>
              </w:rPr>
            </w:pPr>
            <w:r w:rsidRPr="000A2CB0">
              <w:t>Evidence that competency in this unit incorporates skills enabling employment is in the context of the following performance.</w:t>
            </w:r>
          </w:p>
        </w:tc>
      </w:tr>
      <w:tr w:rsidTr="00C478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rPr>
                <w:rStyle w:val="SpecialBold"/>
              </w:rPr>
              <w:t>Example of Application</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All</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1.3; 2.8</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3.2; 3.6</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1.10; 2.7; 3.5</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1.3; 1.6; 1.8; 1.9</w:t>
            </w:r>
          </w:p>
        </w:tc>
      </w:tr>
      <w:tr w:rsidTr="00C478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CB0">
            <w:pPr>
              <w:pStyle w:val="BodyText"/>
              <w:rPr>
                <w:lang w:val="en-NZ"/>
              </w:rPr>
            </w:pPr>
            <w:r w:rsidRPr="000A2CB0">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CB0">
            <w:pPr>
              <w:pStyle w:val="BodyText"/>
              <w:rPr>
                <w:lang w:val="en-NZ"/>
              </w:rPr>
            </w:pPr>
            <w:r w:rsidRPr="000A2CB0">
              <w:t>Refer to the following Performance Criteria for examples of application:</w:t>
            </w:r>
          </w:p>
        </w:tc>
      </w:tr>
      <w:tr w:rsidTr="00C478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A2CB0" w:rsidP="000A2CB0">
            <w:pPr>
              <w:pStyle w:val="BodyText"/>
            </w:pPr>
            <w:r w:rsidRPr="000A2CB0">
              <w:t>2.8</w:t>
            </w:r>
          </w:p>
        </w:tc>
      </w:tr>
    </w:tbl>
    <w:p w:rsidR="00C4781A" w:rsidP="000A2CB0">
      <w:pPr>
        <w:pStyle w:val="BodyText"/>
      </w:pPr>
    </w:p>
    <w:p w:rsidR="00C4781A" w:rsidP="000A2CB0">
      <w:pPr>
        <w:pStyle w:val="BodyText"/>
      </w:pPr>
    </w:p>
    <w:p w:rsidR="00000000" w:rsidRPr="000A2CB0" w:rsidP="000A2CB0">
      <w:pPr>
        <w:pStyle w:val="Heading1"/>
      </w:pPr>
      <w:bookmarkStart w:id="11" w:name="O_255776"/>
      <w:bookmarkEnd w:id="11"/>
      <w:r w:rsidRPr="000A2CB0">
        <w:t>Range Statement</w:t>
      </w:r>
    </w:p>
    <w:tbl>
      <w:tblPr>
        <w:tblW w:w="0" w:type="auto"/>
        <w:tblLayout w:type="fixed"/>
        <w:tblCellMar>
          <w:left w:w="62" w:type="dxa"/>
          <w:right w:w="62" w:type="dxa"/>
        </w:tblCellMar>
        <w:tblLook w:val="0000"/>
      </w:tblPr>
      <w:tblGrid>
        <w:gridCol w:w="8460"/>
      </w:tblGrid>
      <w:tr w:rsidTr="00C478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RANGE STATEMENT</w:t>
            </w:r>
          </w:p>
        </w:tc>
      </w:tr>
      <w:tr w:rsidTr="00C478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7</w:t>
            </w:r>
            <w:r w:rsidRPr="000A2CB0">
              <w:t>) This relates to the competency standard unit as a whole providing the range of contexts and conditions to which the Performance Criteria apply. It allows for different work environments and situations that will affect performance.</w:t>
            </w:r>
          </w:p>
        </w:tc>
      </w:tr>
      <w:tr w:rsidTr="00C478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This Unit shall/may be</w:t>
            </w:r>
            <w:r w:rsidRPr="000A2CB0">
              <w:t xml:space="preserve"> demonstrated in relation to managing financial resources in a Gas Industry facility.</w:t>
            </w:r>
          </w:p>
          <w:p w:rsidR="00000000" w:rsidRPr="000A2CB0" w:rsidP="000A2CB0">
            <w:pPr>
              <w:pStyle w:val="BodyText"/>
            </w:pPr>
            <w:r w:rsidRPr="000A2CB0">
              <w:t xml:space="preserve">The following constants and variables included in the element/Performance Criteria in this unit are fully described in the Definitions Section of this volume and form an </w:t>
            </w:r>
            <w:r w:rsidRPr="000A2CB0">
              <w:t>integral part of the Range Statement of this unit:</w:t>
            </w:r>
          </w:p>
          <w:p w:rsidR="00000000" w:rsidRPr="000A2CB0" w:rsidP="000A2CB0">
            <w:pPr>
              <w:pStyle w:val="BodyText"/>
            </w:pPr>
            <w:r w:rsidRPr="000A2CB0">
              <w:t>Budget formats</w:t>
            </w:r>
          </w:p>
          <w:p w:rsidR="00000000" w:rsidRPr="000A2CB0" w:rsidP="000A2CB0">
            <w:pPr>
              <w:pStyle w:val="BodyText"/>
            </w:pPr>
            <w:r w:rsidRPr="000A2CB0">
              <w:t>Operating budget</w:t>
            </w:r>
          </w:p>
          <w:p w:rsidR="00000000" w:rsidRPr="000A2CB0" w:rsidP="000A2CB0">
            <w:pPr>
              <w:pStyle w:val="BodyText"/>
            </w:pPr>
            <w:r w:rsidRPr="000A2CB0">
              <w:t xml:space="preserve">Policy </w:t>
            </w:r>
          </w:p>
          <w:p w:rsidR="00000000" w:rsidRPr="000A2CB0" w:rsidP="000A2CB0">
            <w:pPr>
              <w:pStyle w:val="BodyText"/>
            </w:pPr>
            <w:r w:rsidRPr="000A2CB0">
              <w:t xml:space="preserve">Financial reports </w:t>
            </w:r>
          </w:p>
          <w:p w:rsidR="00000000" w:rsidRPr="000A2CB0" w:rsidP="000A2CB0">
            <w:pPr>
              <w:pStyle w:val="BodyText"/>
            </w:pPr>
            <w:r w:rsidRPr="000A2CB0">
              <w:t>Management information systems</w:t>
            </w:r>
          </w:p>
        </w:tc>
      </w:tr>
    </w:tbl>
    <w:p w:rsidR="00C4781A" w:rsidP="000A2CB0">
      <w:pPr>
        <w:pStyle w:val="BodyText"/>
      </w:pPr>
    </w:p>
    <w:p w:rsidR="00C4781A" w:rsidP="000A2CB0">
      <w:pPr>
        <w:pStyle w:val="BodyText"/>
      </w:pPr>
    </w:p>
    <w:p w:rsidR="00000000" w:rsidRPr="000A2CB0" w:rsidP="000A2CB0">
      <w:pPr>
        <w:pStyle w:val="Heading1"/>
      </w:pPr>
      <w:bookmarkStart w:id="12" w:name="O_296789"/>
      <w:bookmarkEnd w:id="12"/>
      <w:r w:rsidRPr="000A2CB0">
        <w:t>Unit Sector(s)</w:t>
      </w:r>
    </w:p>
    <w:p w:rsidR="00000000" w:rsidRPr="000A2CB0" w:rsidP="000A2CB0">
      <w:pPr>
        <w:pStyle w:val="BodyText"/>
      </w:pPr>
      <w:r w:rsidRPr="000A2CB0">
        <w:t>Not Applicable</w:t>
      </w:r>
    </w:p>
    <w:p w:rsidR="00000000" w:rsidRPr="000A2CB0" w:rsidP="000A2CB0">
      <w:pPr>
        <w:pStyle w:val="AllowPageBreak"/>
      </w:pPr>
    </w:p>
    <w:p w:rsidR="00000000" w:rsidRPr="000A2CB0" w:rsidP="000A2CB0">
      <w:pPr>
        <w:pStyle w:val="Heading1"/>
      </w:pPr>
      <w:bookmarkStart w:id="13" w:name="O_229396"/>
      <w:bookmarkEnd w:id="13"/>
      <w:r w:rsidRPr="000A2CB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2</w:t>
            </w:r>
            <w:r w:rsidRPr="000A2CB0">
              <w:t>.</w:t>
            </w:r>
            <w:r w:rsidRPr="000A2CB0">
              <w:rPr>
                <w:rStyle w:val="SpecialBold"/>
              </w:rPr>
              <w:t>2</w:t>
            </w:r>
            <w:r w:rsidRPr="000A2CB0">
              <w:t xml:space="preserve">) </w:t>
            </w:r>
          </w:p>
          <w:p w:rsidR="00000000" w:rsidP="000A2CB0">
            <w:pPr>
              <w:pStyle w:val="BodyText"/>
              <w:rPr>
                <w:lang w:val="en-NZ"/>
              </w:rPr>
            </w:pPr>
            <w:r w:rsidRPr="000A2CB0">
              <w:t>Participants are best equipped to achieve this unit if they have reading, writing and numeracy skills indicated by the following scales. Description of each scale is given in Volume 2, Part 3 'Literacy and Numeracy'</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Reading</w:t>
            </w:r>
          </w:p>
        </w:tc>
        <w:tc>
          <w:tcPr>
            <w:tcW w:w="805"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5</w:t>
            </w:r>
          </w:p>
        </w:tc>
        <w:tc>
          <w:tcPr>
            <w:tcW w:w="1184"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Writing</w:t>
            </w:r>
          </w:p>
        </w:tc>
        <w:tc>
          <w:tcPr>
            <w:tcW w:w="805"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5</w:t>
            </w:r>
          </w:p>
        </w:tc>
        <w:tc>
          <w:tcPr>
            <w:tcW w:w="1172"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t>Numeracy</w:t>
            </w:r>
          </w:p>
        </w:tc>
        <w:tc>
          <w:tcPr>
            <w:tcW w:w="805"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5</w:t>
            </w:r>
          </w:p>
        </w:tc>
      </w:tr>
    </w:tbl>
    <w:p w:rsidR="00C4781A" w:rsidP="000A2CB0">
      <w:pPr>
        <w:pStyle w:val="BodyText"/>
      </w:pPr>
    </w:p>
    <w:p w:rsidR="00C4781A" w:rsidP="000A2CB0">
      <w:pPr>
        <w:pStyle w:val="BodyText"/>
      </w:pPr>
    </w:p>
    <w:p w:rsidR="00000000" w:rsidRPr="000A2CB0" w:rsidP="000A2CB0">
      <w:pPr>
        <w:pStyle w:val="Heading1"/>
      </w:pPr>
      <w:bookmarkStart w:id="14" w:name="O_229399"/>
      <w:bookmarkEnd w:id="14"/>
      <w:r w:rsidRPr="000A2CB0">
        <w:t>Competency Field</w:t>
      </w:r>
    </w:p>
    <w:tbl>
      <w:tblPr>
        <w:tblW w:w="0" w:type="auto"/>
        <w:tblLayout w:type="fixed"/>
        <w:tblCellMar>
          <w:left w:w="62" w:type="dxa"/>
          <w:right w:w="62" w:type="dxa"/>
        </w:tblCellMar>
        <w:tblLook w:val="0000"/>
      </w:tblPr>
      <w:tblGrid>
        <w:gridCol w:w="2700"/>
        <w:gridCol w:w="5760"/>
      </w:tblGrid>
      <w:tr w:rsidTr="00C478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2CB0">
            <w:pPr>
              <w:pStyle w:val="BodyText"/>
              <w:rPr>
                <w:lang w:val="en-NZ"/>
              </w:rPr>
            </w:pPr>
            <w:r w:rsidRPr="000A2CB0">
              <w:rPr>
                <w:rStyle w:val="SpecialBold"/>
              </w:rPr>
              <w:t>4</w:t>
            </w:r>
            <w:r w:rsidRPr="000A2CB0">
              <w:t xml:space="preserve">) </w:t>
            </w:r>
          </w:p>
        </w:tc>
      </w:tr>
      <w:tr w:rsidTr="00C478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CB0" w:rsidP="000A2CB0">
            <w:pPr>
              <w:pStyle w:val="BodyText"/>
            </w:pPr>
            <w:r w:rsidRPr="000A2CB0">
              <w:t>Cross discipline.</w:t>
            </w:r>
          </w:p>
        </w:tc>
      </w:tr>
    </w:tbl>
    <w:p w:rsidR="00C4781A" w:rsidP="000A2CB0">
      <w:pPr>
        <w:pStyle w:val="BodyText"/>
      </w:pPr>
    </w:p>
    <w:p w:rsidR="00C4781A" w:rsidP="000A2CB0">
      <w:pPr>
        <w:pStyle w:val="BodyText"/>
      </w:pPr>
    </w:p>
    <w:p w:rsidR="00000000" w:rsidRPr="000A2CB0" w:rsidP="000A2CB0"/>
    <w:sectPr w:rsidSect="000A2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81A" w:rsidP="00C47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1A" w:rsidP="000A2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4781A" w:rsidP="000A2C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781A" w:rsidP="000A2C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81A" w:rsidP="00C478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1A" w:rsidP="000A2CB0">
    <w:pPr>
      <w:pStyle w:val="Header"/>
      <w:framePr w:wrap="around"/>
    </w:pPr>
    <w:r>
      <w:fldChar w:fldCharType="begin"/>
    </w:r>
    <w:r>
      <w:instrText xml:space="preserve"> TITLE   \* MERGEFORMAT </w:instrText>
    </w:r>
    <w:r>
      <w:fldChar w:fldCharType="separate"/>
    </w:r>
    <w:r>
      <w:t>UEGNSG123A Manage financial resources in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81A" w:rsidP="000A2C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965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14F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83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C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CB0"/>
    <w:pPr>
      <w:spacing w:before="360" w:after="60"/>
      <w:outlineLvl w:val="0"/>
    </w:pPr>
    <w:rPr>
      <w:sz w:val="32"/>
    </w:rPr>
  </w:style>
  <w:style w:type="paragraph" w:styleId="Heading2">
    <w:name w:val="heading 2"/>
    <w:basedOn w:val="HeadingBase"/>
    <w:next w:val="BodyText"/>
    <w:link w:val="Heading2Char"/>
    <w:qFormat/>
    <w:rsid w:val="000A2CB0"/>
    <w:pPr>
      <w:keepLines/>
      <w:spacing w:before="240" w:after="120"/>
      <w:outlineLvl w:val="1"/>
    </w:pPr>
    <w:rPr>
      <w:sz w:val="28"/>
      <w:szCs w:val="40"/>
    </w:rPr>
  </w:style>
  <w:style w:type="paragraph" w:styleId="Heading3">
    <w:name w:val="heading 3"/>
    <w:basedOn w:val="HeadingBase"/>
    <w:next w:val="BodyText"/>
    <w:link w:val="Heading3Char"/>
    <w:qFormat/>
    <w:rsid w:val="000A2CB0"/>
    <w:pPr>
      <w:spacing w:before="180" w:after="120"/>
      <w:outlineLvl w:val="2"/>
    </w:pPr>
    <w:rPr>
      <w:spacing w:val="-10"/>
      <w:kern w:val="32"/>
    </w:rPr>
  </w:style>
  <w:style w:type="paragraph" w:styleId="Heading4">
    <w:name w:val="heading 4"/>
    <w:basedOn w:val="HeadingBase"/>
    <w:next w:val="BodyText"/>
    <w:link w:val="Heading4Char"/>
    <w:qFormat/>
    <w:rsid w:val="000A2CB0"/>
    <w:pPr>
      <w:spacing w:before="160" w:after="120"/>
      <w:outlineLvl w:val="3"/>
    </w:pPr>
    <w:rPr>
      <w:sz w:val="22"/>
    </w:rPr>
  </w:style>
  <w:style w:type="paragraph" w:styleId="Heading5">
    <w:name w:val="heading 5"/>
    <w:basedOn w:val="HeadingBase"/>
    <w:next w:val="Normal"/>
    <w:link w:val="Heading5Char"/>
    <w:qFormat/>
    <w:rsid w:val="000A2CB0"/>
    <w:pPr>
      <w:spacing w:before="80"/>
      <w:outlineLvl w:val="4"/>
    </w:pPr>
    <w:rPr>
      <w:color w:val="918585"/>
      <w:sz w:val="20"/>
    </w:rPr>
  </w:style>
  <w:style w:type="paragraph" w:styleId="Heading6">
    <w:name w:val="heading 6"/>
    <w:basedOn w:val="HeadingBase"/>
    <w:next w:val="Normal"/>
    <w:link w:val="Heading6Char"/>
    <w:qFormat/>
    <w:rsid w:val="000A2CB0"/>
    <w:pPr>
      <w:spacing w:before="60"/>
      <w:outlineLvl w:val="5"/>
    </w:pPr>
    <w:rPr>
      <w:color w:val="918585"/>
      <w:sz w:val="20"/>
    </w:rPr>
  </w:style>
  <w:style w:type="paragraph" w:styleId="Heading7">
    <w:name w:val="heading 7"/>
    <w:basedOn w:val="Normal"/>
    <w:next w:val="Normal"/>
    <w:link w:val="Heading7Char"/>
    <w:qFormat/>
    <w:rsid w:val="000A2CB0"/>
    <w:pPr>
      <w:ind w:left="720"/>
      <w:outlineLvl w:val="6"/>
    </w:pPr>
    <w:rPr>
      <w:i/>
    </w:rPr>
  </w:style>
  <w:style w:type="paragraph" w:styleId="Heading8">
    <w:name w:val="heading 8"/>
    <w:basedOn w:val="Normal"/>
    <w:next w:val="Normal"/>
    <w:link w:val="Heading8Char"/>
    <w:qFormat/>
    <w:rsid w:val="000A2CB0"/>
    <w:pPr>
      <w:ind w:left="720"/>
      <w:outlineLvl w:val="7"/>
    </w:pPr>
    <w:rPr>
      <w:i/>
    </w:rPr>
  </w:style>
  <w:style w:type="paragraph" w:styleId="Heading9">
    <w:name w:val="heading 9"/>
    <w:basedOn w:val="Normal"/>
    <w:next w:val="Normal"/>
    <w:link w:val="Heading9Char"/>
    <w:qFormat/>
    <w:rsid w:val="000A2CB0"/>
    <w:pPr>
      <w:ind w:left="720"/>
      <w:outlineLvl w:val="8"/>
    </w:pPr>
    <w:rPr>
      <w:i/>
    </w:rPr>
  </w:style>
  <w:style w:type="character" w:default="1" w:styleId="DefaultParagraphFont">
    <w:name w:val="Default Paragraph Font"/>
    <w:uiPriority w:val="1"/>
    <w:unhideWhenUsed/>
    <w:rsid w:val="000A2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CB0"/>
  </w:style>
  <w:style w:type="character" w:customStyle="1" w:styleId="Heading1Char">
    <w:name w:val="Heading 1 Char"/>
    <w:basedOn w:val="DefaultParagraphFont"/>
    <w:link w:val="Heading1"/>
    <w:rsid w:val="000A2CB0"/>
    <w:rPr>
      <w:rFonts w:ascii="Times New Roman" w:eastAsia="Times New Roman" w:hAnsi="Times New Roman" w:cs="Times New Roman"/>
      <w:b/>
      <w:sz w:val="32"/>
      <w:szCs w:val="20"/>
      <w:lang w:eastAsia="en-US"/>
    </w:rPr>
  </w:style>
  <w:style w:type="paragraph" w:styleId="BodyText">
    <w:name w:val="Body Text"/>
    <w:basedOn w:val="Normal"/>
    <w:link w:val="BodyTextChar"/>
    <w:rsid w:val="000A2C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CB0"/>
    <w:rPr>
      <w:rFonts w:ascii="Times New Roman" w:eastAsia="Times New Roman" w:hAnsi="Times New Roman" w:cs="Times New Roman"/>
      <w:sz w:val="24"/>
      <w:lang w:val="en-US" w:eastAsia="en-US"/>
    </w:rPr>
  </w:style>
  <w:style w:type="paragraph" w:styleId="Footer">
    <w:name w:val="footer"/>
    <w:basedOn w:val="Normal"/>
    <w:link w:val="FooterChar"/>
    <w:rsid w:val="000A2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CB0"/>
    <w:rPr>
      <w:rFonts w:ascii="Times New Roman" w:eastAsia="Times New Roman" w:hAnsi="Times New Roman" w:cs="Times New Roman"/>
      <w:sz w:val="16"/>
      <w:lang w:val="en-US" w:eastAsia="en-US"/>
    </w:rPr>
  </w:style>
  <w:style w:type="paragraph" w:styleId="ListBullet">
    <w:name w:val="List Bullet"/>
    <w:basedOn w:val="List"/>
    <w:rsid w:val="000A2CB0"/>
    <w:pPr>
      <w:numPr>
        <w:numId w:val="13"/>
      </w:numPr>
      <w:tabs>
        <w:tab w:val="clear" w:pos="340"/>
      </w:tabs>
      <w:spacing w:before="40" w:after="40"/>
    </w:pPr>
  </w:style>
  <w:style w:type="character" w:customStyle="1" w:styleId="SpecialBold">
    <w:name w:val="Special Bold"/>
    <w:basedOn w:val="DefaultParagraphFont"/>
    <w:rsid w:val="000A2CB0"/>
    <w:rPr>
      <w:b/>
      <w:spacing w:val="0"/>
    </w:rPr>
  </w:style>
  <w:style w:type="paragraph" w:styleId="ListBullet2">
    <w:name w:val="List Bullet 2"/>
    <w:basedOn w:val="List2"/>
    <w:rsid w:val="000A2CB0"/>
    <w:pPr>
      <w:numPr>
        <w:numId w:val="14"/>
      </w:numPr>
      <w:tabs>
        <w:tab w:val="clear" w:pos="680"/>
      </w:tabs>
    </w:pPr>
  </w:style>
  <w:style w:type="paragraph" w:styleId="Header">
    <w:name w:val="header"/>
    <w:basedOn w:val="Normal"/>
    <w:link w:val="HeaderChar"/>
    <w:rsid w:val="000A2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C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2CB0"/>
    <w:pPr>
      <w:spacing w:before="240" w:after="120"/>
      <w:outlineLvl w:val="0"/>
    </w:pPr>
    <w:rPr>
      <w:rFonts w:ascii="Times New Roman" w:hAnsi="Times New Roman"/>
      <w:b/>
      <w:sz w:val="28"/>
    </w:rPr>
  </w:style>
  <w:style w:type="paragraph" w:customStyle="1" w:styleId="AllowPageBreak">
    <w:name w:val="AllowPageBreak"/>
    <w:rsid w:val="000A2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C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C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CB0"/>
    <w:rPr>
      <w:rFonts w:ascii="Courier New" w:eastAsia="Times New Roman" w:hAnsi="Courier New" w:cs="Times New Roman"/>
      <w:i/>
      <w:szCs w:val="20"/>
      <w:lang w:val="en-US" w:eastAsia="en-US"/>
    </w:rPr>
  </w:style>
  <w:style w:type="paragraph" w:customStyle="1" w:styleId="HeadingBase">
    <w:name w:val="Heading Base"/>
    <w:rsid w:val="000A2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CB0"/>
    <w:pPr>
      <w:tabs>
        <w:tab w:val="right" w:leader="dot" w:pos="9072"/>
      </w:tabs>
      <w:ind w:left="567"/>
    </w:pPr>
    <w:rPr>
      <w:szCs w:val="22"/>
    </w:rPr>
  </w:style>
  <w:style w:type="paragraph" w:customStyle="1" w:styleId="TOCBase">
    <w:name w:val="TOC Base"/>
    <w:rsid w:val="000A2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CB0"/>
    <w:pPr>
      <w:tabs>
        <w:tab w:val="right" w:leader="dot" w:pos="9072"/>
      </w:tabs>
      <w:spacing w:before="40" w:after="40"/>
      <w:ind w:left="284"/>
    </w:pPr>
    <w:rPr>
      <w:rFonts w:ascii="Times New Roman" w:hAnsi="Times New Roman"/>
    </w:rPr>
  </w:style>
  <w:style w:type="paragraph" w:styleId="TOC1">
    <w:name w:val="toc 1"/>
    <w:basedOn w:val="TOCBase"/>
    <w:next w:val="Normal"/>
    <w:rsid w:val="000A2C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CB0"/>
    <w:pPr>
      <w:spacing w:before="5040"/>
      <w:jc w:val="center"/>
    </w:pPr>
    <w:rPr>
      <w:sz w:val="48"/>
      <w:szCs w:val="72"/>
      <w:lang w:val="en-US"/>
    </w:rPr>
  </w:style>
  <w:style w:type="character" w:customStyle="1" w:styleId="TitleChar">
    <w:name w:val="Title Char"/>
    <w:basedOn w:val="DefaultParagraphFont"/>
    <w:link w:val="Title"/>
    <w:rsid w:val="000A2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CB0"/>
    <w:pPr>
      <w:tabs>
        <w:tab w:val="left" w:pos="3600"/>
        <w:tab w:val="left" w:pos="3958"/>
      </w:tabs>
    </w:pPr>
  </w:style>
  <w:style w:type="paragraph" w:styleId="List">
    <w:name w:val="List"/>
    <w:basedOn w:val="BodyText"/>
    <w:next w:val="BodyText"/>
    <w:rsid w:val="000A2CB0"/>
    <w:pPr>
      <w:tabs>
        <w:tab w:val="left" w:pos="340"/>
      </w:tabs>
      <w:spacing w:before="60" w:after="60"/>
      <w:ind w:left="340" w:hanging="340"/>
    </w:pPr>
  </w:style>
  <w:style w:type="paragraph" w:customStyle="1" w:styleId="Note">
    <w:name w:val="Note"/>
    <w:basedOn w:val="BodyText"/>
    <w:rsid w:val="000A2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CB0"/>
    <w:pPr>
      <w:framePr w:wrap="auto" w:hAnchor="text" w:y="6049"/>
    </w:pPr>
    <w:rPr>
      <w:color w:val="000000"/>
      <w:sz w:val="40"/>
    </w:rPr>
  </w:style>
  <w:style w:type="paragraph" w:customStyle="1" w:styleId="TOCTitle">
    <w:name w:val="TOCTitle"/>
    <w:basedOn w:val="Heading1"/>
    <w:rsid w:val="000A2CB0"/>
    <w:pPr>
      <w:spacing w:after="240"/>
      <w:jc w:val="center"/>
      <w:outlineLvl w:val="9"/>
    </w:pPr>
    <w:rPr>
      <w:caps/>
    </w:rPr>
  </w:style>
  <w:style w:type="paragraph" w:customStyle="1" w:styleId="Version">
    <w:name w:val="Version"/>
    <w:rsid w:val="000A2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CB0"/>
    <w:pPr>
      <w:keepNext w:val="0"/>
      <w:tabs>
        <w:tab w:val="right" w:pos="4176"/>
      </w:tabs>
      <w:ind w:left="198" w:hanging="198"/>
    </w:pPr>
    <w:rPr>
      <w:rFonts w:ascii="Garamond" w:hAnsi="Garamond"/>
    </w:rPr>
  </w:style>
  <w:style w:type="paragraph" w:styleId="IndexHeading">
    <w:name w:val="index heading"/>
    <w:basedOn w:val="Normal"/>
    <w:next w:val="Index1"/>
    <w:semiHidden/>
    <w:rsid w:val="000A2CB0"/>
    <w:pPr>
      <w:spacing w:before="120" w:after="120"/>
    </w:pPr>
    <w:rPr>
      <w:rFonts w:ascii="Arial" w:hAnsi="Arial"/>
      <w:b/>
      <w:color w:val="918585"/>
      <w:sz w:val="24"/>
    </w:rPr>
  </w:style>
  <w:style w:type="paragraph" w:customStyle="1" w:styleId="Chapter">
    <w:name w:val="Chapter"/>
    <w:basedOn w:val="Normal"/>
    <w:rsid w:val="000A2CB0"/>
    <w:pPr>
      <w:spacing w:before="240"/>
    </w:pPr>
    <w:rPr>
      <w:rFonts w:ascii="Times New Roman" w:hAnsi="Times New Roman"/>
      <w:smallCaps/>
      <w:spacing w:val="80"/>
      <w:sz w:val="28"/>
    </w:rPr>
  </w:style>
  <w:style w:type="paragraph" w:customStyle="1" w:styleId="InChapter">
    <w:name w:val="InChapter"/>
    <w:basedOn w:val="Heading3"/>
    <w:rsid w:val="000A2CB0"/>
    <w:pPr>
      <w:spacing w:after="240"/>
      <w:outlineLvl w:val="9"/>
    </w:pPr>
    <w:rPr>
      <w:noProof/>
    </w:rPr>
  </w:style>
  <w:style w:type="paragraph" w:styleId="Index2">
    <w:name w:val="index 2"/>
    <w:basedOn w:val="Normal"/>
    <w:next w:val="Normal"/>
    <w:semiHidden/>
    <w:rsid w:val="000A2CB0"/>
    <w:pPr>
      <w:tabs>
        <w:tab w:val="right" w:pos="4176"/>
      </w:tabs>
      <w:ind w:left="568" w:hanging="284"/>
    </w:pPr>
    <w:rPr>
      <w:rFonts w:ascii="Garamond" w:hAnsi="Garamond"/>
    </w:rPr>
  </w:style>
  <w:style w:type="paragraph" w:customStyle="1" w:styleId="Byline">
    <w:name w:val="Byline"/>
    <w:rsid w:val="000A2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CB0"/>
    <w:pPr>
      <w:tabs>
        <w:tab w:val="clear" w:pos="3600"/>
        <w:tab w:val="clear" w:pos="3958"/>
      </w:tabs>
      <w:jc w:val="right"/>
    </w:pPr>
  </w:style>
  <w:style w:type="character" w:styleId="Emphasis">
    <w:name w:val="Emphasis"/>
    <w:basedOn w:val="DefaultParagraphFont"/>
    <w:qFormat/>
    <w:rsid w:val="000A2CB0"/>
    <w:rPr>
      <w:i/>
    </w:rPr>
  </w:style>
  <w:style w:type="paragraph" w:styleId="Caption">
    <w:name w:val="caption"/>
    <w:basedOn w:val="BodyText"/>
    <w:next w:val="Normal"/>
    <w:qFormat/>
    <w:rsid w:val="000A2CB0"/>
    <w:pPr>
      <w:framePr w:w="2268" w:hSpace="181" w:vSpace="181" w:wrap="around" w:vAnchor="text" w:hAnchor="page" w:x="1135" w:y="285" w:anchorLock="1"/>
    </w:pPr>
    <w:rPr>
      <w:i/>
    </w:rPr>
  </w:style>
  <w:style w:type="paragraph" w:customStyle="1" w:styleId="MiniTOCTitle">
    <w:name w:val="MiniTOCTitle"/>
    <w:basedOn w:val="Heading4"/>
    <w:rsid w:val="000A2CB0"/>
    <w:pPr>
      <w:spacing w:before="240"/>
      <w:outlineLvl w:val="9"/>
    </w:pPr>
    <w:rPr>
      <w:noProof/>
      <w:sz w:val="24"/>
    </w:rPr>
  </w:style>
  <w:style w:type="paragraph" w:customStyle="1" w:styleId="MiniTOCItem">
    <w:name w:val="MiniTOCItem"/>
    <w:basedOn w:val="ListBullet"/>
    <w:rsid w:val="000A2CB0"/>
    <w:pPr>
      <w:numPr>
        <w:numId w:val="0"/>
      </w:numPr>
      <w:tabs>
        <w:tab w:val="right" w:leader="dot" w:pos="6521"/>
      </w:tabs>
      <w:spacing w:before="0" w:after="0"/>
    </w:pPr>
  </w:style>
  <w:style w:type="paragraph" w:customStyle="1" w:styleId="TOFTitle">
    <w:name w:val="TOFTitle"/>
    <w:basedOn w:val="TOCTitle"/>
    <w:rsid w:val="000A2CB0"/>
  </w:style>
  <w:style w:type="paragraph" w:styleId="TableofFigures">
    <w:name w:val="table of figures"/>
    <w:basedOn w:val="Normal"/>
    <w:next w:val="Normal"/>
    <w:semiHidden/>
    <w:rsid w:val="000A2CB0"/>
    <w:pPr>
      <w:tabs>
        <w:tab w:val="right" w:leader="dot" w:pos="9072"/>
      </w:tabs>
      <w:ind w:left="970" w:hanging="403"/>
    </w:pPr>
    <w:rPr>
      <w:rFonts w:ascii="Times New Roman" w:hAnsi="Times New Roman"/>
      <w:b/>
    </w:rPr>
  </w:style>
  <w:style w:type="paragraph" w:styleId="ListNumber">
    <w:name w:val="List Number"/>
    <w:basedOn w:val="List"/>
    <w:rsid w:val="000A2CB0"/>
    <w:pPr>
      <w:numPr>
        <w:numId w:val="11"/>
      </w:numPr>
    </w:pPr>
  </w:style>
  <w:style w:type="character" w:customStyle="1" w:styleId="WingdingSymbols">
    <w:name w:val="Wingding Symbols"/>
    <w:rsid w:val="000A2CB0"/>
    <w:rPr>
      <w:rFonts w:ascii="Wingdings" w:hAnsi="Wingdings"/>
    </w:rPr>
  </w:style>
  <w:style w:type="paragraph" w:customStyle="1" w:styleId="TableHeading">
    <w:name w:val="Table Heading"/>
    <w:basedOn w:val="HeadingBase"/>
    <w:rsid w:val="000A2CB0"/>
    <w:pPr>
      <w:keepLines/>
      <w:pBdr>
        <w:bottom w:val="single" w:sz="6" w:space="1" w:color="918585"/>
      </w:pBdr>
      <w:spacing w:before="240"/>
    </w:pPr>
  </w:style>
  <w:style w:type="character" w:customStyle="1" w:styleId="HotSpot">
    <w:name w:val="HotSpot"/>
    <w:rsid w:val="000A2CB0"/>
    <w:rPr>
      <w:color w:val="0033CC"/>
      <w:u w:val="none"/>
    </w:rPr>
  </w:style>
  <w:style w:type="paragraph" w:customStyle="1" w:styleId="BodyTextRight">
    <w:name w:val="Body Text Right"/>
    <w:basedOn w:val="BodyText"/>
    <w:rsid w:val="000A2CB0"/>
    <w:pPr>
      <w:spacing w:before="0" w:after="0"/>
      <w:jc w:val="right"/>
    </w:pPr>
  </w:style>
  <w:style w:type="paragraph" w:styleId="Index3">
    <w:name w:val="index 3"/>
    <w:basedOn w:val="ListNumber2"/>
    <w:next w:val="Normal"/>
    <w:semiHidden/>
    <w:rsid w:val="000A2CB0"/>
    <w:pPr>
      <w:numPr>
        <w:numId w:val="0"/>
      </w:numPr>
      <w:tabs>
        <w:tab w:val="right" w:leader="dot" w:pos="4176"/>
      </w:tabs>
    </w:pPr>
  </w:style>
  <w:style w:type="paragraph" w:styleId="ListNumber2">
    <w:name w:val="List Number 2"/>
    <w:basedOn w:val="List2"/>
    <w:rsid w:val="000A2CB0"/>
    <w:pPr>
      <w:numPr>
        <w:numId w:val="10"/>
      </w:numPr>
      <w:tabs>
        <w:tab w:val="clear" w:pos="1060"/>
      </w:tabs>
    </w:pPr>
  </w:style>
  <w:style w:type="paragraph" w:customStyle="1" w:styleId="MarginNote">
    <w:name w:val="Margin Note"/>
    <w:basedOn w:val="BodyText"/>
    <w:rsid w:val="000A2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C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CB0"/>
    <w:rPr>
      <w:sz w:val="32"/>
    </w:rPr>
  </w:style>
  <w:style w:type="paragraph" w:customStyle="1" w:styleId="HeadingProcedure">
    <w:name w:val="Heading Procedure"/>
    <w:basedOn w:val="HeadingBase"/>
    <w:next w:val="Normal"/>
    <w:rsid w:val="000A2CB0"/>
    <w:pPr>
      <w:tabs>
        <w:tab w:val="left" w:pos="0"/>
      </w:tabs>
      <w:spacing w:before="120" w:after="60"/>
    </w:pPr>
    <w:rPr>
      <w:i/>
      <w:color w:val="918585"/>
      <w:sz w:val="22"/>
    </w:rPr>
  </w:style>
  <w:style w:type="paragraph" w:customStyle="1" w:styleId="TableBodyText">
    <w:name w:val="Table Body Text"/>
    <w:basedOn w:val="BodyText"/>
    <w:rsid w:val="000A2CB0"/>
    <w:pPr>
      <w:spacing w:before="60" w:after="60"/>
    </w:pPr>
  </w:style>
  <w:style w:type="paragraph" w:styleId="ListContinue">
    <w:name w:val="List Continue"/>
    <w:basedOn w:val="List"/>
    <w:rsid w:val="000A2CB0"/>
    <w:pPr>
      <w:ind w:firstLine="0"/>
    </w:pPr>
  </w:style>
  <w:style w:type="paragraph" w:customStyle="1" w:styleId="ListNote">
    <w:name w:val="List Note"/>
    <w:basedOn w:val="List"/>
    <w:rsid w:val="000A2CB0"/>
    <w:pPr>
      <w:pBdr>
        <w:top w:val="single" w:sz="6" w:space="2" w:color="918585"/>
        <w:bottom w:val="single" w:sz="6" w:space="2" w:color="918585"/>
      </w:pBdr>
      <w:tabs>
        <w:tab w:val="left" w:pos="1021"/>
      </w:tabs>
      <w:ind w:firstLine="0"/>
    </w:pPr>
  </w:style>
  <w:style w:type="paragraph" w:customStyle="1" w:styleId="Warning">
    <w:name w:val="Warning"/>
    <w:basedOn w:val="BodyText"/>
    <w:rsid w:val="000A2CB0"/>
    <w:pPr>
      <w:shd w:val="clear" w:color="auto" w:fill="D9D9D9"/>
      <w:tabs>
        <w:tab w:val="left" w:pos="992"/>
      </w:tabs>
      <w:ind w:left="119" w:right="119"/>
    </w:pPr>
    <w:rPr>
      <w:sz w:val="20"/>
    </w:rPr>
  </w:style>
  <w:style w:type="paragraph" w:customStyle="1" w:styleId="MarginIcons">
    <w:name w:val="Margin Icons"/>
    <w:basedOn w:val="BodyText"/>
    <w:rsid w:val="000A2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CB0"/>
    <w:rPr>
      <w:rFonts w:ascii="Courier New" w:hAnsi="Courier New"/>
    </w:rPr>
  </w:style>
  <w:style w:type="paragraph" w:customStyle="1" w:styleId="NoteBullet">
    <w:name w:val="Note Bullet"/>
    <w:basedOn w:val="Note"/>
    <w:rsid w:val="000A2CB0"/>
    <w:pPr>
      <w:tabs>
        <w:tab w:val="clear" w:pos="680"/>
      </w:tabs>
      <w:spacing w:before="60" w:after="60"/>
    </w:pPr>
  </w:style>
  <w:style w:type="paragraph" w:customStyle="1" w:styleId="SubHeading2">
    <w:name w:val="SubHeading2"/>
    <w:basedOn w:val="HeadingBase"/>
    <w:rsid w:val="000A2CB0"/>
    <w:pPr>
      <w:spacing w:before="240" w:after="60"/>
    </w:pPr>
    <w:rPr>
      <w:sz w:val="20"/>
    </w:rPr>
  </w:style>
  <w:style w:type="paragraph" w:customStyle="1" w:styleId="SubHeading1">
    <w:name w:val="SubHeading1"/>
    <w:basedOn w:val="HeadingBase"/>
    <w:rsid w:val="000A2CB0"/>
    <w:pPr>
      <w:spacing w:before="240" w:after="60"/>
    </w:pPr>
    <w:rPr>
      <w:color w:val="918585"/>
      <w:sz w:val="22"/>
    </w:rPr>
  </w:style>
  <w:style w:type="paragraph" w:customStyle="1" w:styleId="SideHeading">
    <w:name w:val="Side Heading"/>
    <w:basedOn w:val="HeadingBase"/>
    <w:rsid w:val="000A2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CB0"/>
    <w:pPr>
      <w:numPr>
        <w:numId w:val="12"/>
      </w:numPr>
    </w:pPr>
  </w:style>
  <w:style w:type="paragraph" w:styleId="PlainText">
    <w:name w:val="Plain Text"/>
    <w:basedOn w:val="Normal"/>
    <w:link w:val="PlainTextChar"/>
    <w:rsid w:val="000A2CB0"/>
    <w:rPr>
      <w:sz w:val="20"/>
    </w:rPr>
  </w:style>
  <w:style w:type="character" w:customStyle="1" w:styleId="PlainTextChar">
    <w:name w:val="Plain Text Char"/>
    <w:basedOn w:val="DefaultParagraphFont"/>
    <w:link w:val="PlainText"/>
    <w:rsid w:val="000A2C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2CB0"/>
    <w:rPr>
      <w:b/>
      <w:smallCaps/>
    </w:rPr>
  </w:style>
  <w:style w:type="paragraph" w:customStyle="1" w:styleId="TableListNumber">
    <w:name w:val="Table List Number"/>
    <w:basedOn w:val="ListNumber"/>
    <w:rsid w:val="000A2CB0"/>
    <w:pPr>
      <w:numPr>
        <w:numId w:val="0"/>
      </w:numPr>
    </w:pPr>
  </w:style>
  <w:style w:type="paragraph" w:styleId="TOC4">
    <w:name w:val="toc 4"/>
    <w:basedOn w:val="TOCBase"/>
    <w:next w:val="Normal"/>
    <w:semiHidden/>
    <w:rsid w:val="000A2CB0"/>
    <w:pPr>
      <w:tabs>
        <w:tab w:val="right" w:leader="dot" w:pos="9071"/>
      </w:tabs>
      <w:ind w:left="1701"/>
    </w:pPr>
  </w:style>
  <w:style w:type="paragraph" w:customStyle="1" w:styleId="ListAlpha">
    <w:name w:val="List Alpha"/>
    <w:basedOn w:val="List"/>
    <w:rsid w:val="000A2CB0"/>
    <w:pPr>
      <w:numPr>
        <w:numId w:val="9"/>
      </w:numPr>
    </w:pPr>
  </w:style>
  <w:style w:type="paragraph" w:customStyle="1" w:styleId="ListAlpha2">
    <w:name w:val="List Alpha 2"/>
    <w:basedOn w:val="List2"/>
    <w:rsid w:val="000A2CB0"/>
    <w:pPr>
      <w:numPr>
        <w:numId w:val="8"/>
      </w:numPr>
    </w:pPr>
  </w:style>
  <w:style w:type="paragraph" w:styleId="List2">
    <w:name w:val="List 2"/>
    <w:basedOn w:val="BodyText"/>
    <w:rsid w:val="000A2CB0"/>
    <w:pPr>
      <w:tabs>
        <w:tab w:val="left" w:pos="680"/>
      </w:tabs>
      <w:spacing w:before="60" w:after="60"/>
      <w:ind w:left="680" w:hanging="340"/>
    </w:pPr>
  </w:style>
  <w:style w:type="paragraph" w:styleId="List3">
    <w:name w:val="List 3"/>
    <w:basedOn w:val="BodyText"/>
    <w:rsid w:val="000A2CB0"/>
    <w:pPr>
      <w:tabs>
        <w:tab w:val="left" w:pos="1021"/>
      </w:tabs>
      <w:spacing w:before="60" w:after="60"/>
      <w:ind w:left="1020" w:hanging="340"/>
    </w:pPr>
  </w:style>
  <w:style w:type="paragraph" w:styleId="List4">
    <w:name w:val="List 4"/>
    <w:basedOn w:val="BodyText"/>
    <w:rsid w:val="000A2CB0"/>
    <w:pPr>
      <w:tabs>
        <w:tab w:val="left" w:pos="1361"/>
      </w:tabs>
      <w:spacing w:before="60" w:after="60"/>
      <w:ind w:left="1361" w:hanging="340"/>
    </w:pPr>
  </w:style>
  <w:style w:type="paragraph" w:styleId="List5">
    <w:name w:val="List 5"/>
    <w:basedOn w:val="BodyText"/>
    <w:rsid w:val="000A2CB0"/>
    <w:pPr>
      <w:tabs>
        <w:tab w:val="left" w:pos="1701"/>
      </w:tabs>
      <w:spacing w:before="60" w:after="60"/>
      <w:ind w:left="1701" w:hanging="340"/>
    </w:pPr>
  </w:style>
  <w:style w:type="paragraph" w:styleId="ListBullet3">
    <w:name w:val="List Bullet 3"/>
    <w:basedOn w:val="List3"/>
    <w:rsid w:val="000A2CB0"/>
    <w:pPr>
      <w:numPr>
        <w:numId w:val="15"/>
      </w:numPr>
      <w:tabs>
        <w:tab w:val="clear" w:pos="1021"/>
      </w:tabs>
      <w:ind w:left="1037" w:hanging="357"/>
    </w:pPr>
  </w:style>
  <w:style w:type="paragraph" w:styleId="ListBullet4">
    <w:name w:val="List Bullet 4"/>
    <w:basedOn w:val="List4"/>
    <w:rsid w:val="000A2CB0"/>
    <w:pPr>
      <w:numPr>
        <w:numId w:val="3"/>
      </w:numPr>
    </w:pPr>
  </w:style>
  <w:style w:type="paragraph" w:styleId="ListBullet5">
    <w:name w:val="List Bullet 5"/>
    <w:basedOn w:val="List5"/>
    <w:rsid w:val="000A2CB0"/>
    <w:pPr>
      <w:numPr>
        <w:numId w:val="4"/>
      </w:numPr>
    </w:pPr>
  </w:style>
  <w:style w:type="paragraph" w:styleId="ListContinue2">
    <w:name w:val="List Continue 2"/>
    <w:basedOn w:val="List2"/>
    <w:rsid w:val="000A2CB0"/>
    <w:pPr>
      <w:ind w:firstLine="0"/>
    </w:pPr>
  </w:style>
  <w:style w:type="paragraph" w:styleId="ListContinue3">
    <w:name w:val="List Continue 3"/>
    <w:basedOn w:val="List3"/>
    <w:rsid w:val="000A2CB0"/>
    <w:pPr>
      <w:ind w:left="1021" w:firstLine="0"/>
    </w:pPr>
  </w:style>
  <w:style w:type="paragraph" w:styleId="ListContinue4">
    <w:name w:val="List Continue 4"/>
    <w:basedOn w:val="List4"/>
    <w:rsid w:val="000A2CB0"/>
    <w:pPr>
      <w:ind w:firstLine="0"/>
    </w:pPr>
  </w:style>
  <w:style w:type="paragraph" w:styleId="ListContinue5">
    <w:name w:val="List Continue 5"/>
    <w:basedOn w:val="List5"/>
    <w:rsid w:val="000A2CB0"/>
    <w:pPr>
      <w:ind w:firstLine="0"/>
    </w:pPr>
  </w:style>
  <w:style w:type="paragraph" w:styleId="ListNumber3">
    <w:name w:val="List Number 3"/>
    <w:basedOn w:val="List3"/>
    <w:rsid w:val="000A2CB0"/>
    <w:pPr>
      <w:numPr>
        <w:numId w:val="5"/>
      </w:numPr>
    </w:pPr>
  </w:style>
  <w:style w:type="paragraph" w:styleId="ListNumber4">
    <w:name w:val="List Number 4"/>
    <w:basedOn w:val="List4"/>
    <w:rsid w:val="000A2CB0"/>
    <w:pPr>
      <w:numPr>
        <w:numId w:val="6"/>
      </w:numPr>
    </w:pPr>
  </w:style>
  <w:style w:type="paragraph" w:styleId="ListNumber5">
    <w:name w:val="List Number 5"/>
    <w:basedOn w:val="List5"/>
    <w:rsid w:val="000A2CB0"/>
    <w:pPr>
      <w:numPr>
        <w:numId w:val="7"/>
      </w:numPr>
    </w:pPr>
  </w:style>
  <w:style w:type="paragraph" w:styleId="BlockText">
    <w:name w:val="Block Text"/>
    <w:basedOn w:val="Normal"/>
    <w:rsid w:val="000A2CB0"/>
    <w:pPr>
      <w:spacing w:after="120"/>
      <w:ind w:left="1440" w:right="1440"/>
    </w:pPr>
  </w:style>
  <w:style w:type="character" w:customStyle="1" w:styleId="Subscript">
    <w:name w:val="Subscript"/>
    <w:basedOn w:val="DefaultParagraphFont"/>
    <w:rsid w:val="000A2CB0"/>
    <w:rPr>
      <w:sz w:val="16"/>
      <w:vertAlign w:val="subscript"/>
    </w:rPr>
  </w:style>
  <w:style w:type="character" w:customStyle="1" w:styleId="Superscript">
    <w:name w:val="Superscript"/>
    <w:basedOn w:val="DefaultParagraphFont"/>
    <w:rsid w:val="000A2CB0"/>
    <w:rPr>
      <w:sz w:val="16"/>
      <w:vertAlign w:val="superscript"/>
    </w:rPr>
  </w:style>
  <w:style w:type="character" w:customStyle="1" w:styleId="Symbols">
    <w:name w:val="Symbols"/>
    <w:basedOn w:val="DefaultParagraphFont"/>
    <w:rsid w:val="000A2CB0"/>
    <w:rPr>
      <w:rFonts w:ascii="Symbol" w:hAnsi="Symbol"/>
    </w:rPr>
  </w:style>
  <w:style w:type="character" w:customStyle="1" w:styleId="MenuOptions">
    <w:name w:val="Menu Options"/>
    <w:basedOn w:val="DefaultParagraphFont"/>
    <w:rsid w:val="000A2CB0"/>
    <w:rPr>
      <w:rFonts w:ascii="Arial Narrow" w:hAnsi="Arial Narrow"/>
      <w:smallCaps/>
    </w:rPr>
  </w:style>
  <w:style w:type="character" w:customStyle="1" w:styleId="Buttons">
    <w:name w:val="Buttons"/>
    <w:basedOn w:val="DefaultParagraphFont"/>
    <w:rsid w:val="000A2CB0"/>
    <w:rPr>
      <w:b/>
    </w:rPr>
  </w:style>
  <w:style w:type="character" w:customStyle="1" w:styleId="Underlined">
    <w:name w:val="Underlined"/>
    <w:basedOn w:val="DefaultParagraphFont"/>
    <w:rsid w:val="000A2CB0"/>
    <w:rPr>
      <w:u w:val="single"/>
    </w:rPr>
  </w:style>
  <w:style w:type="paragraph" w:customStyle="1" w:styleId="TableBodyTextRight">
    <w:name w:val="Table Body Text Right"/>
    <w:basedOn w:val="TableBodyText"/>
    <w:rsid w:val="000A2CB0"/>
    <w:pPr>
      <w:widowControl w:val="0"/>
      <w:autoSpaceDE w:val="0"/>
      <w:autoSpaceDN w:val="0"/>
      <w:adjustRightInd w:val="0"/>
      <w:jc w:val="right"/>
    </w:pPr>
    <w:rPr>
      <w:rFonts w:cs="Arial"/>
      <w:szCs w:val="18"/>
    </w:rPr>
  </w:style>
  <w:style w:type="paragraph" w:customStyle="1" w:styleId="CopyrightText">
    <w:name w:val="Copyright Text"/>
    <w:basedOn w:val="BodyText"/>
    <w:rsid w:val="000A2CB0"/>
    <w:rPr>
      <w:sz w:val="18"/>
    </w:rPr>
  </w:style>
  <w:style w:type="paragraph" w:customStyle="1" w:styleId="BodySmallRight">
    <w:name w:val="Body Small Right"/>
    <w:basedOn w:val="BodyTextRight"/>
    <w:rsid w:val="000A2CB0"/>
    <w:rPr>
      <w:sz w:val="18"/>
      <w:szCs w:val="18"/>
    </w:rPr>
  </w:style>
  <w:style w:type="paragraph" w:customStyle="1" w:styleId="MarginEdition">
    <w:name w:val="Margin Edition"/>
    <w:basedOn w:val="MarginNote"/>
    <w:rsid w:val="000A2CB0"/>
    <w:pPr>
      <w:spacing w:before="0" w:after="0"/>
    </w:pPr>
    <w:rPr>
      <w:rFonts w:ascii="Times New Roman" w:hAnsi="Times New Roman"/>
      <w:color w:val="999999"/>
    </w:rPr>
  </w:style>
  <w:style w:type="paragraph" w:customStyle="1" w:styleId="Spacer">
    <w:name w:val="Spacer"/>
    <w:basedOn w:val="Normal"/>
    <w:rsid w:val="000A2CB0"/>
    <w:rPr>
      <w:sz w:val="2"/>
      <w:szCs w:val="2"/>
    </w:rPr>
  </w:style>
  <w:style w:type="character" w:customStyle="1" w:styleId="Small">
    <w:name w:val="Small"/>
    <w:basedOn w:val="DefaultParagraphFont"/>
    <w:rsid w:val="000A2CB0"/>
    <w:rPr>
      <w:sz w:val="16"/>
    </w:rPr>
  </w:style>
  <w:style w:type="paragraph" w:customStyle="1" w:styleId="WideTable">
    <w:name w:val="Wide Table"/>
    <w:basedOn w:val="Normal"/>
    <w:rsid w:val="000A2CB0"/>
    <w:pPr>
      <w:ind w:left="-1418"/>
    </w:pPr>
    <w:rPr>
      <w:sz w:val="2"/>
      <w:szCs w:val="2"/>
    </w:rPr>
  </w:style>
  <w:style w:type="character" w:styleId="PageNumber">
    <w:name w:val="page number"/>
    <w:basedOn w:val="DefaultParagraphFont"/>
    <w:rsid w:val="000A2CB0"/>
  </w:style>
  <w:style w:type="paragraph" w:styleId="Quote">
    <w:name w:val="Quote"/>
    <w:basedOn w:val="Heading1"/>
    <w:link w:val="QuoteChar"/>
    <w:qFormat/>
    <w:rsid w:val="000A2CB0"/>
    <w:rPr>
      <w:b w:val="0"/>
      <w:sz w:val="72"/>
      <w:szCs w:val="72"/>
      <w:lang w:val="en-NZ"/>
    </w:rPr>
  </w:style>
  <w:style w:type="character" w:customStyle="1" w:styleId="QuoteChar">
    <w:name w:val="Quote Char"/>
    <w:basedOn w:val="DefaultParagraphFont"/>
    <w:link w:val="Quote"/>
    <w:rsid w:val="000A2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CB0"/>
    <w:pPr>
      <w:pageBreakBefore/>
    </w:pPr>
  </w:style>
  <w:style w:type="paragraph" w:customStyle="1" w:styleId="Border">
    <w:name w:val="Border"/>
    <w:basedOn w:val="Normal"/>
    <w:qFormat/>
    <w:rsid w:val="000A2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CB0"/>
    <w:rPr>
      <w:b/>
      <w:bCs/>
      <w:i/>
      <w:iCs/>
      <w:color w:val="auto"/>
    </w:rPr>
  </w:style>
  <w:style w:type="paragraph" w:styleId="IntenseQuote">
    <w:name w:val="Intense Quote"/>
    <w:basedOn w:val="Normal"/>
    <w:next w:val="Normal"/>
    <w:link w:val="IntenseQuoteChar"/>
    <w:uiPriority w:val="30"/>
    <w:qFormat/>
    <w:rsid w:val="000A2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C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2CB0"/>
    <w:rPr>
      <w:smallCaps/>
      <w:color w:val="auto"/>
      <w:u w:val="single"/>
    </w:rPr>
  </w:style>
  <w:style w:type="character" w:styleId="IntenseReference">
    <w:name w:val="Intense Reference"/>
    <w:basedOn w:val="DefaultParagraphFont"/>
    <w:uiPriority w:val="32"/>
    <w:qFormat/>
    <w:rsid w:val="000A2CB0"/>
    <w:rPr>
      <w:b/>
      <w:bCs/>
      <w:smallCaps/>
      <w:color w:val="auto"/>
      <w:spacing w:val="5"/>
      <w:u w:val="single"/>
    </w:rPr>
  </w:style>
  <w:style w:type="paragraph" w:customStyle="1" w:styleId="2ColumnHeading">
    <w:name w:val="2Column Heading"/>
    <w:basedOn w:val="BodyText"/>
    <w:qFormat/>
    <w:rsid w:val="000A2CB0"/>
    <w:pPr>
      <w:spacing w:after="60"/>
      <w:ind w:left="-2268"/>
    </w:pPr>
    <w:rPr>
      <w:b/>
    </w:rPr>
  </w:style>
  <w:style w:type="paragraph" w:customStyle="1" w:styleId="Heading1TOC">
    <w:name w:val="Heading1 TOC"/>
    <w:basedOn w:val="Normal"/>
    <w:qFormat/>
    <w:rsid w:val="000A2CB0"/>
    <w:pPr>
      <w:spacing w:before="240" w:after="120"/>
    </w:pPr>
    <w:rPr>
      <w:rFonts w:ascii="Times New Roman" w:hAnsi="Times New Roman"/>
      <w:b/>
      <w:sz w:val="32"/>
    </w:rPr>
  </w:style>
  <w:style w:type="paragraph" w:customStyle="1" w:styleId="Heading2TOC">
    <w:name w:val="Heading2 TOC"/>
    <w:basedOn w:val="Normal"/>
    <w:qFormat/>
    <w:rsid w:val="000A2CB0"/>
    <w:pPr>
      <w:spacing w:before="240" w:after="60"/>
    </w:pPr>
    <w:rPr>
      <w:rFonts w:ascii="Times New Roman" w:hAnsi="Times New Roman"/>
      <w:b/>
      <w:sz w:val="28"/>
    </w:rPr>
  </w:style>
  <w:style w:type="character" w:customStyle="1" w:styleId="Underline">
    <w:name w:val="Underline"/>
    <w:basedOn w:val="DefaultParagraphFont"/>
    <w:qFormat/>
    <w:rsid w:val="000A2CB0"/>
    <w:rPr>
      <w:u w:val="single"/>
    </w:rPr>
  </w:style>
  <w:style w:type="character" w:customStyle="1" w:styleId="BoldandItalics">
    <w:name w:val="Bold and Italics"/>
    <w:qFormat/>
    <w:rsid w:val="000A2CB0"/>
    <w:rPr>
      <w:b/>
      <w:i/>
      <w:u w:val="none"/>
    </w:rPr>
  </w:style>
  <w:style w:type="paragraph" w:styleId="BalloonText">
    <w:name w:val="Balloon Text"/>
    <w:basedOn w:val="Normal"/>
    <w:link w:val="BalloonTextChar"/>
    <w:rsid w:val="000A2CB0"/>
    <w:rPr>
      <w:rFonts w:ascii="Tahoma" w:hAnsi="Tahoma" w:cs="Tahoma"/>
      <w:sz w:val="16"/>
      <w:szCs w:val="16"/>
    </w:rPr>
  </w:style>
  <w:style w:type="character" w:customStyle="1" w:styleId="BalloonTextChar">
    <w:name w:val="Balloon Text Char"/>
    <w:basedOn w:val="DefaultParagraphFont"/>
    <w:link w:val="BalloonText"/>
    <w:rsid w:val="000A2C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C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C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2362</Words>
  <Characters>14295</Characters>
  <Application>Microsoft Office Word</Application>
  <DocSecurity>0</DocSecurity>
  <Lines>721</Lines>
  <Paragraphs>295</Paragraphs>
  <ScaleCrop>false</ScaleCrop>
  <Company>Author-it Software Corporation Ltd.</Company>
  <LinksUpToDate>false</LinksUpToDate>
  <CharactersWithSpaces>16404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UEGNSG123A Manage financial resources in Gas Industry facility</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2012-05-26T22:03:00Z</dcterms:created>
  <dcterms:modified xsi:type="dcterms:W3CDTF">2012-05-26T22:03:00Z</dcterms:modified>
</cp:coreProperties>
</file>