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DE0" w:rsidP="00193DE0">
      <w:pPr>
        <w:pStyle w:val="Title"/>
      </w:pPr>
      <w:r>
        <w:fldChar w:fldCharType="begin"/>
      </w:r>
      <w:r>
        <w:instrText xml:space="preserve"> TITLE   \* MERGEFORMAT </w:instrText>
      </w:r>
      <w:r>
        <w:fldChar w:fldCharType="separate"/>
      </w:r>
      <w:r>
        <w:t>UEGNSG120A Manage gas system environmental compliance</w:t>
      </w:r>
      <w:r>
        <w:fldChar w:fldCharType="end"/>
      </w:r>
    </w:p>
    <w:p w:rsidR="00193DE0" w:rsidP="00193DE0">
      <w:pPr>
        <w:pStyle w:val="Version"/>
        <w:sectPr w:rsidSect="00AB3B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BD2" w:rsidP="00AB3BD2">
      <w:pPr>
        <w:pStyle w:val="SuperHeading"/>
      </w:pPr>
      <w:r w:rsidRPr="00AB3BD2">
        <w:t>UEGNSG120A Manage gas system environmental compliance</w:t>
      </w:r>
    </w:p>
    <w:p w:rsidR="00000000" w:rsidRPr="00AB3BD2" w:rsidP="00AB3BD2">
      <w:pPr>
        <w:pStyle w:val="Heading1"/>
      </w:pPr>
      <w:bookmarkStart w:id="1" w:name="O_275092"/>
      <w:bookmarkEnd w:id="1"/>
      <w:r w:rsidRPr="00AB3BD2">
        <w:t>Modification History</w:t>
      </w:r>
    </w:p>
    <w:p w:rsidR="00000000" w:rsidRPr="00AB3BD2" w:rsidP="00AB3BD2">
      <w:pPr>
        <w:pStyle w:val="BodyText"/>
      </w:pPr>
      <w:r w:rsidRPr="00AB3BD2">
        <w:t>Not Applicable</w:t>
      </w:r>
    </w:p>
    <w:p w:rsidR="00000000" w:rsidRPr="00AB3BD2" w:rsidP="00AB3BD2">
      <w:pPr>
        <w:pStyle w:val="AllowPageBreak"/>
      </w:pPr>
    </w:p>
    <w:p w:rsidR="00000000" w:rsidRPr="00AB3BD2" w:rsidP="00AB3BD2">
      <w:pPr>
        <w:pStyle w:val="Heading1"/>
      </w:pPr>
      <w:bookmarkStart w:id="2" w:name="O_229376"/>
      <w:bookmarkEnd w:id="2"/>
      <w:r w:rsidRPr="00AB3BD2">
        <w:t>Unit Descriptor</w:t>
      </w:r>
    </w:p>
    <w:tbl>
      <w:tblPr>
        <w:tblW w:w="0" w:type="auto"/>
        <w:tblLayout w:type="fixed"/>
        <w:tblCellMar>
          <w:left w:w="62" w:type="dxa"/>
          <w:right w:w="62" w:type="dxa"/>
        </w:tblCellMar>
        <w:tblLook w:val="0000"/>
      </w:tblPr>
      <w:tblGrid>
        <w:gridCol w:w="2700"/>
        <w:gridCol w:w="5760"/>
      </w:tblGrid>
      <w:tr w:rsidTr="00193D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rPr>
                <w:rStyle w:val="SpecialBold"/>
              </w:rPr>
              <w:t>1</w:t>
            </w:r>
            <w:r w:rsidRPr="00AB3BD2">
              <w:t>)</w:t>
            </w:r>
          </w:p>
        </w:tc>
      </w:tr>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t>This Unit covers the skills and knowledge required to ensure that all gas installations and assets comply with legal, environmental, Occupational Health and Safety and community standards. This competency standard refers to Gas systems; Legislative complia</w:t>
            </w:r>
            <w:r w:rsidRPr="00AB3BD2">
              <w:t>nce; Environmental issues; Safety issues and Relevant personnel.</w:t>
            </w:r>
          </w:p>
        </w:tc>
      </w:tr>
    </w:tbl>
    <w:p w:rsidR="00193DE0" w:rsidP="00AB3BD2">
      <w:pPr>
        <w:pStyle w:val="BodyText"/>
      </w:pPr>
    </w:p>
    <w:p w:rsidR="00193DE0" w:rsidP="00AB3BD2">
      <w:pPr>
        <w:pStyle w:val="BodyText"/>
      </w:pPr>
    </w:p>
    <w:p w:rsidR="00000000" w:rsidRPr="00AB3BD2" w:rsidP="00AB3BD2">
      <w:pPr>
        <w:pStyle w:val="Heading1"/>
      </w:pPr>
      <w:bookmarkStart w:id="3" w:name="O_229379"/>
      <w:bookmarkEnd w:id="3"/>
      <w:r w:rsidRPr="00AB3BD2">
        <w:t>Application of the Unit</w:t>
      </w:r>
    </w:p>
    <w:tbl>
      <w:tblPr>
        <w:tblW w:w="0" w:type="auto"/>
        <w:tblLayout w:type="fixed"/>
        <w:tblCellMar>
          <w:left w:w="62" w:type="dxa"/>
          <w:right w:w="62" w:type="dxa"/>
        </w:tblCellMar>
        <w:tblLook w:val="0000"/>
      </w:tblPr>
      <w:tblGrid>
        <w:gridCol w:w="2700"/>
        <w:gridCol w:w="5760"/>
      </w:tblGrid>
      <w:tr w:rsidTr="00193D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rPr>
                <w:rStyle w:val="SpecialBold"/>
              </w:rPr>
              <w:t>3</w:t>
            </w:r>
            <w:r w:rsidRPr="00AB3BD2">
              <w:t xml:space="preserve">) </w:t>
            </w:r>
          </w:p>
        </w:tc>
      </w:tr>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t>This competency standard shall apply to any basic and safe work site where Gas Industry operations occur. It could al</w:t>
            </w:r>
            <w:r w:rsidRPr="00AB3BD2">
              <w:t>so apply, where applicable to other workplaces in the electricity supply industry (transmission and distribution and generation), the electrotechnology industry and the water industry, subject to all Occupational Health and Safety and duty of care requirem</w:t>
            </w:r>
            <w:r w:rsidRPr="00AB3BD2">
              <w:t>ents being met for the workplace.</w:t>
            </w:r>
          </w:p>
        </w:tc>
      </w:tr>
    </w:tbl>
    <w:p w:rsidR="00193DE0" w:rsidP="00AB3BD2">
      <w:pPr>
        <w:pStyle w:val="BodyText"/>
      </w:pPr>
    </w:p>
    <w:p w:rsidR="00193DE0" w:rsidP="00AB3BD2">
      <w:pPr>
        <w:pStyle w:val="BodyText"/>
      </w:pPr>
    </w:p>
    <w:p w:rsidR="00000000" w:rsidRPr="00AB3BD2" w:rsidP="00AB3BD2">
      <w:pPr>
        <w:pStyle w:val="Heading1"/>
      </w:pPr>
      <w:bookmarkStart w:id="4" w:name="O_229380"/>
      <w:bookmarkEnd w:id="4"/>
      <w:r w:rsidRPr="00AB3BD2">
        <w:t>Licensing/Regulatory Information</w:t>
      </w:r>
    </w:p>
    <w:tbl>
      <w:tblPr>
        <w:tblW w:w="0" w:type="auto"/>
        <w:tblLayout w:type="fixed"/>
        <w:tblCellMar>
          <w:left w:w="62" w:type="dxa"/>
          <w:right w:w="62" w:type="dxa"/>
        </w:tblCellMar>
        <w:tblLook w:val="0000"/>
      </w:tblPr>
      <w:tblGrid>
        <w:gridCol w:w="2700"/>
        <w:gridCol w:w="5760"/>
      </w:tblGrid>
      <w:tr w:rsidTr="00193D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rPr>
                <w:rStyle w:val="SpecialBold"/>
              </w:rPr>
              <w:t>3</w:t>
            </w:r>
            <w:r w:rsidRPr="00AB3BD2">
              <w:t>.</w:t>
            </w:r>
            <w:r w:rsidRPr="00AB3BD2">
              <w:rPr>
                <w:rStyle w:val="SpecialBold"/>
              </w:rPr>
              <w:t>1</w:t>
            </w:r>
            <w:r w:rsidRPr="00AB3BD2">
              <w:t xml:space="preserve">) </w:t>
            </w:r>
          </w:p>
        </w:tc>
      </w:tr>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t>The skills and knowledge described in this unit are not subject to licence regulation other than those directly related to Occupati</w:t>
            </w:r>
            <w:r w:rsidRPr="00AB3BD2">
              <w:t xml:space="preserve">onal Health and Safety, gas/electricity/water industry safety and compliance, industrial relations, environmental protection, telecommunications, anti discrimination and training. </w:t>
            </w:r>
            <w:r w:rsidRPr="00AB3BD2">
              <w:t>Commonwealth, State/Territory or Local Government legislation and regulation</w:t>
            </w:r>
            <w:r w:rsidRPr="00AB3BD2">
              <w:t>s may exist that limit the age at which a person can operate certain equipment.</w:t>
            </w:r>
          </w:p>
        </w:tc>
      </w:tr>
    </w:tbl>
    <w:p w:rsidR="00193DE0" w:rsidP="00AB3BD2">
      <w:pPr>
        <w:pStyle w:val="BodyText"/>
      </w:pPr>
    </w:p>
    <w:p w:rsidR="00193DE0" w:rsidP="00AB3BD2">
      <w:pPr>
        <w:pStyle w:val="BodyText"/>
      </w:pPr>
    </w:p>
    <w:p w:rsidR="00000000" w:rsidRPr="00AB3BD2" w:rsidP="00AB3BD2">
      <w:pPr>
        <w:pStyle w:val="Heading1"/>
      </w:pPr>
      <w:bookmarkStart w:id="5" w:name="O_229377"/>
      <w:bookmarkEnd w:id="5"/>
      <w:r w:rsidRPr="00AB3BD2">
        <w:t>Pre-Requisites</w:t>
      </w:r>
    </w:p>
    <w:tbl>
      <w:tblPr>
        <w:tblW w:w="0" w:type="auto"/>
        <w:tblLayout w:type="fixed"/>
        <w:tblCellMar>
          <w:left w:w="62" w:type="dxa"/>
          <w:right w:w="62" w:type="dxa"/>
        </w:tblCellMar>
        <w:tblLook w:val="0000"/>
      </w:tblPr>
      <w:tblGrid>
        <w:gridCol w:w="2700"/>
        <w:gridCol w:w="1800"/>
        <w:gridCol w:w="3960"/>
      </w:tblGrid>
      <w:tr w:rsidTr="00193D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Prerequisite Unit</w:t>
            </w:r>
            <w:r w:rsidRPr="00AB3BD2">
              <w:t>(</w:t>
            </w:r>
            <w:r w:rsidRPr="00AB3BD2">
              <w:rPr>
                <w:rStyle w:val="SpecialBold"/>
              </w:rPr>
              <w:t>s</w:t>
            </w:r>
            <w:r w:rsidRPr="00AB3BD2">
              <w:t>)</w:t>
            </w:r>
          </w:p>
        </w:tc>
        <w:tc>
          <w:tcPr>
            <w:tcW w:w="5760" w:type="dxa"/>
            <w:gridSpan w:val="2"/>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rPr>
                <w:rStyle w:val="SpecialBold"/>
              </w:rPr>
              <w:t>2</w:t>
            </w:r>
            <w:r w:rsidRPr="00AB3BD2">
              <w:t xml:space="preserve">) </w:t>
            </w:r>
          </w:p>
        </w:tc>
      </w:tr>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rPr>
                <w:rStyle w:val="SpecialBold"/>
              </w:rPr>
              <w:t>2</w:t>
            </w:r>
            <w:r w:rsidRPr="00AB3BD2">
              <w:t>.</w:t>
            </w:r>
            <w:r w:rsidRPr="00AB3BD2">
              <w:rPr>
                <w:rStyle w:val="SpecialBold"/>
              </w:rPr>
              <w:t>1</w:t>
            </w:r>
            <w:r w:rsidRPr="00AB3BD2">
              <w:t xml:space="preserve">) </w:t>
            </w:r>
          </w:p>
        </w:tc>
      </w:tr>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Granting of competency in this unit shall be made only after competency in the following unit(s) has/have been confirmed:</w:t>
            </w:r>
          </w:p>
        </w:tc>
      </w:tr>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Nil</w:t>
            </w:r>
          </w:p>
        </w:tc>
        <w:tc>
          <w:tcPr>
            <w:tcW w:w="3960" w:type="dxa"/>
            <w:tcBorders>
              <w:top w:val="nil"/>
              <w:left w:val="nil"/>
              <w:bottom w:val="nil"/>
              <w:right w:val="nil"/>
            </w:tcBorders>
            <w:tcMar>
              <w:top w:w="0" w:type="dxa"/>
              <w:left w:w="62" w:type="dxa"/>
              <w:bottom w:w="0" w:type="dxa"/>
              <w:right w:w="62" w:type="dxa"/>
            </w:tcMar>
          </w:tcPr>
          <w:p w:rsidR="00000000" w:rsidRPr="00AB3BD2" w:rsidP="00AB3BD2">
            <w:pPr>
              <w:pStyle w:val="BodyText"/>
            </w:pPr>
          </w:p>
        </w:tc>
      </w:tr>
    </w:tbl>
    <w:p w:rsidR="00193DE0" w:rsidP="00AB3BD2">
      <w:pPr>
        <w:pStyle w:val="BodyText"/>
      </w:pPr>
    </w:p>
    <w:p w:rsidR="00193DE0" w:rsidP="00AB3BD2">
      <w:pPr>
        <w:pStyle w:val="BodyText"/>
      </w:pPr>
    </w:p>
    <w:p w:rsidR="00000000" w:rsidRPr="00AB3BD2" w:rsidP="00AB3BD2">
      <w:pPr>
        <w:pStyle w:val="Heading1"/>
      </w:pPr>
      <w:bookmarkStart w:id="6" w:name="O_285341"/>
      <w:bookmarkEnd w:id="6"/>
      <w:r w:rsidRPr="00AB3BD2">
        <w:t>Employability Skills Information</w:t>
      </w:r>
    </w:p>
    <w:p w:rsidR="00000000" w:rsidRPr="00AB3BD2" w:rsidP="00AB3BD2">
      <w:pPr>
        <w:pStyle w:val="BodyText"/>
      </w:pPr>
      <w:r w:rsidRPr="00AB3BD2">
        <w:t>Refer to the Evidence Guide</w:t>
      </w:r>
    </w:p>
    <w:p w:rsidR="00000000" w:rsidRPr="00AB3BD2" w:rsidP="00AB3BD2">
      <w:pPr>
        <w:pStyle w:val="AllowPageBreak"/>
      </w:pPr>
    </w:p>
    <w:p w:rsidR="00000000" w:rsidRPr="00AB3BD2" w:rsidP="00AB3BD2">
      <w:pPr>
        <w:pStyle w:val="Heading1"/>
      </w:pPr>
      <w:bookmarkStart w:id="7" w:name="O_293138"/>
      <w:bookmarkEnd w:id="7"/>
      <w:r w:rsidRPr="00AB3BD2">
        <w:t>Elements and Performance Criteria Pre-Content</w:t>
      </w:r>
    </w:p>
    <w:tbl>
      <w:tblPr>
        <w:tblW w:w="0" w:type="auto"/>
        <w:tblLayout w:type="fixed"/>
        <w:tblCellMar>
          <w:left w:w="62" w:type="dxa"/>
          <w:right w:w="62" w:type="dxa"/>
        </w:tblCellMar>
        <w:tblLook w:val="0000"/>
      </w:tblPr>
      <w:tblGrid>
        <w:gridCol w:w="2700"/>
        <w:gridCol w:w="5760"/>
      </w:tblGrid>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rPr>
                <w:rStyle w:val="SpecialBold"/>
              </w:rPr>
              <w:t>5</w:t>
            </w:r>
            <w:r w:rsidRPr="00AB3BD2">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t>Performance Criteria describe the required performance needed to demonstrate achievement of the element. Assessment of performance is to</w:t>
            </w:r>
            <w:r w:rsidRPr="00AB3BD2">
              <w:t xml:space="preserve"> be consistent with the evidence guide.</w:t>
            </w:r>
          </w:p>
        </w:tc>
      </w:tr>
    </w:tbl>
    <w:p w:rsidR="00000000" w:rsidRPr="00AB3BD2" w:rsidP="00AB3BD2">
      <w:pPr>
        <w:pStyle w:val="BodyText"/>
      </w:pPr>
    </w:p>
    <w:p w:rsidR="00000000" w:rsidRPr="00AB3BD2" w:rsidP="00AB3BD2">
      <w:pPr>
        <w:pStyle w:val="AllowPageBreak"/>
      </w:pPr>
    </w:p>
    <w:p w:rsidR="00000000" w:rsidRPr="00AB3BD2" w:rsidP="00AB3BD2">
      <w:pPr>
        <w:pStyle w:val="Heading1"/>
      </w:pPr>
      <w:bookmarkStart w:id="8" w:name="O_239806"/>
      <w:bookmarkEnd w:id="8"/>
      <w:r w:rsidRPr="00AB3BD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93DE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rPr>
                <w:rStyle w:val="SpecialBold"/>
              </w:rPr>
              <w:t>PERFORMANCE CRITERIA</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1</w:t>
            </w:r>
          </w:p>
        </w:tc>
        <w:tc>
          <w:tcPr>
            <w:tcW w:w="2296" w:type="dxa"/>
            <w:vMerge w:val="restart"/>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Identify and document environmental issues for a proposed gas system</w:t>
            </w: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1.1</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OHS principles and practices and Environmental and Sustainable Energy procedures which may influence the system are reviewed and determined</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1.2</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 xml:space="preserve">Legislative requirements are identified and </w:t>
            </w:r>
            <w:r w:rsidRPr="00AB3BD2">
              <w:t>impact assessments are conducted or arranged as appropriate accor</w:t>
            </w:r>
            <w:r w:rsidRPr="00AB3BD2">
              <w:t>ding to established procedures</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1.3</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Organisational established procedures on policies and specifications for the work are obtained or established with the appropriate personnel</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1.4</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Testing parameters are established from organisational established procedures on policies and specifications</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1.5</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Testing procedures are discussed with persons in order to ascertain the project brief</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1.6</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Equipment, tools and personal protective equipment are selected and coordinated based on specified requirements and established procedures</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1.7</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Work roles and tasks are allocated according to requirements and individual's competencies</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1.8</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Work is prio</w:t>
            </w:r>
            <w:r w:rsidRPr="00AB3BD2">
              <w:t xml:space="preserve">ritised and sequenced for the most effective outcome, completed within an acceptable timeframe to a quality standard and in accordance with established procedures </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1.9</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 xml:space="preserve">Liaison and communication issues with authorised personnel, authorities, clients and </w:t>
            </w:r>
            <w:r w:rsidRPr="00AB3BD2">
              <w:t xml:space="preserve">land owners are resolved and activities coordinated to carry out work </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1.10</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 xml:space="preserve">Risk control measures are identified, prioritised and evaluated against the work schedule </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1.11</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Relevant work permits are secured to coordinate the performance of work according to requirements and established procedures</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2</w:t>
            </w:r>
          </w:p>
        </w:tc>
        <w:tc>
          <w:tcPr>
            <w:tcW w:w="2296"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 xml:space="preserve">Facilitate negotiations for compliance with all Regulations, Standards </w:t>
            </w: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2.1</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All internal and external stakeholders are identified and relevant and qualified persons are consulted on compliance needs</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and Codes of Practice</w:t>
            </w: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2.2</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 xml:space="preserve">Negotiated decisions are made on the basis of safety and environmental compliance and effective outcomes </w:t>
            </w:r>
            <w:r w:rsidRPr="00AB3BD2">
              <w:t xml:space="preserve">according to requirements </w:t>
            </w:r>
            <w:r w:rsidRPr="00AB3BD2">
              <w:t>and established procedures</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2.3</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Technical advice is given regarding hazards, assessed risks and control measures so that monitoring can be undertaken and appropriate authorities consulted, where necessary, in accordance with req</w:t>
            </w:r>
            <w:r w:rsidRPr="00AB3BD2">
              <w:t>uirements and established procedures</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2.4</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Essential Knowledge and Associated Skills are applied to analyse specific data and compare it with compliance specifications to ensure completion of the project within an agreed timeframe according to requirement</w:t>
            </w:r>
            <w:r w:rsidRPr="00AB3BD2">
              <w:t>s</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2.5</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 xml:space="preserve">Work teams are arranged to ensure planned goals are met according to established procedures </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2.6</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 xml:space="preserve">Solutions to non-routine problems are identified and actioned, using acquired Essential Knowledge and Associated Skills, according to requirements </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2.7</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Quality of work is monitored against personal performance agreement and established organisational and professional standards</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2.8</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 xml:space="preserve">Strategic plans are developed incorporating organisation initiatives as per established procedures </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3</w:t>
            </w:r>
          </w:p>
        </w:tc>
        <w:tc>
          <w:tcPr>
            <w:tcW w:w="2296"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Review environmental and OHS management plans for a gas system</w:t>
            </w: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3.1</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Environmental and OHS risks and their likely impacts for a gas system on the installation assets and to communities are identified and analysed to determine control options</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3.2</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Options f</w:t>
            </w:r>
            <w:r w:rsidRPr="00AB3BD2">
              <w:t>or addressing potential impacts are identified, proposed and costed</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3.3</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Requisite environmental and OHS management strategies are determined and recommendations made according to company policies, procedures and processes</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3.4</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 xml:space="preserve">Requisite environmental and OHS management strategies are determined and recommendations made according to company policies, procedures </w:t>
            </w:r>
            <w:r w:rsidRPr="00AB3BD2">
              <w:t>and processes</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3.5</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Final inspections of the work are undertaken to ensure they comply with all requirements and includ</w:t>
            </w:r>
            <w:r w:rsidRPr="00AB3BD2">
              <w:t>e all specifications and documentations needed to complete the project</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3.6</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Persons are notified of completion and reports and completion documents are finalised</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3.7</w:t>
            </w:r>
          </w:p>
        </w:tc>
        <w:tc>
          <w:tcPr>
            <w:tcW w:w="48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Reports and completion documents are submitted to relevant personnel and organisation</w:t>
            </w:r>
            <w:r w:rsidRPr="00AB3BD2">
              <w:t>s for approval and where applicable, statutory or regulatory approval</w:t>
            </w:r>
          </w:p>
        </w:tc>
      </w:tr>
      <w:tr w:rsidTr="00193D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3.8</w:t>
            </w:r>
          </w:p>
        </w:tc>
        <w:tc>
          <w:tcPr>
            <w:tcW w:w="486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t>Approved copies of documents are issued and records are updated in accordance with established procedures</w:t>
            </w:r>
          </w:p>
        </w:tc>
      </w:tr>
    </w:tbl>
    <w:p w:rsidR="00193DE0" w:rsidP="00AB3BD2">
      <w:pPr>
        <w:pStyle w:val="BodyText"/>
      </w:pPr>
    </w:p>
    <w:p w:rsidR="00193DE0" w:rsidP="00AB3BD2">
      <w:pPr>
        <w:pStyle w:val="BodyText"/>
      </w:pPr>
    </w:p>
    <w:p w:rsidR="00000000" w:rsidRPr="00AB3BD2" w:rsidP="00AB3BD2">
      <w:pPr>
        <w:pStyle w:val="Heading1"/>
      </w:pPr>
      <w:bookmarkStart w:id="9" w:name="O_263597"/>
      <w:bookmarkEnd w:id="9"/>
      <w:r w:rsidRPr="00AB3BD2">
        <w:t>Required Skills and Knowledge</w:t>
      </w:r>
    </w:p>
    <w:tbl>
      <w:tblPr>
        <w:tblW w:w="0" w:type="auto"/>
        <w:tblLayout w:type="fixed"/>
        <w:tblCellMar>
          <w:left w:w="62" w:type="dxa"/>
          <w:right w:w="62" w:type="dxa"/>
        </w:tblCellMar>
        <w:tblLook w:val="0000"/>
      </w:tblPr>
      <w:tblGrid>
        <w:gridCol w:w="2700"/>
        <w:gridCol w:w="1080"/>
        <w:gridCol w:w="4680"/>
      </w:tblGrid>
      <w:tr w:rsidTr="00193DE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rPr>
                <w:rStyle w:val="SpecialBold"/>
              </w:rPr>
              <w:t>REQUIRED SKILLS AND KNOWLEDGE</w:t>
            </w:r>
          </w:p>
        </w:tc>
      </w:tr>
      <w:tr w:rsidTr="00193DE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rPr>
                <w:rStyle w:val="SpecialBold"/>
              </w:rPr>
              <w:t>6</w:t>
            </w:r>
            <w:r w:rsidRPr="00AB3BD2">
              <w:t>) This describes the essential skills and knowledge and their level, required for this unit.</w:t>
            </w:r>
          </w:p>
        </w:tc>
      </w:tr>
      <w:tr w:rsidTr="00193DE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 xml:space="preserve">Evidence shall show that knowledge has been acquired of safe working practices for managing gas system environmental compliance. The extent of the essential knowledge and associated skills (EKAS) required is given in Volume 2 - Part 2.2 EKAS.  It forms an </w:t>
            </w:r>
            <w:r w:rsidRPr="00AB3BD2">
              <w:t>integral part of this unit.</w:t>
            </w:r>
          </w:p>
        </w:tc>
      </w:tr>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G 4.1.5</w:t>
            </w:r>
          </w:p>
        </w:tc>
        <w:tc>
          <w:tcPr>
            <w:tcW w:w="468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Interpreting Gas Industry drawings</w:t>
            </w:r>
          </w:p>
        </w:tc>
      </w:tr>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G 5.1.1</w:t>
            </w:r>
          </w:p>
        </w:tc>
        <w:tc>
          <w:tcPr>
            <w:tcW w:w="468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Gas Industry concepts for supervising operations</w:t>
            </w:r>
          </w:p>
        </w:tc>
      </w:tr>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G 5.1.3</w:t>
            </w:r>
          </w:p>
        </w:tc>
        <w:tc>
          <w:tcPr>
            <w:tcW w:w="468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Emergency management</w:t>
            </w:r>
          </w:p>
        </w:tc>
      </w:tr>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G 6.1.1</w:t>
            </w:r>
          </w:p>
        </w:tc>
        <w:tc>
          <w:tcPr>
            <w:tcW w:w="468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Concepts and skills for Gas Industry supervisors</w:t>
            </w:r>
          </w:p>
        </w:tc>
      </w:tr>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G 6.1.2</w:t>
            </w:r>
          </w:p>
        </w:tc>
        <w:tc>
          <w:tcPr>
            <w:tcW w:w="468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Managem</w:t>
            </w:r>
            <w:r w:rsidRPr="00AB3BD2">
              <w:t>ent information required for Gas Industry supervisors</w:t>
            </w:r>
          </w:p>
        </w:tc>
      </w:tr>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G 6.1.6</w:t>
            </w:r>
          </w:p>
        </w:tc>
        <w:tc>
          <w:tcPr>
            <w:tcW w:w="468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Project Management</w:t>
            </w:r>
          </w:p>
        </w:tc>
      </w:tr>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G 6.1.7</w:t>
            </w:r>
          </w:p>
        </w:tc>
        <w:tc>
          <w:tcPr>
            <w:tcW w:w="468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Chemical and physical behaviours of gas</w:t>
            </w:r>
          </w:p>
        </w:tc>
      </w:tr>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G 6.1.8</w:t>
            </w:r>
          </w:p>
        </w:tc>
        <w:tc>
          <w:tcPr>
            <w:tcW w:w="468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t>Managing environmental and cultural sensitive issues</w:t>
            </w:r>
          </w:p>
        </w:tc>
      </w:tr>
    </w:tbl>
    <w:p w:rsidR="00193DE0" w:rsidP="00AB3BD2">
      <w:pPr>
        <w:pStyle w:val="BodyText"/>
      </w:pPr>
    </w:p>
    <w:p w:rsidR="00193DE0" w:rsidP="00AB3BD2">
      <w:pPr>
        <w:pStyle w:val="BodyText"/>
      </w:pPr>
    </w:p>
    <w:p w:rsidR="00000000" w:rsidRPr="00AB3BD2" w:rsidP="00AB3BD2">
      <w:pPr>
        <w:pStyle w:val="Heading1"/>
      </w:pPr>
      <w:bookmarkStart w:id="10" w:name="O_247789"/>
      <w:bookmarkEnd w:id="10"/>
      <w:r w:rsidRPr="00AB3BD2">
        <w:t>Evidence Guide</w:t>
      </w:r>
    </w:p>
    <w:tbl>
      <w:tblPr>
        <w:tblW w:w="0" w:type="auto"/>
        <w:tblLayout w:type="fixed"/>
        <w:tblCellMar>
          <w:left w:w="62" w:type="dxa"/>
          <w:right w:w="62" w:type="dxa"/>
        </w:tblCellMar>
        <w:tblLook w:val="0000"/>
      </w:tblPr>
      <w:tblGrid>
        <w:gridCol w:w="2160"/>
        <w:gridCol w:w="6300"/>
      </w:tblGrid>
      <w:tr w:rsidTr="00193DE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rPr>
                <w:rStyle w:val="SpecialBold"/>
              </w:rPr>
              <w:t>EVIDENCE GUIDE</w:t>
            </w:r>
          </w:p>
        </w:tc>
      </w:tr>
      <w:tr w:rsidTr="00193DE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rPr>
                <w:rStyle w:val="SpecialBold"/>
              </w:rPr>
              <w:t>8</w:t>
            </w:r>
            <w:r w:rsidRPr="00AB3BD2">
              <w:t>) The Evidence Guide forms an integral part of this Unit and shall be used in conjunction with all components parts of this unit and performed in accordance with the Assessment Guidelines of this Training Package.</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8</w:t>
            </w:r>
            <w:r w:rsidRPr="00AB3BD2">
              <w:t>.</w:t>
            </w:r>
            <w:r w:rsidRPr="00AB3BD2">
              <w:rPr>
                <w:rStyle w:val="SpecialBold"/>
              </w:rPr>
              <w:t>1</w:t>
            </w:r>
            <w:r w:rsidRPr="00AB3BD2">
              <w:t xml:space="preserve">) </w:t>
            </w:r>
          </w:p>
          <w:p w:rsidR="00000000" w:rsidRPr="00AB3BD2" w:rsidP="00AB3BD2">
            <w:pPr>
              <w:pStyle w:val="BodyText"/>
            </w:pPr>
            <w:r w:rsidRPr="00AB3BD2">
              <w:t>Longitudina</w:t>
            </w:r>
            <w:r w:rsidRPr="00AB3BD2">
              <w:t>l competency development approaches to assessment, such as Profiling, require data to be reliably gathered in a form that can be consistently interpreted over time. This approach is best utilised in Apprenticeship programs and reduces assessment interventi</w:t>
            </w:r>
            <w:r w:rsidRPr="00AB3BD2">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AB3BD2">
              <w:t>realistically simulated work environment. It is recognised that, in some circumstances, assessment in part or full can occur outside the workplace. However, it must be in accord with industry and regulatory policy in this regard.</w:t>
            </w:r>
          </w:p>
          <w:p w:rsidR="00000000" w:rsidRPr="00AB3BD2" w:rsidP="00AB3BD2">
            <w:pPr>
              <w:pStyle w:val="BodyText"/>
            </w:pPr>
            <w:r w:rsidRPr="00AB3BD2">
              <w:t>Methods chosen for a parti</w:t>
            </w:r>
            <w:r w:rsidRPr="00AB3BD2">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AB3BD2">
              <w:t>the critical nature of the competencies being assessed.</w:t>
            </w:r>
          </w:p>
          <w:p w:rsidR="00000000" w:rsidRPr="00AB3BD2" w:rsidP="00AB3BD2">
            <w:pPr>
              <w:pStyle w:val="BodyText"/>
            </w:pPr>
            <w:r w:rsidRPr="00AB3BD2">
              <w:t xml:space="preserve">The critical safety nature of working with electricity, electrical equipment, gas or any other hazardous substance/material carries risk in deeming a person competent. Hence, sources of evidence need </w:t>
            </w:r>
            <w:r w:rsidRPr="00AB3BD2">
              <w:t>to be 'rich' in nature so as to minimise error in judgment.</w:t>
            </w:r>
          </w:p>
          <w:p w:rsidR="00000000" w:rsidP="00AB3BD2">
            <w:pPr>
              <w:pStyle w:val="BodyText"/>
              <w:rPr>
                <w:lang w:val="en-NZ"/>
              </w:rPr>
            </w:pPr>
            <w:r w:rsidRPr="00AB3BD2">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AB3BD2">
              <w:t>may be more or less frequently practised. These points are raised for the assessors to consider when choosing an assessment method and developing assessment instruments. Sample assessment instruments are included in the Assessment Guidelines of this Traini</w:t>
            </w:r>
            <w:r w:rsidRPr="00AB3BD2">
              <w:t>ng Package.</w:t>
            </w:r>
          </w:p>
        </w:tc>
      </w:tr>
      <w:tr w:rsidTr="00193DE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8</w:t>
            </w:r>
            <w:r w:rsidRPr="00AB3BD2">
              <w:t>.</w:t>
            </w:r>
            <w:r w:rsidRPr="00AB3BD2">
              <w:rPr>
                <w:rStyle w:val="SpecialBold"/>
              </w:rPr>
              <w:t>2</w:t>
            </w:r>
            <w:r w:rsidRPr="00AB3BD2">
              <w:t xml:space="preserve">) </w:t>
            </w:r>
          </w:p>
          <w:p w:rsidR="00000000" w:rsidP="00AB3BD2">
            <w:pPr>
              <w:pStyle w:val="BodyText"/>
              <w:rPr>
                <w:lang w:val="en-NZ"/>
              </w:rPr>
            </w:pPr>
            <w:r w:rsidRPr="00AB3BD2">
              <w:t>Before the critical aspects of evidence are considered all prerequisites shall be met.</w:t>
            </w:r>
          </w:p>
        </w:tc>
      </w:tr>
      <w:tr w:rsidTr="00193DE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t xml:space="preserve">Evidence for competence in this unit shall be considered holistically. </w:t>
            </w:r>
            <w:r w:rsidRPr="00AB3BD2">
              <w:t xml:space="preserve">Each element and associated Performance Criteria shall be demonstrated on at least two occasions in accordance with the 'Assessment Guidelines  UEG06'. Evidence shall also comprise: </w:t>
            </w:r>
          </w:p>
          <w:p w:rsidR="00000000" w:rsidP="00AB3BD2">
            <w:pPr>
              <w:pStyle w:val="ListBullet"/>
              <w:rPr>
                <w:lang w:val="en-NZ"/>
              </w:rPr>
            </w:pPr>
            <w:r w:rsidRPr="00AB3BD2">
              <w:t>A representative body of Performance Criteria demonstrated within the ti</w:t>
            </w:r>
            <w:r w:rsidRPr="00AB3BD2">
              <w:t>meframes typically expected of the discipline, work function and industrial environment. In particular this shall incorporate evidence that shows a candidate is able to:</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B3BD2" w:rsidP="00AB3BD2">
            <w:pPr>
              <w:pStyle w:val="ListBullet2"/>
            </w:pPr>
            <w:r w:rsidRPr="00AB3BD2">
              <w:t>Implement Occupational Health and Safety workplace proce</w:t>
            </w:r>
            <w:r w:rsidRPr="00AB3BD2">
              <w:t>dures and practices including the use of risk control measures as specified in the Performance Criteria and range</w:t>
            </w:r>
          </w:p>
          <w:p w:rsidR="00000000" w:rsidRPr="00AB3BD2" w:rsidP="00AB3BD2">
            <w:pPr>
              <w:pStyle w:val="ListBullet2"/>
            </w:pPr>
            <w:r w:rsidRPr="00AB3BD2">
              <w:t>Apply sustainable energy principles and practices as specified in the Performance Criteria and range</w:t>
            </w:r>
          </w:p>
          <w:p w:rsidR="00000000" w:rsidRPr="00AB3BD2" w:rsidP="00AB3BD2">
            <w:pPr>
              <w:pStyle w:val="ListBullet2"/>
            </w:pPr>
            <w:r w:rsidRPr="00AB3BD2">
              <w:t>Demonstrate an understanding of the essen</w:t>
            </w:r>
            <w:r w:rsidRPr="00AB3BD2">
              <w:t>tial knowledge and associated skills as described in this unit to such an extent that the learner's performance outcome is reported in accordance with the preferred approach; namely a percentile graded result, where required by the regulated environment</w:t>
            </w:r>
          </w:p>
          <w:p w:rsidR="00000000" w:rsidRPr="00AB3BD2" w:rsidP="00AB3BD2">
            <w:pPr>
              <w:pStyle w:val="ListBullet2"/>
            </w:pPr>
            <w:r w:rsidRPr="00AB3BD2">
              <w:t>De</w:t>
            </w:r>
            <w:r w:rsidRPr="00AB3BD2">
              <w:t>monstrate an appropriate level of skills enabling employment</w:t>
            </w:r>
          </w:p>
          <w:p w:rsidR="00000000" w:rsidP="00AB3BD2">
            <w:pPr>
              <w:pStyle w:val="ListBullet2"/>
              <w:rPr>
                <w:lang w:val="en-NZ"/>
              </w:rPr>
            </w:pPr>
            <w:r w:rsidRPr="00AB3BD2">
              <w:t>Conduct work observing the relevant Anti discrimination legislation, regulations, polices and workplace procedures</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B3BD2" w:rsidP="00AB3BD2">
            <w:pPr>
              <w:pStyle w:val="ListBullet"/>
            </w:pPr>
            <w:r w:rsidRPr="00AB3BD2">
              <w:t>Demon</w:t>
            </w:r>
            <w:r w:rsidRPr="00AB3BD2">
              <w:t>strate performance across a representative range of contexts from the prescribed items below:</w:t>
            </w:r>
          </w:p>
        </w:tc>
      </w:tr>
    </w:tbl>
    <w:p w:rsidR="00000000" w:rsidRPr="00AB3BD2" w:rsidP="00AB3BD2">
      <w:pPr>
        <w:pStyle w:val="BodyText"/>
      </w:pPr>
    </w:p>
    <w:tbl>
      <w:tblPr>
        <w:tblW w:w="0" w:type="auto"/>
        <w:tblLayout w:type="fixed"/>
        <w:tblCellMar>
          <w:left w:w="62" w:type="dxa"/>
          <w:right w:w="62" w:type="dxa"/>
        </w:tblCellMar>
        <w:tblLook w:val="0000"/>
      </w:tblPr>
      <w:tblGrid>
        <w:gridCol w:w="2160"/>
        <w:gridCol w:w="540"/>
        <w:gridCol w:w="900"/>
        <w:gridCol w:w="180"/>
        <w:gridCol w:w="1440"/>
        <w:gridCol w:w="3240"/>
      </w:tblGrid>
      <w:tr w:rsidTr="00193DE0">
        <w:tblPrEx>
          <w:tblW w:w="0" w:type="auto"/>
          <w:tblLayout w:type="fixed"/>
          <w:tblCellMar>
            <w:left w:w="62" w:type="dxa"/>
            <w:right w:w="62" w:type="dxa"/>
          </w:tblCellMar>
          <w:tblLook w:val="0000"/>
        </w:tblPrEx>
        <w:trPr>
          <w:tblHeader/>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AB3BD2">
            <w:pPr>
              <w:pStyle w:val="BodyText"/>
              <w:keepNext w:val="0"/>
              <w:keepLines w:val="0"/>
              <w:contextualSpacing w:val="0"/>
            </w:pPr>
          </w:p>
        </w:tc>
        <w:tc>
          <w:tcPr>
            <w:tcW w:w="576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rPr>
                <w:rStyle w:val="SpecialBold"/>
              </w:rPr>
              <w:t>Range of tools</w:t>
            </w:r>
            <w:r w:rsidRPr="00AB3BD2">
              <w:t>/</w:t>
            </w:r>
            <w:r w:rsidRPr="00AB3BD2">
              <w:rPr>
                <w:rStyle w:val="SpecialBold"/>
              </w:rPr>
              <w:t>equipment</w:t>
            </w:r>
            <w:r w:rsidRPr="00AB3BD2">
              <w:t>/</w:t>
            </w:r>
            <w:r w:rsidRPr="00AB3BD2">
              <w:rPr>
                <w:rStyle w:val="SpecialBold"/>
              </w:rPr>
              <w:t>materials</w:t>
            </w:r>
            <w:r w:rsidRPr="00AB3BD2">
              <w:t>/</w:t>
            </w:r>
            <w:r w:rsidRPr="00AB3BD2">
              <w:rPr>
                <w:rStyle w:val="SpecialBold"/>
              </w:rPr>
              <w:t>procedures</w:t>
            </w:r>
            <w:r w:rsidRPr="00AB3BD2">
              <w:t>/</w:t>
            </w:r>
            <w:r w:rsidRPr="00AB3BD2">
              <w:br/>
            </w:r>
            <w:r w:rsidRPr="00AB3BD2">
              <w:rPr>
                <w:rStyle w:val="SpecialBold"/>
              </w:rPr>
              <w:t>workplaces</w:t>
            </w:r>
            <w:r w:rsidRPr="00AB3BD2">
              <w:t>/</w:t>
            </w:r>
            <w:r w:rsidRPr="00AB3BD2">
              <w:rPr>
                <w:rStyle w:val="SpecialBold"/>
              </w:rPr>
              <w:t>other variables</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AB3BD2">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r w:rsidRPr="00AB3BD2">
              <w:rPr>
                <w:rStyle w:val="SpecialBold"/>
              </w:rPr>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r w:rsidRPr="00AB3BD2">
              <w:rPr>
                <w:rStyle w:val="SpecialBold"/>
              </w:rPr>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rPr>
                <w:rStyle w:val="SpecialBold"/>
              </w:rPr>
              <w:t>Item List</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Any 1</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r w:rsidRPr="00AB3BD2">
              <w:t>Gas systems</w:t>
            </w:r>
          </w:p>
          <w:p w:rsidR="00000000" w:rsidRPr="00AB3BD2" w:rsidP="00AB3BD2">
            <w:pPr>
              <w:pStyle w:val="BodyText"/>
            </w:pPr>
            <w:r w:rsidRPr="00AB3BD2">
              <w:t>Natural gas transmission, distribution and storage</w:t>
            </w:r>
          </w:p>
          <w:p w:rsidR="00000000" w:rsidRPr="00AB3BD2" w:rsidP="00AB3BD2">
            <w:pPr>
              <w:pStyle w:val="BodyText"/>
            </w:pPr>
            <w:r w:rsidRPr="00AB3BD2">
              <w:t>Liquefied petroleum gas tanker and ship transport</w:t>
            </w:r>
          </w:p>
          <w:p w:rsidR="00000000" w:rsidP="00AB3BD2">
            <w:pPr>
              <w:pStyle w:val="BodyText"/>
              <w:rPr>
                <w:lang w:val="en-NZ"/>
              </w:rPr>
            </w:pPr>
            <w:r w:rsidRPr="00AB3BD2">
              <w:t>Storage and processing terminals and distribution systems</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r w:rsidRPr="00AB3BD2">
              <w:t>Legislative compliance</w:t>
            </w:r>
          </w:p>
          <w:p w:rsidR="00000000" w:rsidRPr="00AB3BD2" w:rsidP="00AB3BD2">
            <w:pPr>
              <w:pStyle w:val="BodyText"/>
            </w:pPr>
            <w:r w:rsidRPr="00AB3BD2">
              <w:t>Occupational Health and Safe</w:t>
            </w:r>
            <w:r w:rsidRPr="00AB3BD2">
              <w:t>ty legislation</w:t>
            </w:r>
          </w:p>
          <w:p w:rsidR="00000000" w:rsidRPr="00AB3BD2" w:rsidP="00AB3BD2">
            <w:pPr>
              <w:pStyle w:val="BodyText"/>
            </w:pPr>
            <w:r w:rsidRPr="00AB3BD2">
              <w:t>Relevant Government Acts, regulations and codes of practice</w:t>
            </w:r>
          </w:p>
          <w:p w:rsidR="00000000" w:rsidRPr="00AB3BD2" w:rsidP="00AB3BD2">
            <w:pPr>
              <w:pStyle w:val="BodyText"/>
            </w:pPr>
            <w:r w:rsidRPr="00AB3BD2">
              <w:t>Australian Standards and Codes of Practice</w:t>
            </w:r>
          </w:p>
          <w:p w:rsidR="00000000" w:rsidP="00AB3BD2">
            <w:pPr>
              <w:pStyle w:val="BodyText"/>
              <w:rPr>
                <w:lang w:val="en-NZ"/>
              </w:rPr>
            </w:pPr>
            <w:r w:rsidRPr="00AB3BD2">
              <w:t>Environmental legislative requirements</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r w:rsidRPr="00AB3BD2">
              <w:t>Environmental issues;</w:t>
            </w:r>
          </w:p>
          <w:p w:rsidR="00000000" w:rsidP="00AB3BD2">
            <w:pPr>
              <w:pStyle w:val="BodyText"/>
              <w:rPr>
                <w:lang w:val="en-NZ"/>
              </w:rPr>
            </w:pPr>
            <w:r w:rsidRPr="00AB3BD2">
              <w:t xml:space="preserve">Political, legal, community and aesthetic impact of installations </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D</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r w:rsidRPr="00AB3BD2">
              <w:t>Safety issues</w:t>
            </w:r>
          </w:p>
          <w:p w:rsidR="00000000" w:rsidRPr="00AB3BD2" w:rsidP="00AB3BD2">
            <w:pPr>
              <w:pStyle w:val="BodyText"/>
            </w:pPr>
            <w:r w:rsidRPr="00AB3BD2">
              <w:t>Occupational Health and Safety operatives</w:t>
            </w:r>
          </w:p>
          <w:p w:rsidR="00000000" w:rsidRPr="00AB3BD2" w:rsidP="00AB3BD2">
            <w:pPr>
              <w:pStyle w:val="BodyText"/>
            </w:pPr>
            <w:r w:rsidRPr="00AB3BD2">
              <w:t>Ongoing maintenance of facilities</w:t>
            </w:r>
          </w:p>
          <w:p w:rsidR="00000000" w:rsidRPr="00AB3BD2" w:rsidP="00AB3BD2">
            <w:pPr>
              <w:pStyle w:val="BodyText"/>
            </w:pPr>
            <w:r w:rsidRPr="00AB3BD2">
              <w:t>Emergency plans</w:t>
            </w:r>
          </w:p>
          <w:p w:rsidR="00000000" w:rsidP="00AB3BD2">
            <w:pPr>
              <w:pStyle w:val="BodyText"/>
              <w:rPr>
                <w:lang w:val="en-NZ"/>
              </w:rPr>
            </w:pPr>
            <w:r w:rsidRPr="00AB3BD2">
              <w:t>Safety cases and environmental impact assessments for major hazardous facilities (MHFs)</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E</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At least 6</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r w:rsidRPr="00AB3BD2">
              <w:t>Relevant personnel:</w:t>
            </w:r>
          </w:p>
          <w:p w:rsidR="00000000" w:rsidRPr="00AB3BD2" w:rsidP="00AB3BD2">
            <w:pPr>
              <w:pStyle w:val="BodyText"/>
            </w:pPr>
            <w:r w:rsidRPr="00AB3BD2">
              <w:t>Managers</w:t>
            </w:r>
          </w:p>
          <w:p w:rsidR="00000000" w:rsidRPr="00AB3BD2" w:rsidP="00AB3BD2">
            <w:pPr>
              <w:pStyle w:val="BodyText"/>
            </w:pPr>
            <w:r w:rsidRPr="00AB3BD2">
              <w:t>Other supervisors</w:t>
            </w:r>
          </w:p>
          <w:p w:rsidR="00000000" w:rsidRPr="00AB3BD2" w:rsidP="00AB3BD2">
            <w:pPr>
              <w:pStyle w:val="BodyText"/>
            </w:pPr>
            <w:r w:rsidRPr="00AB3BD2">
              <w:t>Inter-company departments</w:t>
            </w:r>
          </w:p>
          <w:p w:rsidR="00000000" w:rsidRPr="00AB3BD2" w:rsidP="00AB3BD2">
            <w:pPr>
              <w:pStyle w:val="BodyText"/>
            </w:pPr>
            <w:r w:rsidRPr="00AB3BD2">
              <w:t>Other utilities</w:t>
            </w:r>
          </w:p>
          <w:p w:rsidR="00000000" w:rsidRPr="00AB3BD2" w:rsidP="00AB3BD2">
            <w:pPr>
              <w:pStyle w:val="BodyText"/>
            </w:pPr>
            <w:r w:rsidRPr="00AB3BD2">
              <w:t>Council representatives</w:t>
            </w:r>
          </w:p>
          <w:p w:rsidR="00000000" w:rsidRPr="00AB3BD2" w:rsidP="00AB3BD2">
            <w:pPr>
              <w:pStyle w:val="BodyText"/>
            </w:pPr>
            <w:r w:rsidRPr="00AB3BD2">
              <w:t>Producers, transporters/shippers</w:t>
            </w:r>
          </w:p>
          <w:p w:rsidR="00000000" w:rsidRPr="00AB3BD2" w:rsidP="00AB3BD2">
            <w:pPr>
              <w:pStyle w:val="BodyText"/>
            </w:pPr>
            <w:r w:rsidRPr="00AB3BD2">
              <w:t>Consultants</w:t>
            </w:r>
          </w:p>
          <w:p w:rsidR="00000000" w:rsidRPr="00AB3BD2" w:rsidP="00AB3BD2">
            <w:pPr>
              <w:pStyle w:val="BodyText"/>
            </w:pPr>
            <w:r w:rsidRPr="00AB3BD2">
              <w:t>Government bodies/agencies</w:t>
            </w:r>
          </w:p>
          <w:p w:rsidR="00000000" w:rsidRPr="00AB3BD2" w:rsidP="00AB3BD2">
            <w:pPr>
              <w:pStyle w:val="BodyText"/>
            </w:pPr>
            <w:r w:rsidRPr="00AB3BD2">
              <w:t>Refinery personnel</w:t>
            </w:r>
          </w:p>
          <w:p w:rsidR="00000000" w:rsidRPr="00AB3BD2" w:rsidP="00AB3BD2">
            <w:pPr>
              <w:pStyle w:val="BodyText"/>
            </w:pPr>
            <w:r w:rsidRPr="00AB3BD2">
              <w:t>Customers</w:t>
            </w:r>
          </w:p>
          <w:p w:rsidR="00000000" w:rsidP="00AB3BD2">
            <w:pPr>
              <w:pStyle w:val="BodyText"/>
              <w:rPr>
                <w:lang w:val="en-NZ"/>
              </w:rPr>
            </w:pPr>
            <w:r w:rsidRPr="00AB3BD2">
              <w:t>Land owners/Traditional land owners</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F</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r w:rsidRPr="00AB3BD2">
              <w:t>Relevant authorities:</w:t>
            </w:r>
          </w:p>
          <w:p w:rsidR="00000000" w:rsidRPr="00AB3BD2" w:rsidP="00AB3BD2">
            <w:pPr>
              <w:pStyle w:val="BodyText"/>
            </w:pPr>
            <w:r w:rsidRPr="00AB3BD2">
              <w:t>Government authorities</w:t>
            </w:r>
          </w:p>
          <w:p w:rsidR="00000000" w:rsidRPr="00AB3BD2" w:rsidP="00AB3BD2">
            <w:pPr>
              <w:pStyle w:val="BodyText"/>
            </w:pPr>
            <w:r w:rsidRPr="00AB3BD2">
              <w:t>Land owners both current and traditional</w:t>
            </w:r>
          </w:p>
          <w:p w:rsidR="00000000" w:rsidRPr="00AB3BD2" w:rsidP="00AB3BD2">
            <w:pPr>
              <w:pStyle w:val="BodyText"/>
            </w:pPr>
            <w:r w:rsidRPr="00AB3BD2">
              <w:t>Local councils</w:t>
            </w:r>
          </w:p>
          <w:p w:rsidR="00000000" w:rsidRPr="00AB3BD2" w:rsidP="00AB3BD2">
            <w:pPr>
              <w:pStyle w:val="BodyText"/>
            </w:pPr>
            <w:r w:rsidRPr="00AB3BD2">
              <w:t>Land management groups</w:t>
            </w:r>
          </w:p>
          <w:p w:rsidR="00000000" w:rsidRPr="00AB3BD2" w:rsidP="00AB3BD2">
            <w:pPr>
              <w:pStyle w:val="BodyText"/>
            </w:pPr>
            <w:r w:rsidRPr="00AB3BD2">
              <w:t>Other utilities</w:t>
            </w:r>
          </w:p>
          <w:p w:rsidR="00000000" w:rsidP="00AB3BD2">
            <w:pPr>
              <w:pStyle w:val="BodyText"/>
              <w:rPr>
                <w:lang w:val="en-NZ"/>
              </w:rPr>
            </w:pPr>
            <w:r w:rsidRPr="00AB3BD2">
              <w:t>In-house quality control groups and management</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 xml:space="preserve">G </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r w:rsidRPr="00AB3BD2">
              <w:t>Interpreting Gas Industry drawings</w:t>
            </w:r>
          </w:p>
          <w:p w:rsidR="00000000" w:rsidRPr="00AB3BD2" w:rsidP="00AB3BD2">
            <w:pPr>
              <w:pStyle w:val="BodyText"/>
            </w:pPr>
            <w:r w:rsidRPr="00AB3BD2">
              <w:t>Understanding emergency management</w:t>
            </w:r>
          </w:p>
          <w:p w:rsidR="00000000" w:rsidRPr="00AB3BD2" w:rsidP="00AB3BD2">
            <w:pPr>
              <w:pStyle w:val="BodyText"/>
            </w:pPr>
            <w:r w:rsidRPr="00AB3BD2">
              <w:t>Ability to apply project management techniques</w:t>
            </w:r>
          </w:p>
          <w:p w:rsidR="00000000" w:rsidRPr="00AB3BD2" w:rsidP="00AB3BD2">
            <w:pPr>
              <w:pStyle w:val="BodyText"/>
            </w:pPr>
            <w:r w:rsidRPr="00AB3BD2">
              <w:t>Understanding chemical and physical behaviours of gas</w:t>
            </w:r>
          </w:p>
          <w:p w:rsidR="00000000" w:rsidP="00AB3BD2">
            <w:pPr>
              <w:pStyle w:val="BodyText"/>
              <w:rPr>
                <w:lang w:val="en-NZ"/>
              </w:rPr>
            </w:pPr>
            <w:r w:rsidRPr="00AB3BD2">
              <w:t xml:space="preserve">Managing environmental and cultural sensitive issues </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H</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At least one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 xml:space="preserve">Deal with an unplanned event by drawing on essential knowledge and associated skills to provide appropriate solutions incorporated in the holistic assessment with the above listed items </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8</w:t>
            </w:r>
            <w:r w:rsidRPr="00AB3BD2">
              <w:t>.</w:t>
            </w:r>
            <w:r w:rsidRPr="00AB3BD2">
              <w:rPr>
                <w:rStyle w:val="SpecialBold"/>
              </w:rPr>
              <w:t>3</w:t>
            </w:r>
            <w:r w:rsidRPr="00AB3BD2">
              <w:t xml:space="preserve">) </w:t>
            </w:r>
          </w:p>
          <w:p w:rsidR="00000000" w:rsidRPr="00AB3BD2" w:rsidP="00AB3BD2">
            <w:pPr>
              <w:pStyle w:val="BodyText"/>
            </w:pPr>
            <w:r w:rsidRPr="00AB3BD2">
              <w:t>This unit sho</w:t>
            </w:r>
            <w:r w:rsidRPr="00AB3BD2">
              <w:t>uld be assessed as it relates to normal work practice using procedures, information and resources typical of a workplace. This should include:</w:t>
            </w:r>
          </w:p>
          <w:p w:rsidR="00000000" w:rsidRPr="00AB3BD2" w:rsidP="00AB3BD2">
            <w:pPr>
              <w:pStyle w:val="ListBullet"/>
            </w:pPr>
            <w:r w:rsidRPr="00AB3BD2">
              <w:t>OHS policy and work procedures and instructions.</w:t>
            </w:r>
          </w:p>
          <w:p w:rsidR="00000000" w:rsidRPr="00AB3BD2" w:rsidP="00AB3BD2">
            <w:pPr>
              <w:pStyle w:val="ListBullet"/>
            </w:pPr>
            <w:r w:rsidRPr="00AB3BD2">
              <w:t xml:space="preserve">Suitable work environment, facilities, equipment and materials </w:t>
            </w:r>
            <w:r w:rsidRPr="00AB3BD2">
              <w:t>to undertake actual work as prescribed by this Unit.</w:t>
            </w:r>
          </w:p>
          <w:p w:rsidR="00000000" w:rsidRPr="00AB3BD2" w:rsidP="00AB3BD2">
            <w:pPr>
              <w:pStyle w:val="ListBullet"/>
            </w:pPr>
            <w:r w:rsidRPr="00AB3BD2">
              <w:t>Appropriate environmental regulation and work practices.</w:t>
            </w:r>
          </w:p>
          <w:p w:rsidR="00000000" w:rsidRPr="00AB3BD2" w:rsidP="00AB3BD2">
            <w:pPr>
              <w:pStyle w:val="ListBullet"/>
            </w:pPr>
            <w:r w:rsidRPr="00AB3BD2">
              <w:t>Appropriate organisational requirements.</w:t>
            </w:r>
          </w:p>
          <w:p w:rsidR="00000000" w:rsidP="00AB3BD2">
            <w:pPr>
              <w:pStyle w:val="ListBullet"/>
              <w:rPr>
                <w:lang w:val="en-NZ"/>
              </w:rPr>
            </w:pPr>
            <w:r w:rsidRPr="00AB3BD2">
              <w:t>Appropriate work environment, equipment and tools.</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In addition to the resources listed above, in Context of and specific resources for assessment, evidence should show demonstrated competency in managing gas system environmental compliance.</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Assessment of this competency must also be undertaken in either an actual workplace or under a simulated work environment. Assessment must also integrate the key competencies.</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8</w:t>
            </w:r>
            <w:r w:rsidRPr="00AB3BD2">
              <w:t>.</w:t>
            </w:r>
            <w:r w:rsidRPr="00AB3BD2">
              <w:rPr>
                <w:rStyle w:val="SpecialBold"/>
              </w:rPr>
              <w:t>4</w:t>
            </w:r>
            <w:r w:rsidRPr="00AB3BD2">
              <w:t xml:space="preserve">) </w:t>
            </w:r>
          </w:p>
          <w:p w:rsidR="00000000" w:rsidRPr="00AB3BD2" w:rsidP="00AB3BD2">
            <w:pPr>
              <w:pStyle w:val="BodyText"/>
            </w:pPr>
            <w:r w:rsidRPr="00AB3BD2">
              <w:t xml:space="preserve">This Unit shall be assessed by methods given in </w:t>
            </w:r>
            <w:r w:rsidRPr="00AB3BD2">
              <w:t>Volume 1, Part 3 'Assessment Guidelines'.</w:t>
            </w:r>
          </w:p>
          <w:p w:rsidR="00000000" w:rsidP="00AB3BD2">
            <w:pPr>
              <w:pStyle w:val="BodyText"/>
              <w:rPr>
                <w:lang w:val="en-NZ"/>
              </w:rPr>
            </w:pPr>
            <w:r w:rsidRPr="00AB3BD2">
              <w:rPr>
                <w:rStyle w:val="SpecialBold"/>
              </w:rPr>
              <w:t>Note</w:t>
            </w:r>
            <w:r w:rsidRPr="00AB3BD2">
              <w:t xml:space="preserve"> Competent performance with inherent safe working practices is expected in the Industry to which this Unit applies. This requires that the specified Essential Knowledge and Associated Skills are assessed in a s</w:t>
            </w:r>
            <w:r w:rsidRPr="00AB3BD2">
              <w:t>tructured environment which is primarily intended for learning/assessment and incorporates all necessary equipment and facilities for learners to develop and demonstrate the Essential Knowledge and Associated Skills described in this unit.</w:t>
            </w:r>
          </w:p>
        </w:tc>
      </w:tr>
      <w:tr w:rsidTr="00193DE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 xml:space="preserve">Concurrent </w:t>
            </w:r>
            <w:r w:rsidRPr="00AB3BD2">
              <w:rPr>
                <w:rStyle w:val="SpecialBold"/>
              </w:rPr>
              <w:t>assessment and relationship with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rPr>
                <w:rStyle w:val="SpecialBold"/>
              </w:rPr>
              <w:t>8</w:t>
            </w:r>
            <w:r w:rsidRPr="00AB3BD2">
              <w:t>.</w:t>
            </w:r>
            <w:r w:rsidRPr="00AB3BD2">
              <w:rPr>
                <w:rStyle w:val="SpecialBold"/>
              </w:rPr>
              <w:t>5</w:t>
            </w:r>
            <w:r w:rsidRPr="00AB3BD2">
              <w:t xml:space="preserve">) </w:t>
            </w:r>
          </w:p>
        </w:tc>
      </w:tr>
      <w:tr w:rsidTr="00193DE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 xml:space="preserve">There are no recommended concurrent assessments with this unit, however in some cases efficiencies may be gained in terms of learning and assessment </w:t>
            </w:r>
            <w:r w:rsidRPr="00AB3BD2">
              <w:t>effort being concurrently managed with allied Units where listed.</w:t>
            </w:r>
          </w:p>
        </w:tc>
      </w:tr>
      <w:tr w:rsidTr="00193DE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UEGNSG117A</w:t>
            </w:r>
          </w:p>
        </w:tc>
        <w:tc>
          <w:tcPr>
            <w:tcW w:w="4680" w:type="dxa"/>
            <w:gridSpan w:val="2"/>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 xml:space="preserve">Plan and implement the data acquisition and metering requirements of a gas system </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UEGNSG118A</w:t>
            </w:r>
          </w:p>
        </w:tc>
        <w:tc>
          <w:tcPr>
            <w:tcW w:w="4680" w:type="dxa"/>
            <w:gridSpan w:val="2"/>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 xml:space="preserve">Select and commission equipment to meet pressure and temperature control specifications </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UEGNSG119A</w:t>
            </w:r>
          </w:p>
        </w:tc>
        <w:tc>
          <w:tcPr>
            <w:tcW w:w="4680" w:type="dxa"/>
            <w:gridSpan w:val="2"/>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Manage workplace risk</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UEGNSG121A</w:t>
            </w:r>
          </w:p>
        </w:tc>
        <w:tc>
          <w:tcPr>
            <w:tcW w:w="4680" w:type="dxa"/>
            <w:gridSpan w:val="2"/>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Prepare and design specifications for a gas system</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UEGNSG115A</w:t>
            </w:r>
          </w:p>
        </w:tc>
        <w:tc>
          <w:tcPr>
            <w:tcW w:w="4680" w:type="dxa"/>
            <w:gridSpan w:val="2"/>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Manage gas system projects</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UEGNSG122A</w:t>
            </w:r>
          </w:p>
        </w:tc>
        <w:tc>
          <w:tcPr>
            <w:tcW w:w="4680" w:type="dxa"/>
            <w:gridSpan w:val="2"/>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Manage a customer service gas business unit</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UEGNSG123A</w:t>
            </w:r>
          </w:p>
        </w:tc>
        <w:tc>
          <w:tcPr>
            <w:tcW w:w="4680" w:type="dxa"/>
            <w:gridSpan w:val="2"/>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Manage financial resources</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UEGNSG116A</w:t>
            </w:r>
          </w:p>
        </w:tc>
        <w:tc>
          <w:tcPr>
            <w:tcW w:w="4680" w:type="dxa"/>
            <w:gridSpan w:val="2"/>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Manage physical resources</w:t>
            </w:r>
          </w:p>
        </w:tc>
      </w:tr>
      <w:tr w:rsidTr="00193D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Key Competencies</w:t>
            </w:r>
          </w:p>
        </w:tc>
        <w:tc>
          <w:tcPr>
            <w:tcW w:w="6300" w:type="dxa"/>
            <w:gridSpan w:val="5"/>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8</w:t>
            </w:r>
            <w:r w:rsidRPr="00AB3BD2">
              <w:t>.</w:t>
            </w:r>
            <w:r w:rsidRPr="00AB3BD2">
              <w:rPr>
                <w:rStyle w:val="SpecialBold"/>
              </w:rPr>
              <w:t>6</w:t>
            </w:r>
            <w:r w:rsidRPr="00AB3BD2">
              <w:t xml:space="preserve">) </w:t>
            </w:r>
          </w:p>
          <w:p w:rsidR="00000000" w:rsidRPr="00AB3BD2" w:rsidP="00AB3BD2">
            <w:pPr>
              <w:pStyle w:val="BodyText"/>
            </w:pPr>
            <w:r w:rsidRPr="00AB3BD2">
              <w:t>Evidence that particular key competencies have been achieved within this Unit is in the context of the following Performance Criteria of evidence. See Volume 2, Part 4 for an explanation of Key Competencies and levels of this Training Package.</w:t>
            </w:r>
          </w:p>
        </w:tc>
      </w:tr>
    </w:tbl>
    <w:p w:rsidR="00000000" w:rsidRPr="00AB3BD2" w:rsidP="00AB3BD2">
      <w:pPr>
        <w:pStyle w:val="BodyText"/>
      </w:pPr>
    </w:p>
    <w:tbl>
      <w:tblPr>
        <w:tblW w:w="0" w:type="auto"/>
        <w:tblLayout w:type="fixed"/>
        <w:tblCellMar>
          <w:left w:w="62" w:type="dxa"/>
          <w:right w:w="62" w:type="dxa"/>
        </w:tblCellMar>
        <w:tblLook w:val="0000"/>
      </w:tblPr>
      <w:tblGrid>
        <w:gridCol w:w="326"/>
        <w:gridCol w:w="1834"/>
        <w:gridCol w:w="4737"/>
        <w:gridCol w:w="1563"/>
      </w:tblGrid>
      <w:tr w:rsidTr="00193DE0">
        <w:tblPrEx>
          <w:tblW w:w="0" w:type="auto"/>
          <w:tblLayout w:type="fixed"/>
          <w:tblCellMar>
            <w:left w:w="62" w:type="dxa"/>
            <w:right w:w="62" w:type="dxa"/>
          </w:tblCellMar>
          <w:tblLook w:val="0000"/>
        </w:tblPrEx>
        <w:trPr>
          <w:tblHeader/>
        </w:trPr>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r w:rsidRPr="00AB3BD2">
              <w:rPr>
                <w:rStyle w:val="SpecialBold"/>
              </w:rPr>
              <w:t>Key Co</w:t>
            </w:r>
            <w:r w:rsidRPr="00AB3BD2">
              <w:rPr>
                <w:rStyle w:val="SpecialBold"/>
              </w:rPr>
              <w:t>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r w:rsidRPr="00AB3BD2">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rPr>
                <w:rStyle w:val="SpecialBold"/>
              </w:rPr>
              <w:t>Performance Level</w:t>
            </w:r>
          </w:p>
        </w:tc>
      </w:tr>
      <w:tr w:rsidTr="00193DE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3BD2">
            <w:pPr>
              <w:pStyle w:val="BodyText"/>
              <w:rPr>
                <w:lang w:val="en-NZ"/>
              </w:rPr>
            </w:pPr>
            <w:r w:rsidRPr="00AB3BD2">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p>
          <w:p w:rsidR="00000000" w:rsidP="00AB3BD2">
            <w:pPr>
              <w:pStyle w:val="BodyText"/>
              <w:rPr>
                <w:lang w:val="en-NZ"/>
              </w:rPr>
            </w:pPr>
            <w:r w:rsidRPr="00AB3BD2">
              <w:t>3</w:t>
            </w:r>
          </w:p>
        </w:tc>
      </w:tr>
      <w:tr w:rsidTr="00193DE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1.9; 2.2;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p>
        </w:tc>
      </w:tr>
      <w:tr w:rsidTr="00193DE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 xml:space="preserve">How can information be collected, analysed </w:t>
            </w:r>
            <w:r w:rsidRPr="00AB3BD2">
              <w:t>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3BD2">
            <w:pPr>
              <w:pStyle w:val="BodyText"/>
              <w:rPr>
                <w:lang w:val="en-NZ"/>
              </w:rPr>
            </w:pPr>
            <w:r w:rsidRPr="00AB3BD2">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p>
          <w:p w:rsidR="00000000" w:rsidP="00AB3BD2">
            <w:pPr>
              <w:pStyle w:val="BodyText"/>
              <w:rPr>
                <w:lang w:val="en-NZ"/>
              </w:rPr>
            </w:pPr>
            <w:r w:rsidRPr="00AB3BD2">
              <w:t>2</w:t>
            </w:r>
          </w:p>
        </w:tc>
      </w:tr>
      <w:tr w:rsidTr="00193DE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1.3; 2.3; 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p>
        </w:tc>
      </w:tr>
      <w:tr w:rsidTr="00193DE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3BD2">
            <w:pPr>
              <w:pStyle w:val="BodyText"/>
              <w:rPr>
                <w:lang w:val="en-NZ"/>
              </w:rPr>
            </w:pPr>
            <w:r w:rsidRPr="00AB3BD2">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p>
          <w:p w:rsidR="00000000" w:rsidP="00AB3BD2">
            <w:pPr>
              <w:pStyle w:val="BodyText"/>
              <w:rPr>
                <w:lang w:val="en-NZ"/>
              </w:rPr>
            </w:pPr>
            <w:r w:rsidRPr="00AB3BD2">
              <w:t>2</w:t>
            </w:r>
          </w:p>
        </w:tc>
      </w:tr>
      <w:tr w:rsidTr="00193DE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1.2; 1.4; 1.5; 1.7; 1.8;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p>
        </w:tc>
      </w:tr>
      <w:tr w:rsidTr="00193DE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3BD2">
            <w:pPr>
              <w:pStyle w:val="BodyText"/>
              <w:rPr>
                <w:lang w:val="en-NZ"/>
              </w:rPr>
            </w:pPr>
            <w:r w:rsidRPr="00AB3BD2">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p>
          <w:p w:rsidR="00000000" w:rsidP="00AB3BD2">
            <w:pPr>
              <w:pStyle w:val="BodyText"/>
              <w:rPr>
                <w:lang w:val="en-NZ"/>
              </w:rPr>
            </w:pPr>
            <w:r w:rsidRPr="00AB3BD2">
              <w:t>2</w:t>
            </w:r>
          </w:p>
        </w:tc>
      </w:tr>
      <w:tr w:rsidTr="00193DE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1.8; 2.1; 2.2; 2.5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p>
        </w:tc>
      </w:tr>
      <w:tr w:rsidTr="00193DE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3BD2">
            <w:pPr>
              <w:pStyle w:val="BodyText"/>
              <w:rPr>
                <w:lang w:val="en-NZ"/>
              </w:rPr>
            </w:pPr>
            <w:r w:rsidRPr="00AB3BD2">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p>
          <w:p w:rsidR="00000000" w:rsidP="00AB3BD2">
            <w:pPr>
              <w:pStyle w:val="BodyText"/>
              <w:rPr>
                <w:lang w:val="en-NZ"/>
              </w:rPr>
            </w:pPr>
            <w:r w:rsidRPr="00AB3BD2">
              <w:t>N/A</w:t>
            </w:r>
          </w:p>
        </w:tc>
      </w:tr>
      <w:tr w:rsidTr="00193DE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p>
        </w:tc>
      </w:tr>
      <w:tr w:rsidTr="00193DE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3BD2">
            <w:pPr>
              <w:pStyle w:val="BodyText"/>
              <w:rPr>
                <w:lang w:val="en-NZ"/>
              </w:rPr>
            </w:pPr>
            <w:r w:rsidRPr="00AB3BD2">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p>
          <w:p w:rsidR="00000000" w:rsidP="00AB3BD2">
            <w:pPr>
              <w:pStyle w:val="BodyText"/>
              <w:rPr>
                <w:lang w:val="en-NZ"/>
              </w:rPr>
            </w:pPr>
            <w:r w:rsidRPr="00AB3BD2">
              <w:t>2</w:t>
            </w:r>
          </w:p>
        </w:tc>
      </w:tr>
      <w:tr w:rsidTr="00193DE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p>
        </w:tc>
      </w:tr>
      <w:tr w:rsidTr="00193DE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3BD2">
            <w:pPr>
              <w:pStyle w:val="BodyText"/>
              <w:rPr>
                <w:lang w:val="en-NZ"/>
              </w:rPr>
            </w:pPr>
            <w:r w:rsidRPr="00AB3BD2">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p>
          <w:p w:rsidR="00000000" w:rsidP="00AB3BD2">
            <w:pPr>
              <w:pStyle w:val="BodyText"/>
              <w:rPr>
                <w:lang w:val="en-NZ"/>
              </w:rPr>
            </w:pPr>
            <w:r w:rsidRPr="00AB3BD2">
              <w:t>2</w:t>
            </w:r>
          </w:p>
        </w:tc>
      </w:tr>
      <w:tr w:rsidTr="00193DE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3.7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p>
        </w:tc>
      </w:tr>
      <w:tr w:rsidTr="00193DE0">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AB3BD2" w:rsidP="00AB3BD2">
            <w:pPr>
              <w:pStyle w:val="BodyText"/>
            </w:pPr>
            <w:r w:rsidRPr="00AB3BD2">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AB3BD2" w:rsidP="00AB3BD2">
            <w:pPr>
              <w:pStyle w:val="BodyText"/>
            </w:pPr>
            <w:r w:rsidRPr="00AB3BD2">
              <w:rPr>
                <w:rStyle w:val="SpecialBold"/>
              </w:rPr>
              <w:t>8</w:t>
            </w:r>
            <w:r w:rsidRPr="00AB3BD2">
              <w:t>.</w:t>
            </w:r>
            <w:r w:rsidRPr="00AB3BD2">
              <w:rPr>
                <w:rStyle w:val="SpecialBold"/>
              </w:rPr>
              <w:t>7</w:t>
            </w:r>
            <w:r w:rsidRPr="00AB3BD2">
              <w:t xml:space="preserve">) </w:t>
            </w:r>
          </w:p>
          <w:p w:rsidR="00000000" w:rsidP="00AB3BD2">
            <w:pPr>
              <w:pStyle w:val="BodyText"/>
              <w:rPr>
                <w:lang w:val="en-NZ"/>
              </w:rPr>
            </w:pPr>
            <w:r w:rsidRPr="00AB3BD2">
              <w:t>Evidence that competency in this unit incorporates skills enabling employment is in the context of the following performance.</w:t>
            </w:r>
          </w:p>
        </w:tc>
      </w:tr>
      <w:tr w:rsidTr="00193DE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r w:rsidRPr="00AB3BD2">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rPr>
                <w:rStyle w:val="SpecialBold"/>
              </w:rPr>
              <w:t>Example of Application</w:t>
            </w:r>
          </w:p>
        </w:tc>
      </w:tr>
      <w:tr w:rsidTr="00193D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3BD2">
            <w:pPr>
              <w:pStyle w:val="BodyText"/>
              <w:rPr>
                <w:lang w:val="en-NZ"/>
              </w:rPr>
            </w:pPr>
            <w:r w:rsidRPr="00AB3BD2">
              <w:t>Refer to the following Performance Criteria for examples of application:</w:t>
            </w:r>
          </w:p>
        </w:tc>
      </w:tr>
      <w:tr w:rsidTr="00193D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All</w:t>
            </w:r>
          </w:p>
        </w:tc>
      </w:tr>
      <w:tr w:rsidTr="00193D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3BD2">
            <w:pPr>
              <w:pStyle w:val="BodyText"/>
              <w:rPr>
                <w:lang w:val="en-NZ"/>
              </w:rPr>
            </w:pPr>
            <w:r w:rsidRPr="00AB3BD2">
              <w:t>Refer to the following Performance Criteria for examples of application:</w:t>
            </w:r>
          </w:p>
        </w:tc>
      </w:tr>
      <w:tr w:rsidTr="00193D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1.3; 2.8</w:t>
            </w:r>
          </w:p>
        </w:tc>
      </w:tr>
      <w:tr w:rsidTr="00193D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3BD2">
            <w:pPr>
              <w:pStyle w:val="BodyText"/>
              <w:rPr>
                <w:lang w:val="en-NZ"/>
              </w:rPr>
            </w:pPr>
            <w:r w:rsidRPr="00AB3BD2">
              <w:t>Refer to the following Performance Criteria for examples of application:</w:t>
            </w:r>
          </w:p>
        </w:tc>
      </w:tr>
      <w:tr w:rsidTr="00193D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3.6; 3.7</w:t>
            </w:r>
          </w:p>
        </w:tc>
      </w:tr>
      <w:tr w:rsidTr="00193D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3BD2">
            <w:pPr>
              <w:pStyle w:val="BodyText"/>
              <w:rPr>
                <w:lang w:val="en-NZ"/>
              </w:rPr>
            </w:pPr>
            <w:r w:rsidRPr="00AB3BD2">
              <w:t>Refer to the following Performance Criteria for examples of application:</w:t>
            </w:r>
          </w:p>
        </w:tc>
      </w:tr>
      <w:tr w:rsidTr="00193D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1.3; 1.8; 1.9</w:t>
            </w:r>
          </w:p>
        </w:tc>
      </w:tr>
      <w:tr w:rsidTr="00193D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3BD2">
            <w:pPr>
              <w:pStyle w:val="BodyText"/>
              <w:rPr>
                <w:lang w:val="en-NZ"/>
              </w:rPr>
            </w:pPr>
            <w:r w:rsidRPr="00AB3BD2">
              <w:t>Refer to the following Performance Criteria for examples of application:</w:t>
            </w:r>
          </w:p>
        </w:tc>
      </w:tr>
      <w:tr w:rsidTr="00193D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1.2; 1.4; 1.5; 1.7; 1.8; 1.10</w:t>
            </w:r>
          </w:p>
        </w:tc>
      </w:tr>
      <w:tr w:rsidTr="00193D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BD2">
            <w:pPr>
              <w:pStyle w:val="BodyText"/>
              <w:rPr>
                <w:lang w:val="en-NZ"/>
              </w:rPr>
            </w:pPr>
            <w:r w:rsidRPr="00AB3BD2">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3BD2">
            <w:pPr>
              <w:pStyle w:val="BodyText"/>
              <w:rPr>
                <w:lang w:val="en-NZ"/>
              </w:rPr>
            </w:pPr>
            <w:r w:rsidRPr="00AB3BD2">
              <w:t>Refer to the following Performance Criteria for examples of application:</w:t>
            </w:r>
          </w:p>
        </w:tc>
      </w:tr>
      <w:tr w:rsidTr="00193D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B3BD2" w:rsidP="00AB3BD2">
            <w:pPr>
              <w:pStyle w:val="BodyText"/>
            </w:pPr>
            <w:r w:rsidRPr="00AB3BD2">
              <w:t>2.6</w:t>
            </w:r>
          </w:p>
        </w:tc>
      </w:tr>
    </w:tbl>
    <w:p w:rsidR="00193DE0" w:rsidP="00AB3BD2">
      <w:pPr>
        <w:pStyle w:val="BodyText"/>
      </w:pPr>
    </w:p>
    <w:p w:rsidR="00193DE0" w:rsidP="00AB3BD2">
      <w:pPr>
        <w:pStyle w:val="BodyText"/>
      </w:pPr>
    </w:p>
    <w:p w:rsidR="00000000" w:rsidRPr="00AB3BD2" w:rsidP="00AB3BD2">
      <w:pPr>
        <w:pStyle w:val="Heading1"/>
      </w:pPr>
      <w:bookmarkStart w:id="11" w:name="O_255773"/>
      <w:bookmarkEnd w:id="11"/>
      <w:r w:rsidRPr="00AB3BD2">
        <w:t>Range Statement</w:t>
      </w:r>
    </w:p>
    <w:tbl>
      <w:tblPr>
        <w:tblW w:w="0" w:type="auto"/>
        <w:tblLayout w:type="fixed"/>
        <w:tblCellMar>
          <w:left w:w="62" w:type="dxa"/>
          <w:right w:w="62" w:type="dxa"/>
        </w:tblCellMar>
        <w:tblLook w:val="0000"/>
      </w:tblPr>
      <w:tblGrid>
        <w:gridCol w:w="8460"/>
      </w:tblGrid>
      <w:tr w:rsidTr="00193D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rPr>
                <w:rStyle w:val="SpecialBold"/>
              </w:rPr>
              <w:t>RANGE STATEMENT</w:t>
            </w:r>
          </w:p>
        </w:tc>
      </w:tr>
      <w:tr w:rsidTr="00193D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rPr>
                <w:rStyle w:val="SpecialBold"/>
              </w:rPr>
              <w:t>7</w:t>
            </w:r>
            <w:r w:rsidRPr="00AB3BD2">
              <w:t>) This relates to the competency standard unit as a whole providing the range of contexts and conditions to which the Performance Criteria apply. It allows for different work environments and situations that will affect performance.</w:t>
            </w:r>
          </w:p>
        </w:tc>
      </w:tr>
      <w:tr w:rsidTr="00193D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t>This Unit shall/may be demonstrated in relation to basic use of managing gas system environmental compliance.</w:t>
            </w:r>
          </w:p>
          <w:p w:rsidR="00000000" w:rsidRPr="00AB3BD2" w:rsidP="00AB3BD2">
            <w:pPr>
              <w:pStyle w:val="BodyText"/>
            </w:pPr>
            <w:r w:rsidRPr="00AB3BD2">
              <w:t xml:space="preserve">The following constants and variables included in the element/Performance Criteria in this unit are fully described in the Definitions Section of </w:t>
            </w:r>
            <w:r w:rsidRPr="00AB3BD2">
              <w:t>this volume and form an integral part of the Range Statement of this unit:</w:t>
            </w:r>
          </w:p>
          <w:p w:rsidR="00000000" w:rsidRPr="00AB3BD2" w:rsidP="00AB3BD2">
            <w:pPr>
              <w:pStyle w:val="BodyText"/>
            </w:pPr>
            <w:r w:rsidRPr="00AB3BD2">
              <w:t>Gas systems</w:t>
            </w:r>
          </w:p>
          <w:p w:rsidR="00000000" w:rsidRPr="00AB3BD2" w:rsidP="00AB3BD2">
            <w:pPr>
              <w:pStyle w:val="BodyText"/>
            </w:pPr>
            <w:r w:rsidRPr="00AB3BD2">
              <w:t>Legislative compliance</w:t>
            </w:r>
          </w:p>
          <w:p w:rsidR="00000000" w:rsidRPr="00AB3BD2" w:rsidP="00AB3BD2">
            <w:pPr>
              <w:pStyle w:val="BodyText"/>
            </w:pPr>
            <w:r w:rsidRPr="00AB3BD2">
              <w:t>Environmental issues</w:t>
            </w:r>
          </w:p>
          <w:p w:rsidR="00000000" w:rsidRPr="00AB3BD2" w:rsidP="00AB3BD2">
            <w:pPr>
              <w:pStyle w:val="BodyText"/>
            </w:pPr>
            <w:r w:rsidRPr="00AB3BD2">
              <w:t>Safety issues</w:t>
            </w:r>
          </w:p>
          <w:p w:rsidR="00000000" w:rsidRPr="00AB3BD2" w:rsidP="00AB3BD2">
            <w:pPr>
              <w:pStyle w:val="BodyText"/>
            </w:pPr>
            <w:r w:rsidRPr="00AB3BD2">
              <w:t>Relevant personnel</w:t>
            </w:r>
          </w:p>
        </w:tc>
      </w:tr>
    </w:tbl>
    <w:p w:rsidR="00193DE0" w:rsidP="00AB3BD2">
      <w:pPr>
        <w:pStyle w:val="BodyText"/>
      </w:pPr>
    </w:p>
    <w:p w:rsidR="00193DE0" w:rsidP="00AB3BD2">
      <w:pPr>
        <w:pStyle w:val="BodyText"/>
      </w:pPr>
    </w:p>
    <w:p w:rsidR="00000000" w:rsidRPr="00AB3BD2" w:rsidP="00AB3BD2">
      <w:pPr>
        <w:pStyle w:val="Heading1"/>
      </w:pPr>
      <w:bookmarkStart w:id="12" w:name="O_296786"/>
      <w:bookmarkEnd w:id="12"/>
      <w:r w:rsidRPr="00AB3BD2">
        <w:t>Unit Sector(s)</w:t>
      </w:r>
    </w:p>
    <w:p w:rsidR="00000000" w:rsidRPr="00AB3BD2" w:rsidP="00AB3BD2">
      <w:pPr>
        <w:pStyle w:val="BodyText"/>
      </w:pPr>
      <w:r w:rsidRPr="00AB3BD2">
        <w:t>Not Applicable</w:t>
      </w:r>
    </w:p>
    <w:p w:rsidR="00000000" w:rsidRPr="00AB3BD2" w:rsidP="00AB3BD2">
      <w:pPr>
        <w:pStyle w:val="AllowPageBreak"/>
      </w:pPr>
    </w:p>
    <w:p w:rsidR="00000000" w:rsidRPr="00AB3BD2" w:rsidP="00AB3BD2">
      <w:pPr>
        <w:pStyle w:val="Heading1"/>
      </w:pPr>
      <w:bookmarkStart w:id="13" w:name="O_229378"/>
      <w:bookmarkEnd w:id="13"/>
      <w:r w:rsidRPr="00AB3BD2">
        <w:t>Literacy and numeracy ski</w:t>
      </w:r>
      <w:r w:rsidRPr="00AB3BD2">
        <w:t>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193D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2</w:t>
            </w:r>
            <w:r w:rsidRPr="00AB3BD2">
              <w:t>.</w:t>
            </w:r>
            <w:r w:rsidRPr="00AB3BD2">
              <w:rPr>
                <w:rStyle w:val="SpecialBold"/>
              </w:rPr>
              <w:t>2</w:t>
            </w:r>
            <w:r w:rsidRPr="00AB3BD2">
              <w:t xml:space="preserve">) </w:t>
            </w:r>
          </w:p>
          <w:p w:rsidR="00000000" w:rsidP="00AB3BD2">
            <w:pPr>
              <w:pStyle w:val="BodyText"/>
              <w:rPr>
                <w:lang w:val="en-NZ"/>
              </w:rPr>
            </w:pPr>
            <w:r w:rsidRPr="00AB3BD2">
              <w:t>Participants are best equipped to achieve this unit if they have reading, writing and numeracy skills indicated by the following scales. Description of each scale is given in Volume 2, Part 3 'Literacy and Numeracy'</w:t>
            </w:r>
          </w:p>
        </w:tc>
      </w:tr>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Reading</w:t>
            </w:r>
          </w:p>
        </w:tc>
        <w:tc>
          <w:tcPr>
            <w:tcW w:w="805"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5</w:t>
            </w:r>
          </w:p>
        </w:tc>
        <w:tc>
          <w:tcPr>
            <w:tcW w:w="1184"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Writing</w:t>
            </w:r>
          </w:p>
        </w:tc>
        <w:tc>
          <w:tcPr>
            <w:tcW w:w="805"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5</w:t>
            </w:r>
          </w:p>
        </w:tc>
        <w:tc>
          <w:tcPr>
            <w:tcW w:w="1172"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t>Numeracy</w:t>
            </w:r>
          </w:p>
        </w:tc>
        <w:tc>
          <w:tcPr>
            <w:tcW w:w="805"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t>5</w:t>
            </w:r>
          </w:p>
        </w:tc>
      </w:tr>
    </w:tbl>
    <w:p w:rsidR="00193DE0" w:rsidP="00AB3BD2">
      <w:pPr>
        <w:pStyle w:val="BodyText"/>
      </w:pPr>
    </w:p>
    <w:p w:rsidR="00193DE0" w:rsidP="00AB3BD2">
      <w:pPr>
        <w:pStyle w:val="BodyText"/>
      </w:pPr>
    </w:p>
    <w:p w:rsidR="00000000" w:rsidRPr="00AB3BD2" w:rsidP="00AB3BD2">
      <w:pPr>
        <w:pStyle w:val="Heading1"/>
      </w:pPr>
      <w:bookmarkStart w:id="14" w:name="O_229381"/>
      <w:bookmarkEnd w:id="14"/>
      <w:r w:rsidRPr="00AB3BD2">
        <w:t>Competency Field</w:t>
      </w:r>
    </w:p>
    <w:tbl>
      <w:tblPr>
        <w:tblW w:w="0" w:type="auto"/>
        <w:tblLayout w:type="fixed"/>
        <w:tblCellMar>
          <w:left w:w="62" w:type="dxa"/>
          <w:right w:w="62" w:type="dxa"/>
        </w:tblCellMar>
        <w:tblLook w:val="0000"/>
      </w:tblPr>
      <w:tblGrid>
        <w:gridCol w:w="2700"/>
        <w:gridCol w:w="5760"/>
      </w:tblGrid>
      <w:tr w:rsidTr="00193D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B3BD2">
            <w:pPr>
              <w:pStyle w:val="BodyText"/>
              <w:rPr>
                <w:lang w:val="en-NZ"/>
              </w:rPr>
            </w:pPr>
            <w:r w:rsidRPr="00AB3BD2">
              <w:rPr>
                <w:rStyle w:val="SpecialBold"/>
              </w:rPr>
              <w:t>4</w:t>
            </w:r>
            <w:r w:rsidRPr="00AB3BD2">
              <w:t xml:space="preserve">) </w:t>
            </w:r>
          </w:p>
        </w:tc>
      </w:tr>
      <w:tr w:rsidTr="00193D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3BD2" w:rsidP="00AB3BD2">
            <w:pPr>
              <w:pStyle w:val="BodyText"/>
            </w:pPr>
            <w:r w:rsidRPr="00AB3BD2">
              <w:t>Cross discipline.</w:t>
            </w:r>
          </w:p>
        </w:tc>
      </w:tr>
    </w:tbl>
    <w:p w:rsidR="00193DE0" w:rsidP="00AB3BD2">
      <w:pPr>
        <w:pStyle w:val="BodyText"/>
      </w:pPr>
    </w:p>
    <w:p w:rsidR="00193DE0" w:rsidP="00AB3BD2">
      <w:pPr>
        <w:pStyle w:val="BodyText"/>
      </w:pPr>
    </w:p>
    <w:p w:rsidR="00000000" w:rsidRPr="00AB3BD2" w:rsidP="00AB3BD2"/>
    <w:sectPr w:rsidSect="00AB3B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B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DE0" w:rsidP="00193D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B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E0" w:rsidP="00AB3B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93DE0" w:rsidP="00AB3B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93DE0" w:rsidP="00AB3B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B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BD2" w:rsidRPr="00193DE0" w:rsidP="00193D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B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E0" w:rsidP="00AB3BD2">
    <w:pPr>
      <w:pStyle w:val="Header"/>
      <w:framePr w:wrap="around"/>
    </w:pPr>
    <w:r>
      <w:fldChar w:fldCharType="begin"/>
    </w:r>
    <w:r>
      <w:instrText xml:space="preserve"> TITLE   \* MERGEFORMAT </w:instrText>
    </w:r>
    <w:r>
      <w:fldChar w:fldCharType="separate"/>
    </w:r>
    <w:r>
      <w:t>UEGNSG120A Manage gas system environmental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3DE0" w:rsidP="00AB3B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648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36A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7AB5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B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3BD2"/>
    <w:pPr>
      <w:spacing w:before="360" w:after="60"/>
      <w:outlineLvl w:val="0"/>
    </w:pPr>
    <w:rPr>
      <w:sz w:val="32"/>
    </w:rPr>
  </w:style>
  <w:style w:type="paragraph" w:styleId="Heading2">
    <w:name w:val="heading 2"/>
    <w:basedOn w:val="HeadingBase"/>
    <w:next w:val="BodyText"/>
    <w:link w:val="Heading2Char"/>
    <w:qFormat/>
    <w:rsid w:val="00AB3BD2"/>
    <w:pPr>
      <w:keepLines/>
      <w:spacing w:before="240" w:after="120"/>
      <w:outlineLvl w:val="1"/>
    </w:pPr>
    <w:rPr>
      <w:sz w:val="28"/>
      <w:szCs w:val="40"/>
    </w:rPr>
  </w:style>
  <w:style w:type="paragraph" w:styleId="Heading3">
    <w:name w:val="heading 3"/>
    <w:basedOn w:val="HeadingBase"/>
    <w:next w:val="BodyText"/>
    <w:link w:val="Heading3Char"/>
    <w:qFormat/>
    <w:rsid w:val="00AB3BD2"/>
    <w:pPr>
      <w:spacing w:before="180" w:after="120"/>
      <w:outlineLvl w:val="2"/>
    </w:pPr>
    <w:rPr>
      <w:spacing w:val="-10"/>
      <w:kern w:val="32"/>
    </w:rPr>
  </w:style>
  <w:style w:type="paragraph" w:styleId="Heading4">
    <w:name w:val="heading 4"/>
    <w:basedOn w:val="HeadingBase"/>
    <w:next w:val="BodyText"/>
    <w:link w:val="Heading4Char"/>
    <w:qFormat/>
    <w:rsid w:val="00AB3BD2"/>
    <w:pPr>
      <w:spacing w:before="160" w:after="120"/>
      <w:outlineLvl w:val="3"/>
    </w:pPr>
    <w:rPr>
      <w:sz w:val="22"/>
    </w:rPr>
  </w:style>
  <w:style w:type="paragraph" w:styleId="Heading5">
    <w:name w:val="heading 5"/>
    <w:basedOn w:val="HeadingBase"/>
    <w:next w:val="Normal"/>
    <w:link w:val="Heading5Char"/>
    <w:qFormat/>
    <w:rsid w:val="00AB3BD2"/>
    <w:pPr>
      <w:spacing w:before="80"/>
      <w:outlineLvl w:val="4"/>
    </w:pPr>
    <w:rPr>
      <w:color w:val="918585"/>
      <w:sz w:val="20"/>
    </w:rPr>
  </w:style>
  <w:style w:type="paragraph" w:styleId="Heading6">
    <w:name w:val="heading 6"/>
    <w:basedOn w:val="HeadingBase"/>
    <w:next w:val="Normal"/>
    <w:link w:val="Heading6Char"/>
    <w:qFormat/>
    <w:rsid w:val="00AB3BD2"/>
    <w:pPr>
      <w:spacing w:before="60"/>
      <w:outlineLvl w:val="5"/>
    </w:pPr>
    <w:rPr>
      <w:color w:val="918585"/>
      <w:sz w:val="20"/>
    </w:rPr>
  </w:style>
  <w:style w:type="paragraph" w:styleId="Heading7">
    <w:name w:val="heading 7"/>
    <w:basedOn w:val="Normal"/>
    <w:next w:val="Normal"/>
    <w:link w:val="Heading7Char"/>
    <w:qFormat/>
    <w:rsid w:val="00AB3BD2"/>
    <w:pPr>
      <w:ind w:left="720"/>
      <w:outlineLvl w:val="6"/>
    </w:pPr>
    <w:rPr>
      <w:i/>
    </w:rPr>
  </w:style>
  <w:style w:type="paragraph" w:styleId="Heading8">
    <w:name w:val="heading 8"/>
    <w:basedOn w:val="Normal"/>
    <w:next w:val="Normal"/>
    <w:link w:val="Heading8Char"/>
    <w:qFormat/>
    <w:rsid w:val="00AB3BD2"/>
    <w:pPr>
      <w:ind w:left="720"/>
      <w:outlineLvl w:val="7"/>
    </w:pPr>
    <w:rPr>
      <w:i/>
    </w:rPr>
  </w:style>
  <w:style w:type="paragraph" w:styleId="Heading9">
    <w:name w:val="heading 9"/>
    <w:basedOn w:val="Normal"/>
    <w:next w:val="Normal"/>
    <w:link w:val="Heading9Char"/>
    <w:qFormat/>
    <w:rsid w:val="00AB3BD2"/>
    <w:pPr>
      <w:ind w:left="720"/>
      <w:outlineLvl w:val="8"/>
    </w:pPr>
    <w:rPr>
      <w:i/>
    </w:rPr>
  </w:style>
  <w:style w:type="character" w:default="1" w:styleId="DefaultParagraphFont">
    <w:name w:val="Default Paragraph Font"/>
    <w:uiPriority w:val="1"/>
    <w:unhideWhenUsed/>
    <w:rsid w:val="00AB3B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BD2"/>
  </w:style>
  <w:style w:type="character" w:customStyle="1" w:styleId="Heading1Char">
    <w:name w:val="Heading 1 Char"/>
    <w:link w:val="Heading1"/>
    <w:rsid w:val="00AB3BD2"/>
    <w:rPr>
      <w:rFonts w:ascii="Times New Roman" w:eastAsia="Times New Roman" w:hAnsi="Times New Roman" w:cs="Times New Roman"/>
      <w:b/>
      <w:sz w:val="32"/>
      <w:szCs w:val="20"/>
      <w:lang w:eastAsia="en-US"/>
    </w:rPr>
  </w:style>
  <w:style w:type="paragraph" w:styleId="BodyText">
    <w:name w:val="Body Text"/>
    <w:basedOn w:val="Normal"/>
    <w:link w:val="BodyTextChar"/>
    <w:rsid w:val="00AB3BD2"/>
    <w:pPr>
      <w:spacing w:before="120" w:after="120"/>
      <w:contextualSpacing/>
    </w:pPr>
    <w:rPr>
      <w:rFonts w:ascii="Times New Roman" w:hAnsi="Times New Roman"/>
      <w:sz w:val="24"/>
      <w:szCs w:val="22"/>
    </w:rPr>
  </w:style>
  <w:style w:type="character" w:customStyle="1" w:styleId="BodyTextChar">
    <w:name w:val="Body Text Char"/>
    <w:link w:val="BodyText"/>
    <w:rsid w:val="00AB3BD2"/>
    <w:rPr>
      <w:rFonts w:ascii="Times New Roman" w:eastAsia="Times New Roman" w:hAnsi="Times New Roman" w:cs="Times New Roman"/>
      <w:sz w:val="24"/>
      <w:lang w:val="en-US" w:eastAsia="en-US"/>
    </w:rPr>
  </w:style>
  <w:style w:type="paragraph" w:styleId="Footer">
    <w:name w:val="footer"/>
    <w:basedOn w:val="Normal"/>
    <w:link w:val="FooterChar"/>
    <w:rsid w:val="00AB3B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B3BD2"/>
    <w:rPr>
      <w:rFonts w:ascii="Times New Roman" w:eastAsia="Times New Roman" w:hAnsi="Times New Roman" w:cs="Times New Roman"/>
      <w:sz w:val="16"/>
      <w:lang w:val="en-US" w:eastAsia="en-US"/>
    </w:rPr>
  </w:style>
  <w:style w:type="paragraph" w:styleId="ListBullet">
    <w:name w:val="List Bullet"/>
    <w:basedOn w:val="List"/>
    <w:rsid w:val="00AB3BD2"/>
    <w:pPr>
      <w:numPr>
        <w:numId w:val="13"/>
      </w:numPr>
      <w:tabs>
        <w:tab w:val="clear" w:pos="340"/>
      </w:tabs>
      <w:spacing w:before="40" w:after="40"/>
    </w:pPr>
  </w:style>
  <w:style w:type="character" w:customStyle="1" w:styleId="SpecialBold">
    <w:name w:val="Special Bold"/>
    <w:rsid w:val="00AB3BD2"/>
    <w:rPr>
      <w:b/>
      <w:spacing w:val="0"/>
    </w:rPr>
  </w:style>
  <w:style w:type="paragraph" w:styleId="ListBullet2">
    <w:name w:val="List Bullet 2"/>
    <w:basedOn w:val="List2"/>
    <w:rsid w:val="00AB3BD2"/>
    <w:pPr>
      <w:numPr>
        <w:numId w:val="14"/>
      </w:numPr>
      <w:tabs>
        <w:tab w:val="clear" w:pos="680"/>
      </w:tabs>
    </w:pPr>
  </w:style>
  <w:style w:type="paragraph" w:customStyle="1" w:styleId="SuperHeading">
    <w:name w:val="SuperHeading"/>
    <w:basedOn w:val="Normal"/>
    <w:rsid w:val="00AB3BD2"/>
    <w:pPr>
      <w:spacing w:before="240" w:after="120"/>
      <w:outlineLvl w:val="0"/>
    </w:pPr>
    <w:rPr>
      <w:rFonts w:ascii="Times New Roman" w:hAnsi="Times New Roman"/>
      <w:b/>
      <w:sz w:val="28"/>
    </w:rPr>
  </w:style>
  <w:style w:type="paragraph" w:customStyle="1" w:styleId="AllowPageBreak">
    <w:name w:val="AllowPageBreak"/>
    <w:rsid w:val="00AB3B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B3BD2"/>
    <w:rPr>
      <w:rFonts w:ascii="Times New Roman" w:eastAsia="Times New Roman" w:hAnsi="Times New Roman" w:cs="Times New Roman"/>
      <w:b/>
      <w:sz w:val="28"/>
      <w:szCs w:val="40"/>
      <w:lang w:eastAsia="en-US"/>
    </w:rPr>
  </w:style>
  <w:style w:type="character" w:customStyle="1" w:styleId="Heading3Char">
    <w:name w:val="Heading 3 Char"/>
    <w:link w:val="Heading3"/>
    <w:rsid w:val="00AB3BD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B3BD2"/>
    <w:rPr>
      <w:rFonts w:ascii="Times New Roman" w:eastAsia="Times New Roman" w:hAnsi="Times New Roman" w:cs="Times New Roman"/>
      <w:b/>
      <w:szCs w:val="20"/>
      <w:lang w:eastAsia="en-US"/>
    </w:rPr>
  </w:style>
  <w:style w:type="character" w:customStyle="1" w:styleId="Heading5Char">
    <w:name w:val="Heading 5 Char"/>
    <w:link w:val="Heading5"/>
    <w:rsid w:val="00AB3BD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B3B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B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3B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3BD2"/>
    <w:rPr>
      <w:rFonts w:ascii="Courier New" w:eastAsia="Times New Roman" w:hAnsi="Courier New" w:cs="Times New Roman"/>
      <w:i/>
      <w:szCs w:val="20"/>
      <w:lang w:val="en-US" w:eastAsia="en-US"/>
    </w:rPr>
  </w:style>
  <w:style w:type="paragraph" w:customStyle="1" w:styleId="HeadingBase">
    <w:name w:val="Heading Base"/>
    <w:rsid w:val="00AB3B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BD2"/>
    <w:pPr>
      <w:tabs>
        <w:tab w:val="right" w:leader="dot" w:pos="9072"/>
      </w:tabs>
      <w:ind w:left="567"/>
    </w:pPr>
    <w:rPr>
      <w:szCs w:val="22"/>
    </w:rPr>
  </w:style>
  <w:style w:type="paragraph" w:customStyle="1" w:styleId="TOCBase">
    <w:name w:val="TOC Base"/>
    <w:rsid w:val="00AB3B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BD2"/>
    <w:pPr>
      <w:tabs>
        <w:tab w:val="right" w:leader="dot" w:pos="9072"/>
      </w:tabs>
      <w:spacing w:before="40" w:after="40"/>
      <w:ind w:left="284"/>
    </w:pPr>
    <w:rPr>
      <w:rFonts w:ascii="Times New Roman" w:hAnsi="Times New Roman"/>
    </w:rPr>
  </w:style>
  <w:style w:type="paragraph" w:styleId="TOC1">
    <w:name w:val="toc 1"/>
    <w:basedOn w:val="TOCBase"/>
    <w:next w:val="Normal"/>
    <w:rsid w:val="00AB3B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3BD2"/>
    <w:pPr>
      <w:spacing w:before="5040"/>
      <w:jc w:val="center"/>
    </w:pPr>
    <w:rPr>
      <w:sz w:val="48"/>
      <w:szCs w:val="72"/>
      <w:lang w:val="en-US"/>
    </w:rPr>
  </w:style>
  <w:style w:type="character" w:customStyle="1" w:styleId="TitleChar">
    <w:name w:val="Title Char"/>
    <w:link w:val="Title"/>
    <w:rsid w:val="00AB3B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BD2"/>
    <w:pPr>
      <w:tabs>
        <w:tab w:val="left" w:pos="3600"/>
        <w:tab w:val="left" w:pos="3958"/>
      </w:tabs>
    </w:pPr>
  </w:style>
  <w:style w:type="paragraph" w:styleId="List">
    <w:name w:val="List"/>
    <w:basedOn w:val="BodyText"/>
    <w:next w:val="BodyText"/>
    <w:rsid w:val="00AB3BD2"/>
    <w:pPr>
      <w:tabs>
        <w:tab w:val="left" w:pos="340"/>
      </w:tabs>
      <w:spacing w:before="60" w:after="60"/>
      <w:ind w:left="340" w:hanging="340"/>
    </w:pPr>
  </w:style>
  <w:style w:type="paragraph" w:customStyle="1" w:styleId="Note">
    <w:name w:val="Note"/>
    <w:basedOn w:val="BodyText"/>
    <w:rsid w:val="00AB3B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BD2"/>
    <w:pPr>
      <w:framePr w:wrap="auto" w:hAnchor="text" w:y="6049"/>
    </w:pPr>
    <w:rPr>
      <w:color w:val="000000"/>
      <w:sz w:val="40"/>
    </w:rPr>
  </w:style>
  <w:style w:type="paragraph" w:customStyle="1" w:styleId="TOCTitle">
    <w:name w:val="TOCTitle"/>
    <w:basedOn w:val="Heading1"/>
    <w:rsid w:val="00AB3BD2"/>
    <w:pPr>
      <w:spacing w:after="240"/>
      <w:jc w:val="center"/>
      <w:outlineLvl w:val="9"/>
    </w:pPr>
    <w:rPr>
      <w:caps/>
    </w:rPr>
  </w:style>
  <w:style w:type="paragraph" w:customStyle="1" w:styleId="Version">
    <w:name w:val="Version"/>
    <w:rsid w:val="00AB3B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3BD2"/>
    <w:pPr>
      <w:keepNext w:val="0"/>
      <w:tabs>
        <w:tab w:val="right" w:pos="4176"/>
      </w:tabs>
      <w:ind w:left="198" w:hanging="198"/>
    </w:pPr>
    <w:rPr>
      <w:rFonts w:ascii="Garamond" w:hAnsi="Garamond"/>
    </w:rPr>
  </w:style>
  <w:style w:type="paragraph" w:styleId="IndexHeading">
    <w:name w:val="index heading"/>
    <w:basedOn w:val="Normal"/>
    <w:next w:val="Index1"/>
    <w:semiHidden/>
    <w:rsid w:val="00AB3BD2"/>
    <w:pPr>
      <w:spacing w:before="120" w:after="120"/>
    </w:pPr>
    <w:rPr>
      <w:rFonts w:ascii="Arial" w:hAnsi="Arial"/>
      <w:b/>
      <w:color w:val="918585"/>
      <w:sz w:val="24"/>
    </w:rPr>
  </w:style>
  <w:style w:type="paragraph" w:styleId="Header">
    <w:name w:val="header"/>
    <w:basedOn w:val="Normal"/>
    <w:link w:val="HeaderChar"/>
    <w:rsid w:val="00AB3B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B3BD2"/>
    <w:rPr>
      <w:rFonts w:ascii="Times New Roman" w:eastAsia="Times New Roman" w:hAnsi="Times New Roman" w:cs="Times New Roman"/>
      <w:sz w:val="16"/>
      <w:szCs w:val="20"/>
      <w:lang w:val="en-GB" w:eastAsia="en-US"/>
    </w:rPr>
  </w:style>
  <w:style w:type="paragraph" w:customStyle="1" w:styleId="Chapter">
    <w:name w:val="Chapter"/>
    <w:basedOn w:val="Normal"/>
    <w:rsid w:val="00AB3BD2"/>
    <w:pPr>
      <w:spacing w:before="240"/>
    </w:pPr>
    <w:rPr>
      <w:rFonts w:ascii="Times New Roman" w:hAnsi="Times New Roman"/>
      <w:smallCaps/>
      <w:spacing w:val="80"/>
      <w:sz w:val="28"/>
    </w:rPr>
  </w:style>
  <w:style w:type="paragraph" w:customStyle="1" w:styleId="InChapter">
    <w:name w:val="InChapter"/>
    <w:basedOn w:val="Heading3"/>
    <w:rsid w:val="00AB3BD2"/>
    <w:pPr>
      <w:spacing w:after="240"/>
      <w:outlineLvl w:val="9"/>
    </w:pPr>
    <w:rPr>
      <w:noProof/>
    </w:rPr>
  </w:style>
  <w:style w:type="paragraph" w:styleId="Index2">
    <w:name w:val="index 2"/>
    <w:basedOn w:val="Normal"/>
    <w:next w:val="Normal"/>
    <w:semiHidden/>
    <w:rsid w:val="00AB3BD2"/>
    <w:pPr>
      <w:tabs>
        <w:tab w:val="right" w:pos="4176"/>
      </w:tabs>
      <w:ind w:left="568" w:hanging="284"/>
    </w:pPr>
    <w:rPr>
      <w:rFonts w:ascii="Garamond" w:hAnsi="Garamond"/>
    </w:rPr>
  </w:style>
  <w:style w:type="paragraph" w:customStyle="1" w:styleId="Byline">
    <w:name w:val="Byline"/>
    <w:rsid w:val="00AB3B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BD2"/>
    <w:pPr>
      <w:tabs>
        <w:tab w:val="clear" w:pos="3600"/>
        <w:tab w:val="clear" w:pos="3958"/>
      </w:tabs>
      <w:jc w:val="right"/>
    </w:pPr>
  </w:style>
  <w:style w:type="character" w:styleId="Emphasis">
    <w:name w:val="Emphasis"/>
    <w:qFormat/>
    <w:rsid w:val="00AB3BD2"/>
    <w:rPr>
      <w:i/>
    </w:rPr>
  </w:style>
  <w:style w:type="paragraph" w:styleId="Caption">
    <w:name w:val="caption"/>
    <w:basedOn w:val="BodyText"/>
    <w:next w:val="Normal"/>
    <w:qFormat/>
    <w:rsid w:val="00AB3BD2"/>
    <w:pPr>
      <w:framePr w:w="2268" w:hSpace="181" w:vSpace="181" w:wrap="around" w:vAnchor="text" w:hAnchor="page" w:x="1135" w:y="285" w:anchorLock="1"/>
    </w:pPr>
    <w:rPr>
      <w:i/>
    </w:rPr>
  </w:style>
  <w:style w:type="paragraph" w:customStyle="1" w:styleId="MiniTOCTitle">
    <w:name w:val="MiniTOCTitle"/>
    <w:basedOn w:val="Heading4"/>
    <w:rsid w:val="00AB3BD2"/>
    <w:pPr>
      <w:spacing w:before="240"/>
      <w:outlineLvl w:val="9"/>
    </w:pPr>
    <w:rPr>
      <w:noProof/>
      <w:sz w:val="24"/>
    </w:rPr>
  </w:style>
  <w:style w:type="paragraph" w:customStyle="1" w:styleId="MiniTOCItem">
    <w:name w:val="MiniTOCItem"/>
    <w:basedOn w:val="ListBullet"/>
    <w:rsid w:val="00AB3BD2"/>
    <w:pPr>
      <w:numPr>
        <w:numId w:val="0"/>
      </w:numPr>
      <w:tabs>
        <w:tab w:val="right" w:leader="dot" w:pos="6521"/>
      </w:tabs>
      <w:spacing w:before="0" w:after="0"/>
    </w:pPr>
  </w:style>
  <w:style w:type="paragraph" w:customStyle="1" w:styleId="TOFTitle">
    <w:name w:val="TOFTitle"/>
    <w:basedOn w:val="TOCTitle"/>
    <w:rsid w:val="00AB3BD2"/>
  </w:style>
  <w:style w:type="paragraph" w:styleId="TableofFigures">
    <w:name w:val="table of figures"/>
    <w:basedOn w:val="Normal"/>
    <w:next w:val="Normal"/>
    <w:semiHidden/>
    <w:rsid w:val="00AB3BD2"/>
    <w:pPr>
      <w:tabs>
        <w:tab w:val="right" w:leader="dot" w:pos="9072"/>
      </w:tabs>
      <w:ind w:left="970" w:hanging="403"/>
    </w:pPr>
    <w:rPr>
      <w:rFonts w:ascii="Times New Roman" w:hAnsi="Times New Roman"/>
      <w:b/>
    </w:rPr>
  </w:style>
  <w:style w:type="paragraph" w:styleId="ListNumber">
    <w:name w:val="List Number"/>
    <w:basedOn w:val="List"/>
    <w:rsid w:val="00AB3BD2"/>
    <w:pPr>
      <w:numPr>
        <w:numId w:val="11"/>
      </w:numPr>
    </w:pPr>
  </w:style>
  <w:style w:type="character" w:customStyle="1" w:styleId="WingdingSymbols">
    <w:name w:val="Wingding Symbols"/>
    <w:rsid w:val="00AB3BD2"/>
    <w:rPr>
      <w:rFonts w:ascii="Wingdings" w:hAnsi="Wingdings"/>
    </w:rPr>
  </w:style>
  <w:style w:type="paragraph" w:customStyle="1" w:styleId="TableHeading">
    <w:name w:val="Table Heading"/>
    <w:basedOn w:val="HeadingBase"/>
    <w:rsid w:val="00AB3BD2"/>
    <w:pPr>
      <w:keepLines/>
      <w:pBdr>
        <w:bottom w:val="single" w:sz="6" w:space="1" w:color="918585"/>
      </w:pBdr>
      <w:spacing w:before="240"/>
    </w:pPr>
  </w:style>
  <w:style w:type="character" w:customStyle="1" w:styleId="HotSpot">
    <w:name w:val="HotSpot"/>
    <w:rsid w:val="00AB3BD2"/>
    <w:rPr>
      <w:color w:val="0033CC"/>
      <w:u w:val="none"/>
    </w:rPr>
  </w:style>
  <w:style w:type="paragraph" w:customStyle="1" w:styleId="BodyTextRight">
    <w:name w:val="Body Text Right"/>
    <w:basedOn w:val="BodyText"/>
    <w:rsid w:val="00AB3BD2"/>
    <w:pPr>
      <w:spacing w:before="0" w:after="0"/>
      <w:jc w:val="right"/>
    </w:pPr>
  </w:style>
  <w:style w:type="paragraph" w:styleId="Index3">
    <w:name w:val="index 3"/>
    <w:basedOn w:val="ListNumber2"/>
    <w:next w:val="Normal"/>
    <w:semiHidden/>
    <w:rsid w:val="00AB3BD2"/>
    <w:pPr>
      <w:numPr>
        <w:numId w:val="0"/>
      </w:numPr>
      <w:tabs>
        <w:tab w:val="right" w:leader="dot" w:pos="4176"/>
      </w:tabs>
    </w:pPr>
  </w:style>
  <w:style w:type="paragraph" w:styleId="ListNumber2">
    <w:name w:val="List Number 2"/>
    <w:basedOn w:val="List2"/>
    <w:rsid w:val="00AB3BD2"/>
    <w:pPr>
      <w:numPr>
        <w:numId w:val="10"/>
      </w:numPr>
      <w:tabs>
        <w:tab w:val="clear" w:pos="1060"/>
      </w:tabs>
    </w:pPr>
  </w:style>
  <w:style w:type="paragraph" w:customStyle="1" w:styleId="MarginNote">
    <w:name w:val="Margin Note"/>
    <w:basedOn w:val="BodyText"/>
    <w:rsid w:val="00AB3B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B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B3B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3BD2"/>
    <w:rPr>
      <w:sz w:val="32"/>
    </w:rPr>
  </w:style>
  <w:style w:type="paragraph" w:customStyle="1" w:styleId="HeadingProcedure">
    <w:name w:val="Heading Procedure"/>
    <w:basedOn w:val="HeadingBase"/>
    <w:next w:val="Normal"/>
    <w:rsid w:val="00AB3BD2"/>
    <w:pPr>
      <w:tabs>
        <w:tab w:val="left" w:pos="0"/>
      </w:tabs>
      <w:spacing w:before="120" w:after="60"/>
    </w:pPr>
    <w:rPr>
      <w:i/>
      <w:color w:val="918585"/>
      <w:sz w:val="22"/>
    </w:rPr>
  </w:style>
  <w:style w:type="paragraph" w:customStyle="1" w:styleId="TableBodyText">
    <w:name w:val="Table Body Text"/>
    <w:basedOn w:val="BodyText"/>
    <w:rsid w:val="00AB3BD2"/>
    <w:pPr>
      <w:spacing w:before="60" w:after="60"/>
    </w:pPr>
  </w:style>
  <w:style w:type="paragraph" w:styleId="ListContinue">
    <w:name w:val="List Continue"/>
    <w:basedOn w:val="List"/>
    <w:rsid w:val="00AB3BD2"/>
    <w:pPr>
      <w:ind w:firstLine="0"/>
    </w:pPr>
  </w:style>
  <w:style w:type="paragraph" w:customStyle="1" w:styleId="ListNote">
    <w:name w:val="List Note"/>
    <w:basedOn w:val="List"/>
    <w:rsid w:val="00AB3BD2"/>
    <w:pPr>
      <w:pBdr>
        <w:top w:val="single" w:sz="6" w:space="2" w:color="918585"/>
        <w:bottom w:val="single" w:sz="6" w:space="2" w:color="918585"/>
      </w:pBdr>
      <w:tabs>
        <w:tab w:val="left" w:pos="1021"/>
      </w:tabs>
      <w:ind w:firstLine="0"/>
    </w:pPr>
  </w:style>
  <w:style w:type="paragraph" w:customStyle="1" w:styleId="Warning">
    <w:name w:val="Warning"/>
    <w:basedOn w:val="BodyText"/>
    <w:rsid w:val="00AB3BD2"/>
    <w:pPr>
      <w:shd w:val="clear" w:color="auto" w:fill="D9D9D9"/>
      <w:tabs>
        <w:tab w:val="left" w:pos="992"/>
      </w:tabs>
      <w:ind w:left="119" w:right="119"/>
    </w:pPr>
    <w:rPr>
      <w:sz w:val="20"/>
    </w:rPr>
  </w:style>
  <w:style w:type="paragraph" w:customStyle="1" w:styleId="MarginIcons">
    <w:name w:val="Margin Icons"/>
    <w:basedOn w:val="BodyText"/>
    <w:rsid w:val="00AB3BD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B3BD2"/>
    <w:rPr>
      <w:rFonts w:ascii="Courier New" w:hAnsi="Courier New"/>
    </w:rPr>
  </w:style>
  <w:style w:type="paragraph" w:customStyle="1" w:styleId="NoteBullet">
    <w:name w:val="Note Bullet"/>
    <w:basedOn w:val="Note"/>
    <w:rsid w:val="00AB3BD2"/>
    <w:pPr>
      <w:tabs>
        <w:tab w:val="clear" w:pos="680"/>
      </w:tabs>
      <w:spacing w:before="60" w:after="60"/>
    </w:pPr>
  </w:style>
  <w:style w:type="paragraph" w:customStyle="1" w:styleId="SubHeading2">
    <w:name w:val="SubHeading2"/>
    <w:basedOn w:val="HeadingBase"/>
    <w:rsid w:val="00AB3BD2"/>
    <w:pPr>
      <w:spacing w:before="240" w:after="60"/>
    </w:pPr>
    <w:rPr>
      <w:sz w:val="20"/>
    </w:rPr>
  </w:style>
  <w:style w:type="paragraph" w:customStyle="1" w:styleId="SubHeading1">
    <w:name w:val="SubHeading1"/>
    <w:basedOn w:val="HeadingBase"/>
    <w:rsid w:val="00AB3BD2"/>
    <w:pPr>
      <w:spacing w:before="240" w:after="60"/>
    </w:pPr>
    <w:rPr>
      <w:color w:val="918585"/>
      <w:sz w:val="22"/>
    </w:rPr>
  </w:style>
  <w:style w:type="paragraph" w:customStyle="1" w:styleId="SideHeading">
    <w:name w:val="Side Heading"/>
    <w:basedOn w:val="HeadingBase"/>
    <w:rsid w:val="00AB3B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BD2"/>
    <w:pPr>
      <w:numPr>
        <w:numId w:val="12"/>
      </w:numPr>
    </w:pPr>
  </w:style>
  <w:style w:type="paragraph" w:styleId="PlainText">
    <w:name w:val="Plain Text"/>
    <w:basedOn w:val="Normal"/>
    <w:link w:val="PlainTextChar"/>
    <w:rsid w:val="00AB3BD2"/>
    <w:rPr>
      <w:sz w:val="20"/>
    </w:rPr>
  </w:style>
  <w:style w:type="character" w:customStyle="1" w:styleId="PlainTextChar">
    <w:name w:val="Plain Text Char"/>
    <w:basedOn w:val="DefaultParagraphFont"/>
    <w:link w:val="PlainText"/>
    <w:rsid w:val="00AB3BD2"/>
    <w:rPr>
      <w:rFonts w:ascii="Courier New" w:eastAsia="Times New Roman" w:hAnsi="Courier New" w:cs="Times New Roman"/>
      <w:sz w:val="20"/>
      <w:szCs w:val="20"/>
      <w:lang w:val="en-US" w:eastAsia="en-US"/>
    </w:rPr>
  </w:style>
  <w:style w:type="character" w:customStyle="1" w:styleId="MenuOption">
    <w:name w:val="Menu Option"/>
    <w:rsid w:val="00AB3BD2"/>
    <w:rPr>
      <w:b/>
      <w:smallCaps/>
    </w:rPr>
  </w:style>
  <w:style w:type="paragraph" w:customStyle="1" w:styleId="TableListNumber">
    <w:name w:val="Table List Number"/>
    <w:basedOn w:val="ListNumber"/>
    <w:rsid w:val="00AB3BD2"/>
    <w:pPr>
      <w:numPr>
        <w:numId w:val="0"/>
      </w:numPr>
    </w:pPr>
  </w:style>
  <w:style w:type="paragraph" w:styleId="TOC4">
    <w:name w:val="toc 4"/>
    <w:basedOn w:val="TOCBase"/>
    <w:next w:val="Normal"/>
    <w:semiHidden/>
    <w:rsid w:val="00AB3BD2"/>
    <w:pPr>
      <w:tabs>
        <w:tab w:val="right" w:leader="dot" w:pos="9071"/>
      </w:tabs>
      <w:ind w:left="1701"/>
    </w:pPr>
  </w:style>
  <w:style w:type="paragraph" w:customStyle="1" w:styleId="ListAlpha">
    <w:name w:val="List Alpha"/>
    <w:basedOn w:val="List"/>
    <w:rsid w:val="00AB3BD2"/>
    <w:pPr>
      <w:numPr>
        <w:numId w:val="9"/>
      </w:numPr>
    </w:pPr>
  </w:style>
  <w:style w:type="paragraph" w:customStyle="1" w:styleId="ListAlpha2">
    <w:name w:val="List Alpha 2"/>
    <w:basedOn w:val="List2"/>
    <w:rsid w:val="00AB3BD2"/>
    <w:pPr>
      <w:numPr>
        <w:numId w:val="8"/>
      </w:numPr>
    </w:pPr>
  </w:style>
  <w:style w:type="paragraph" w:styleId="List2">
    <w:name w:val="List 2"/>
    <w:basedOn w:val="BodyText"/>
    <w:rsid w:val="00AB3BD2"/>
    <w:pPr>
      <w:tabs>
        <w:tab w:val="left" w:pos="680"/>
      </w:tabs>
      <w:spacing w:before="60" w:after="60"/>
      <w:ind w:left="680" w:hanging="340"/>
    </w:pPr>
  </w:style>
  <w:style w:type="paragraph" w:styleId="List3">
    <w:name w:val="List 3"/>
    <w:basedOn w:val="BodyText"/>
    <w:rsid w:val="00AB3BD2"/>
    <w:pPr>
      <w:tabs>
        <w:tab w:val="left" w:pos="1021"/>
      </w:tabs>
      <w:spacing w:before="60" w:after="60"/>
      <w:ind w:left="1020" w:hanging="340"/>
    </w:pPr>
  </w:style>
  <w:style w:type="paragraph" w:styleId="List4">
    <w:name w:val="List 4"/>
    <w:basedOn w:val="BodyText"/>
    <w:rsid w:val="00AB3BD2"/>
    <w:pPr>
      <w:tabs>
        <w:tab w:val="left" w:pos="1361"/>
      </w:tabs>
      <w:spacing w:before="60" w:after="60"/>
      <w:ind w:left="1361" w:hanging="340"/>
    </w:pPr>
  </w:style>
  <w:style w:type="paragraph" w:styleId="List5">
    <w:name w:val="List 5"/>
    <w:basedOn w:val="BodyText"/>
    <w:rsid w:val="00AB3BD2"/>
    <w:pPr>
      <w:tabs>
        <w:tab w:val="left" w:pos="1701"/>
      </w:tabs>
      <w:spacing w:before="60" w:after="60"/>
      <w:ind w:left="1701" w:hanging="340"/>
    </w:pPr>
  </w:style>
  <w:style w:type="paragraph" w:styleId="ListBullet3">
    <w:name w:val="List Bullet 3"/>
    <w:basedOn w:val="List3"/>
    <w:rsid w:val="00AB3BD2"/>
    <w:pPr>
      <w:numPr>
        <w:numId w:val="15"/>
      </w:numPr>
      <w:tabs>
        <w:tab w:val="clear" w:pos="1021"/>
      </w:tabs>
      <w:ind w:left="1037" w:hanging="357"/>
    </w:pPr>
  </w:style>
  <w:style w:type="paragraph" w:styleId="ListBullet4">
    <w:name w:val="List Bullet 4"/>
    <w:basedOn w:val="List4"/>
    <w:rsid w:val="00AB3BD2"/>
    <w:pPr>
      <w:numPr>
        <w:numId w:val="3"/>
      </w:numPr>
    </w:pPr>
  </w:style>
  <w:style w:type="paragraph" w:styleId="ListBullet5">
    <w:name w:val="List Bullet 5"/>
    <w:basedOn w:val="List5"/>
    <w:rsid w:val="00AB3BD2"/>
    <w:pPr>
      <w:numPr>
        <w:numId w:val="4"/>
      </w:numPr>
    </w:pPr>
  </w:style>
  <w:style w:type="paragraph" w:styleId="ListContinue2">
    <w:name w:val="List Continue 2"/>
    <w:basedOn w:val="List2"/>
    <w:rsid w:val="00AB3BD2"/>
    <w:pPr>
      <w:ind w:firstLine="0"/>
    </w:pPr>
  </w:style>
  <w:style w:type="paragraph" w:styleId="ListContinue3">
    <w:name w:val="List Continue 3"/>
    <w:basedOn w:val="List3"/>
    <w:rsid w:val="00AB3BD2"/>
    <w:pPr>
      <w:ind w:left="1021" w:firstLine="0"/>
    </w:pPr>
  </w:style>
  <w:style w:type="paragraph" w:styleId="ListContinue4">
    <w:name w:val="List Continue 4"/>
    <w:basedOn w:val="List4"/>
    <w:rsid w:val="00AB3BD2"/>
    <w:pPr>
      <w:ind w:firstLine="0"/>
    </w:pPr>
  </w:style>
  <w:style w:type="paragraph" w:styleId="ListContinue5">
    <w:name w:val="List Continue 5"/>
    <w:basedOn w:val="List5"/>
    <w:rsid w:val="00AB3BD2"/>
    <w:pPr>
      <w:ind w:firstLine="0"/>
    </w:pPr>
  </w:style>
  <w:style w:type="paragraph" w:styleId="ListNumber3">
    <w:name w:val="List Number 3"/>
    <w:basedOn w:val="List3"/>
    <w:rsid w:val="00AB3BD2"/>
    <w:pPr>
      <w:numPr>
        <w:numId w:val="5"/>
      </w:numPr>
    </w:pPr>
  </w:style>
  <w:style w:type="paragraph" w:styleId="ListNumber4">
    <w:name w:val="List Number 4"/>
    <w:basedOn w:val="List4"/>
    <w:rsid w:val="00AB3BD2"/>
    <w:pPr>
      <w:numPr>
        <w:numId w:val="6"/>
      </w:numPr>
    </w:pPr>
  </w:style>
  <w:style w:type="paragraph" w:styleId="ListNumber5">
    <w:name w:val="List Number 5"/>
    <w:basedOn w:val="List5"/>
    <w:rsid w:val="00AB3BD2"/>
    <w:pPr>
      <w:numPr>
        <w:numId w:val="7"/>
      </w:numPr>
    </w:pPr>
  </w:style>
  <w:style w:type="paragraph" w:styleId="BlockText">
    <w:name w:val="Block Text"/>
    <w:basedOn w:val="Normal"/>
    <w:rsid w:val="00AB3BD2"/>
    <w:pPr>
      <w:spacing w:after="120"/>
      <w:ind w:left="1440" w:right="1440"/>
    </w:pPr>
  </w:style>
  <w:style w:type="character" w:customStyle="1" w:styleId="Subscript">
    <w:name w:val="Subscript"/>
    <w:rsid w:val="00AB3BD2"/>
    <w:rPr>
      <w:sz w:val="16"/>
      <w:vertAlign w:val="subscript"/>
    </w:rPr>
  </w:style>
  <w:style w:type="character" w:customStyle="1" w:styleId="Superscript">
    <w:name w:val="Superscript"/>
    <w:rsid w:val="00AB3BD2"/>
    <w:rPr>
      <w:sz w:val="16"/>
      <w:vertAlign w:val="superscript"/>
    </w:rPr>
  </w:style>
  <w:style w:type="character" w:customStyle="1" w:styleId="Symbols">
    <w:name w:val="Symbols"/>
    <w:rsid w:val="00AB3BD2"/>
    <w:rPr>
      <w:rFonts w:ascii="Symbol" w:hAnsi="Symbol"/>
    </w:rPr>
  </w:style>
  <w:style w:type="character" w:customStyle="1" w:styleId="MenuOptions">
    <w:name w:val="Menu Options"/>
    <w:rsid w:val="00AB3BD2"/>
    <w:rPr>
      <w:rFonts w:ascii="Arial Narrow" w:hAnsi="Arial Narrow"/>
      <w:smallCaps/>
    </w:rPr>
  </w:style>
  <w:style w:type="character" w:customStyle="1" w:styleId="Buttons">
    <w:name w:val="Buttons"/>
    <w:rsid w:val="00AB3BD2"/>
    <w:rPr>
      <w:b/>
    </w:rPr>
  </w:style>
  <w:style w:type="character" w:customStyle="1" w:styleId="Underlined">
    <w:name w:val="Underlined"/>
    <w:rsid w:val="00AB3BD2"/>
    <w:rPr>
      <w:u w:val="single"/>
    </w:rPr>
  </w:style>
  <w:style w:type="paragraph" w:customStyle="1" w:styleId="TableBodyTextRight">
    <w:name w:val="Table Body Text Right"/>
    <w:basedOn w:val="TableBodyText"/>
    <w:rsid w:val="00AB3BD2"/>
    <w:pPr>
      <w:widowControl w:val="0"/>
      <w:autoSpaceDE w:val="0"/>
      <w:autoSpaceDN w:val="0"/>
      <w:adjustRightInd w:val="0"/>
      <w:jc w:val="right"/>
    </w:pPr>
    <w:rPr>
      <w:rFonts w:cs="Arial"/>
      <w:szCs w:val="18"/>
    </w:rPr>
  </w:style>
  <w:style w:type="paragraph" w:customStyle="1" w:styleId="CopyrightText">
    <w:name w:val="Copyright Text"/>
    <w:basedOn w:val="BodyText"/>
    <w:rsid w:val="00AB3BD2"/>
    <w:rPr>
      <w:sz w:val="18"/>
    </w:rPr>
  </w:style>
  <w:style w:type="paragraph" w:customStyle="1" w:styleId="BodySmallRight">
    <w:name w:val="Body Small Right"/>
    <w:basedOn w:val="BodyTextRight"/>
    <w:rsid w:val="00AB3BD2"/>
    <w:rPr>
      <w:sz w:val="18"/>
      <w:szCs w:val="18"/>
    </w:rPr>
  </w:style>
  <w:style w:type="paragraph" w:customStyle="1" w:styleId="MarginEdition">
    <w:name w:val="Margin Edition"/>
    <w:basedOn w:val="MarginNote"/>
    <w:rsid w:val="00AB3BD2"/>
    <w:pPr>
      <w:spacing w:before="0" w:after="0"/>
    </w:pPr>
    <w:rPr>
      <w:rFonts w:ascii="Times New Roman" w:hAnsi="Times New Roman"/>
      <w:color w:val="999999"/>
    </w:rPr>
  </w:style>
  <w:style w:type="paragraph" w:customStyle="1" w:styleId="Spacer">
    <w:name w:val="Spacer"/>
    <w:basedOn w:val="Normal"/>
    <w:rsid w:val="00AB3BD2"/>
    <w:rPr>
      <w:sz w:val="2"/>
      <w:szCs w:val="2"/>
    </w:rPr>
  </w:style>
  <w:style w:type="character" w:customStyle="1" w:styleId="Small">
    <w:name w:val="Small"/>
    <w:rsid w:val="00AB3BD2"/>
    <w:rPr>
      <w:sz w:val="16"/>
    </w:rPr>
  </w:style>
  <w:style w:type="paragraph" w:customStyle="1" w:styleId="WideTable">
    <w:name w:val="Wide Table"/>
    <w:basedOn w:val="Normal"/>
    <w:rsid w:val="00AB3BD2"/>
    <w:pPr>
      <w:ind w:left="-1418"/>
    </w:pPr>
    <w:rPr>
      <w:sz w:val="2"/>
      <w:szCs w:val="2"/>
    </w:rPr>
  </w:style>
  <w:style w:type="character" w:styleId="PageNumber">
    <w:name w:val="page number"/>
    <w:rsid w:val="00AB3BD2"/>
  </w:style>
  <w:style w:type="paragraph" w:styleId="Quote">
    <w:name w:val="Quote"/>
    <w:basedOn w:val="Heading1"/>
    <w:link w:val="QuoteChar"/>
    <w:qFormat/>
    <w:rsid w:val="00AB3BD2"/>
    <w:rPr>
      <w:b w:val="0"/>
      <w:sz w:val="72"/>
      <w:szCs w:val="72"/>
      <w:lang w:val="en-NZ"/>
    </w:rPr>
  </w:style>
  <w:style w:type="character" w:customStyle="1" w:styleId="QuoteChar">
    <w:name w:val="Quote Char"/>
    <w:link w:val="Quote"/>
    <w:rsid w:val="00AB3B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BD2"/>
    <w:pPr>
      <w:pageBreakBefore/>
    </w:pPr>
  </w:style>
  <w:style w:type="paragraph" w:customStyle="1" w:styleId="Border">
    <w:name w:val="Border"/>
    <w:basedOn w:val="Normal"/>
    <w:qFormat/>
    <w:rsid w:val="00AB3BD2"/>
    <w:pPr>
      <w:pBdr>
        <w:top w:val="single" w:sz="18" w:space="1" w:color="auto"/>
      </w:pBdr>
    </w:pPr>
    <w:rPr>
      <w:rFonts w:ascii="Times New Roman" w:hAnsi="Times New Roman"/>
      <w:color w:val="FFFFFF"/>
      <w:sz w:val="2"/>
    </w:rPr>
  </w:style>
  <w:style w:type="character" w:styleId="IntenseEmphasis">
    <w:name w:val="Intense Emphasis"/>
    <w:uiPriority w:val="21"/>
    <w:qFormat/>
    <w:rsid w:val="00AB3BD2"/>
    <w:rPr>
      <w:b/>
      <w:bCs/>
      <w:i/>
      <w:iCs/>
      <w:color w:val="auto"/>
    </w:rPr>
  </w:style>
  <w:style w:type="paragraph" w:styleId="IntenseQuote">
    <w:name w:val="Intense Quote"/>
    <w:basedOn w:val="Normal"/>
    <w:next w:val="Normal"/>
    <w:link w:val="IntenseQuoteChar"/>
    <w:uiPriority w:val="30"/>
    <w:qFormat/>
    <w:rsid w:val="00AB3BD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B3BD2"/>
    <w:rPr>
      <w:rFonts w:ascii="Courier New" w:eastAsia="Times New Roman" w:hAnsi="Courier New" w:cs="Times New Roman"/>
      <w:b/>
      <w:bCs/>
      <w:i/>
      <w:iCs/>
      <w:szCs w:val="20"/>
      <w:lang w:val="en-US" w:eastAsia="en-US"/>
    </w:rPr>
  </w:style>
  <w:style w:type="character" w:styleId="SubtleReference">
    <w:name w:val="Subtle Reference"/>
    <w:uiPriority w:val="31"/>
    <w:qFormat/>
    <w:rsid w:val="00AB3BD2"/>
    <w:rPr>
      <w:smallCaps/>
      <w:color w:val="auto"/>
      <w:u w:val="single"/>
    </w:rPr>
  </w:style>
  <w:style w:type="character" w:styleId="IntenseReference">
    <w:name w:val="Intense Reference"/>
    <w:uiPriority w:val="32"/>
    <w:qFormat/>
    <w:rsid w:val="00AB3BD2"/>
    <w:rPr>
      <w:b/>
      <w:bCs/>
      <w:smallCaps/>
      <w:color w:val="auto"/>
      <w:spacing w:val="5"/>
      <w:u w:val="single"/>
    </w:rPr>
  </w:style>
  <w:style w:type="paragraph" w:customStyle="1" w:styleId="2ColumnHeading">
    <w:name w:val="2Column Heading"/>
    <w:basedOn w:val="BodyText"/>
    <w:qFormat/>
    <w:rsid w:val="00AB3BD2"/>
    <w:pPr>
      <w:spacing w:after="60"/>
      <w:ind w:left="-2268"/>
    </w:pPr>
    <w:rPr>
      <w:b/>
    </w:rPr>
  </w:style>
  <w:style w:type="paragraph" w:customStyle="1" w:styleId="Heading1TOC">
    <w:name w:val="Heading1 TOC"/>
    <w:basedOn w:val="Normal"/>
    <w:qFormat/>
    <w:rsid w:val="00AB3BD2"/>
    <w:pPr>
      <w:spacing w:before="240" w:after="120"/>
    </w:pPr>
    <w:rPr>
      <w:rFonts w:ascii="Times New Roman" w:hAnsi="Times New Roman"/>
      <w:b/>
      <w:sz w:val="32"/>
    </w:rPr>
  </w:style>
  <w:style w:type="paragraph" w:customStyle="1" w:styleId="Heading2TOC">
    <w:name w:val="Heading2 TOC"/>
    <w:basedOn w:val="Normal"/>
    <w:qFormat/>
    <w:rsid w:val="00AB3BD2"/>
    <w:pPr>
      <w:spacing w:before="240" w:after="60"/>
    </w:pPr>
    <w:rPr>
      <w:rFonts w:ascii="Times New Roman" w:hAnsi="Times New Roman"/>
      <w:b/>
      <w:sz w:val="28"/>
    </w:rPr>
  </w:style>
  <w:style w:type="character" w:customStyle="1" w:styleId="Underline">
    <w:name w:val="Underline"/>
    <w:qFormat/>
    <w:rsid w:val="00AB3BD2"/>
    <w:rPr>
      <w:u w:val="single"/>
    </w:rPr>
  </w:style>
  <w:style w:type="character" w:customStyle="1" w:styleId="BoldandItalics">
    <w:name w:val="Bold and Italics"/>
    <w:qFormat/>
    <w:rsid w:val="00AB3BD2"/>
    <w:rPr>
      <w:b/>
      <w:i/>
      <w:u w:val="none"/>
    </w:rPr>
  </w:style>
  <w:style w:type="paragraph" w:styleId="BalloonText">
    <w:name w:val="Balloon Text"/>
    <w:basedOn w:val="Normal"/>
    <w:link w:val="BalloonTextChar"/>
    <w:rsid w:val="00AB3BD2"/>
    <w:rPr>
      <w:rFonts w:ascii="Tahoma" w:hAnsi="Tahoma" w:cs="Tahoma"/>
      <w:sz w:val="16"/>
      <w:szCs w:val="16"/>
    </w:rPr>
  </w:style>
  <w:style w:type="character" w:customStyle="1" w:styleId="BalloonTextChar">
    <w:name w:val="Balloon Text Char"/>
    <w:link w:val="BalloonText"/>
    <w:rsid w:val="00AB3B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3BD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B3BD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2528</Words>
  <Characters>15375</Characters>
  <Application>Microsoft Office Word</Application>
  <DocSecurity>0</DocSecurity>
  <Lines>781</Lines>
  <Paragraphs>315</Paragraphs>
  <ScaleCrop>false</ScaleCrop>
  <Company>Author-it Software Corporation Ltd.</Company>
  <LinksUpToDate>false</LinksUpToDate>
  <CharactersWithSpaces>17628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UEGNSG120A Manage gas system environmental compliance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2012-05-26T22:03:00Z</dcterms:created>
  <dcterms:modified xsi:type="dcterms:W3CDTF">2012-05-26T22:03:00Z</dcterms:modified>
</cp:coreProperties>
</file>