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22D" w:rsidP="0081022D">
      <w:pPr>
        <w:pStyle w:val="Title"/>
      </w:pPr>
      <w:r>
        <w:fldChar w:fldCharType="begin"/>
      </w:r>
      <w:r>
        <w:instrText xml:space="preserve"> TITLE   \* MERGEFORMAT </w:instrText>
      </w:r>
      <w:r>
        <w:fldChar w:fldCharType="separate"/>
      </w:r>
      <w:r>
        <w:t>UEGNSG119A Manage workplace risk in a Gas Industry facility</w:t>
      </w:r>
      <w:r>
        <w:fldChar w:fldCharType="end"/>
      </w:r>
    </w:p>
    <w:p w:rsidR="0081022D" w:rsidP="0081022D">
      <w:pPr>
        <w:pStyle w:val="Version"/>
        <w:sectPr w:rsidSect="00A132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2A2" w:rsidP="00A132A2">
      <w:pPr>
        <w:pStyle w:val="SuperHeading"/>
      </w:pPr>
      <w:r w:rsidRPr="00A132A2">
        <w:t>UEGNSG119A Manage workplace risk in a Gas Industry facility</w:t>
      </w:r>
    </w:p>
    <w:p w:rsidR="00000000" w:rsidRPr="00A132A2" w:rsidP="00A132A2">
      <w:pPr>
        <w:pStyle w:val="Heading1"/>
      </w:pPr>
      <w:bookmarkStart w:id="1" w:name="O_275091"/>
      <w:bookmarkEnd w:id="1"/>
      <w:r w:rsidRPr="00A132A2">
        <w:t>Modification History</w:t>
      </w:r>
    </w:p>
    <w:p w:rsidR="00000000" w:rsidRPr="00A132A2" w:rsidP="00A132A2">
      <w:pPr>
        <w:pStyle w:val="BodyText"/>
      </w:pPr>
      <w:r w:rsidRPr="00A132A2">
        <w:t>Not Applicable</w:t>
      </w:r>
    </w:p>
    <w:p w:rsidR="00000000" w:rsidRPr="00A132A2" w:rsidP="00A132A2">
      <w:pPr>
        <w:pStyle w:val="AllowPageBreak"/>
      </w:pPr>
    </w:p>
    <w:p w:rsidR="00000000" w:rsidRPr="00A132A2" w:rsidP="00A132A2">
      <w:pPr>
        <w:pStyle w:val="Heading1"/>
      </w:pPr>
      <w:bookmarkStart w:id="2" w:name="O_229370"/>
      <w:bookmarkEnd w:id="2"/>
      <w:r w:rsidRPr="00A132A2">
        <w:t>Unit Descriptor</w:t>
      </w:r>
    </w:p>
    <w:tbl>
      <w:tblPr>
        <w:tblW w:w="0" w:type="auto"/>
        <w:tblLayout w:type="fixed"/>
        <w:tblCellMar>
          <w:left w:w="62" w:type="dxa"/>
          <w:right w:w="62" w:type="dxa"/>
        </w:tblCellMar>
        <w:tblLook w:val="0000"/>
      </w:tblPr>
      <w:tblGrid>
        <w:gridCol w:w="2700"/>
        <w:gridCol w:w="5760"/>
      </w:tblGrid>
      <w:tr w:rsidTr="008102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rPr>
                <w:rStyle w:val="SpecialBold"/>
              </w:rPr>
              <w:t>1</w:t>
            </w:r>
            <w:r w:rsidRPr="00A132A2">
              <w:t>)</w:t>
            </w:r>
          </w:p>
        </w:tc>
      </w:tr>
      <w:tr w:rsidTr="008102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t>This Unit covers the managing of risk management systems and practices in the workplace. This competency standard refers to Risk Management principles; Risk Management Plans; Appropriate persons; Authorisation; Risks; Hazards; Control measures; Relevant do</w:t>
            </w:r>
            <w:r w:rsidRPr="00A132A2">
              <w:t>cumentation; Legislative requirements; Emergency exercises; Emergency appliances; Contingency plans and Safety devices.</w:t>
            </w:r>
          </w:p>
        </w:tc>
      </w:tr>
    </w:tbl>
    <w:p w:rsidR="0081022D" w:rsidP="00A132A2">
      <w:pPr>
        <w:pStyle w:val="BodyText"/>
      </w:pPr>
    </w:p>
    <w:p w:rsidR="0081022D" w:rsidP="00A132A2">
      <w:pPr>
        <w:pStyle w:val="BodyText"/>
      </w:pPr>
    </w:p>
    <w:p w:rsidR="00000000" w:rsidRPr="00A132A2" w:rsidP="00A132A2">
      <w:pPr>
        <w:pStyle w:val="Heading1"/>
      </w:pPr>
      <w:bookmarkStart w:id="3" w:name="O_229373"/>
      <w:bookmarkEnd w:id="3"/>
      <w:r w:rsidRPr="00A132A2">
        <w:t>Application of the Unit</w:t>
      </w:r>
    </w:p>
    <w:tbl>
      <w:tblPr>
        <w:tblW w:w="0" w:type="auto"/>
        <w:tblLayout w:type="fixed"/>
        <w:tblCellMar>
          <w:left w:w="62" w:type="dxa"/>
          <w:right w:w="62" w:type="dxa"/>
        </w:tblCellMar>
        <w:tblLook w:val="0000"/>
      </w:tblPr>
      <w:tblGrid>
        <w:gridCol w:w="2700"/>
        <w:gridCol w:w="5760"/>
      </w:tblGrid>
      <w:tr w:rsidTr="008102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rPr>
                <w:rStyle w:val="SpecialBold"/>
              </w:rPr>
              <w:t>3</w:t>
            </w:r>
            <w:r w:rsidRPr="00A132A2">
              <w:t xml:space="preserve">) </w:t>
            </w:r>
          </w:p>
        </w:tc>
      </w:tr>
      <w:tr w:rsidTr="008102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t>This competency standard shall apply to any basic and safe wor</w:t>
            </w:r>
            <w:r w:rsidRPr="00A132A2">
              <w:t>k site where Gas Industry operations occur. It could also apply, where applicable to other workplaces in the electricity supply industry (transmission and distribution and generation), the electrotechnology industry and the water industry, subject to all O</w:t>
            </w:r>
            <w:r w:rsidRPr="00A132A2">
              <w:t>ccupational Health and Safety and duty of care requirements being met for the workplace.</w:t>
            </w:r>
          </w:p>
        </w:tc>
      </w:tr>
    </w:tbl>
    <w:p w:rsidR="0081022D" w:rsidP="00A132A2">
      <w:pPr>
        <w:pStyle w:val="BodyText"/>
      </w:pPr>
    </w:p>
    <w:p w:rsidR="0081022D" w:rsidP="00A132A2">
      <w:pPr>
        <w:pStyle w:val="BodyText"/>
      </w:pPr>
    </w:p>
    <w:p w:rsidR="00000000" w:rsidRPr="00A132A2" w:rsidP="00A132A2">
      <w:pPr>
        <w:pStyle w:val="Heading1"/>
      </w:pPr>
      <w:bookmarkStart w:id="4" w:name="O_229374"/>
      <w:bookmarkEnd w:id="4"/>
      <w:r w:rsidRPr="00A132A2">
        <w:t>Licensing/Regulatory Information</w:t>
      </w:r>
    </w:p>
    <w:tbl>
      <w:tblPr>
        <w:tblW w:w="0" w:type="auto"/>
        <w:tblLayout w:type="fixed"/>
        <w:tblCellMar>
          <w:left w:w="62" w:type="dxa"/>
          <w:right w:w="62" w:type="dxa"/>
        </w:tblCellMar>
        <w:tblLook w:val="0000"/>
      </w:tblPr>
      <w:tblGrid>
        <w:gridCol w:w="2700"/>
        <w:gridCol w:w="5760"/>
      </w:tblGrid>
      <w:tr w:rsidTr="008102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rPr>
                <w:rStyle w:val="SpecialBold"/>
              </w:rPr>
              <w:t>3</w:t>
            </w:r>
            <w:r w:rsidRPr="00A132A2">
              <w:t>.</w:t>
            </w:r>
            <w:r w:rsidRPr="00A132A2">
              <w:rPr>
                <w:rStyle w:val="SpecialBold"/>
              </w:rPr>
              <w:t>1</w:t>
            </w:r>
            <w:r w:rsidRPr="00A132A2">
              <w:t xml:space="preserve">) </w:t>
            </w:r>
          </w:p>
        </w:tc>
      </w:tr>
      <w:tr w:rsidTr="008102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t>The skills and knowledge described in this unit are not subject to l</w:t>
            </w:r>
            <w:r w:rsidRPr="00A132A2">
              <w:t xml:space="preserve">icence regulation other than those directly related to Occupational Health and Safety, gas/electricity/water industry safety and compliance, </w:t>
            </w:r>
            <w:r w:rsidRPr="00A132A2">
              <w:t>industrial relations, environmental protection, telecommunications, anti discrimination and training. Commonwealth,</w:t>
            </w:r>
            <w:r w:rsidRPr="00A132A2">
              <w:t xml:space="preserve"> State/Territory or Local Government legislation and regulations may exist that limit the age at which a person can operate certain equipment.</w:t>
            </w:r>
          </w:p>
        </w:tc>
      </w:tr>
    </w:tbl>
    <w:p w:rsidR="0081022D" w:rsidP="00A132A2">
      <w:pPr>
        <w:pStyle w:val="BodyText"/>
      </w:pPr>
    </w:p>
    <w:p w:rsidR="0081022D" w:rsidP="00A132A2">
      <w:pPr>
        <w:pStyle w:val="BodyText"/>
      </w:pPr>
    </w:p>
    <w:p w:rsidR="00000000" w:rsidRPr="00A132A2" w:rsidP="00A132A2">
      <w:pPr>
        <w:pStyle w:val="Heading1"/>
      </w:pPr>
      <w:bookmarkStart w:id="5" w:name="O_229371"/>
      <w:bookmarkEnd w:id="5"/>
      <w:r w:rsidRPr="00A132A2">
        <w:t>Pre-Requisites</w:t>
      </w:r>
    </w:p>
    <w:tbl>
      <w:tblPr>
        <w:tblW w:w="0" w:type="auto"/>
        <w:tblLayout w:type="fixed"/>
        <w:tblCellMar>
          <w:left w:w="62" w:type="dxa"/>
          <w:right w:w="62" w:type="dxa"/>
        </w:tblCellMar>
        <w:tblLook w:val="0000"/>
      </w:tblPr>
      <w:tblGrid>
        <w:gridCol w:w="2700"/>
        <w:gridCol w:w="1800"/>
        <w:gridCol w:w="3960"/>
      </w:tblGrid>
      <w:tr w:rsidTr="008102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rPr>
                <w:rStyle w:val="SpecialBold"/>
              </w:rPr>
              <w:t>Prerequisite Unit</w:t>
            </w:r>
            <w:r w:rsidRPr="00A132A2">
              <w:t>(</w:t>
            </w:r>
            <w:r w:rsidRPr="00A132A2">
              <w:rPr>
                <w:rStyle w:val="SpecialBold"/>
              </w:rPr>
              <w:t>s</w:t>
            </w:r>
            <w:r w:rsidRPr="00A132A2">
              <w:t>)</w:t>
            </w:r>
          </w:p>
        </w:tc>
        <w:tc>
          <w:tcPr>
            <w:tcW w:w="5760" w:type="dxa"/>
            <w:gridSpan w:val="2"/>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rPr>
                <w:rStyle w:val="SpecialBold"/>
              </w:rPr>
              <w:t>2</w:t>
            </w:r>
            <w:r w:rsidRPr="00A132A2">
              <w:t xml:space="preserve">) </w:t>
            </w:r>
          </w:p>
        </w:tc>
      </w:tr>
      <w:tr w:rsidTr="008102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rPr>
                <w:rStyle w:val="SpecialBold"/>
              </w:rPr>
              <w:t>2</w:t>
            </w:r>
            <w:r w:rsidRPr="00A132A2">
              <w:t>.</w:t>
            </w:r>
            <w:r w:rsidRPr="00A132A2">
              <w:rPr>
                <w:rStyle w:val="SpecialBold"/>
              </w:rPr>
              <w:t>1</w:t>
            </w:r>
            <w:r w:rsidRPr="00A132A2">
              <w:t xml:space="preserve">) </w:t>
            </w:r>
          </w:p>
        </w:tc>
      </w:tr>
      <w:tr w:rsidTr="008102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Granting of competency in this unit shall be made only after competency in the following unit(s) has/have been confirmed:</w:t>
            </w:r>
          </w:p>
        </w:tc>
      </w:tr>
      <w:tr w:rsidTr="008102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Nil</w:t>
            </w:r>
          </w:p>
        </w:tc>
        <w:tc>
          <w:tcPr>
            <w:tcW w:w="3960" w:type="dxa"/>
            <w:tcBorders>
              <w:top w:val="nil"/>
              <w:left w:val="nil"/>
              <w:bottom w:val="nil"/>
              <w:right w:val="nil"/>
            </w:tcBorders>
            <w:tcMar>
              <w:top w:w="0" w:type="dxa"/>
              <w:left w:w="62" w:type="dxa"/>
              <w:bottom w:w="0" w:type="dxa"/>
              <w:right w:w="62" w:type="dxa"/>
            </w:tcMar>
          </w:tcPr>
          <w:p w:rsidR="00000000" w:rsidRPr="00A132A2" w:rsidP="00A132A2">
            <w:pPr>
              <w:pStyle w:val="BodyText"/>
            </w:pPr>
          </w:p>
        </w:tc>
      </w:tr>
    </w:tbl>
    <w:p w:rsidR="0081022D" w:rsidP="00A132A2">
      <w:pPr>
        <w:pStyle w:val="BodyText"/>
      </w:pPr>
    </w:p>
    <w:p w:rsidR="0081022D" w:rsidP="00A132A2">
      <w:pPr>
        <w:pStyle w:val="BodyText"/>
      </w:pPr>
    </w:p>
    <w:p w:rsidR="00000000" w:rsidRPr="00A132A2" w:rsidP="00A132A2">
      <w:pPr>
        <w:pStyle w:val="Heading1"/>
      </w:pPr>
      <w:bookmarkStart w:id="6" w:name="O_285340"/>
      <w:bookmarkEnd w:id="6"/>
      <w:r w:rsidRPr="00A132A2">
        <w:t>Employability Skills Information</w:t>
      </w:r>
    </w:p>
    <w:p w:rsidR="00000000" w:rsidRPr="00A132A2" w:rsidP="00A132A2">
      <w:pPr>
        <w:pStyle w:val="BodyText"/>
      </w:pPr>
      <w:r w:rsidRPr="00A132A2">
        <w:t>Refer to the Evidence Guide</w:t>
      </w:r>
    </w:p>
    <w:p w:rsidR="00000000" w:rsidRPr="00A132A2" w:rsidP="00A132A2">
      <w:pPr>
        <w:pStyle w:val="AllowPageBreak"/>
      </w:pPr>
    </w:p>
    <w:p w:rsidR="00000000" w:rsidRPr="00A132A2" w:rsidP="00A132A2">
      <w:pPr>
        <w:pStyle w:val="Heading1"/>
      </w:pPr>
      <w:bookmarkStart w:id="7" w:name="O_293137"/>
      <w:bookmarkEnd w:id="7"/>
      <w:r w:rsidRPr="00A132A2">
        <w:t>Elements and Performance Criteria Pre-Content</w:t>
      </w:r>
    </w:p>
    <w:tbl>
      <w:tblPr>
        <w:tblW w:w="0" w:type="auto"/>
        <w:tblLayout w:type="fixed"/>
        <w:tblCellMar>
          <w:left w:w="62" w:type="dxa"/>
          <w:right w:w="62" w:type="dxa"/>
        </w:tblCellMar>
        <w:tblLook w:val="0000"/>
      </w:tblPr>
      <w:tblGrid>
        <w:gridCol w:w="2700"/>
        <w:gridCol w:w="5760"/>
      </w:tblGrid>
      <w:tr w:rsidTr="008102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rPr>
                <w:rStyle w:val="SpecialBold"/>
              </w:rPr>
              <w:t>5</w:t>
            </w:r>
            <w:r w:rsidRPr="00A132A2">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t>Performance Criteria describe the required performance needed to demonstrate achievement of the element. Assessment of performance is to</w:t>
            </w:r>
            <w:r w:rsidRPr="00A132A2">
              <w:t xml:space="preserve"> be consistent with the evidence guide.</w:t>
            </w:r>
          </w:p>
        </w:tc>
      </w:tr>
    </w:tbl>
    <w:p w:rsidR="00000000" w:rsidRPr="00A132A2" w:rsidP="00A132A2">
      <w:pPr>
        <w:pStyle w:val="BodyText"/>
      </w:pPr>
    </w:p>
    <w:p w:rsidR="00000000" w:rsidRPr="00A132A2" w:rsidP="00A132A2">
      <w:pPr>
        <w:pStyle w:val="AllowPageBreak"/>
      </w:pPr>
    </w:p>
    <w:p w:rsidR="00000000" w:rsidRPr="00A132A2" w:rsidP="00A132A2">
      <w:pPr>
        <w:pStyle w:val="Heading1"/>
      </w:pPr>
      <w:bookmarkStart w:id="8" w:name="O_239805"/>
      <w:bookmarkEnd w:id="8"/>
      <w:r w:rsidRPr="00A132A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1022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rPr>
                <w:rStyle w:val="SpecialBold"/>
              </w:rPr>
              <w:t>PERFORMANCE CRITERIA</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1</w:t>
            </w:r>
          </w:p>
        </w:tc>
        <w:tc>
          <w:tcPr>
            <w:tcW w:w="2296" w:type="dxa"/>
            <w:vMerge w:val="restart"/>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Manage the identification and development of a risk management system using risk management principles</w:t>
            </w: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1.1</w:t>
            </w:r>
          </w:p>
        </w:tc>
        <w:tc>
          <w:tcPr>
            <w:tcW w:w="48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OHS principles and pra</w:t>
            </w:r>
            <w:r w:rsidRPr="00A132A2">
              <w:t>ctices and Environmental and Sustainable Energy procedures which may influence the systems are reviewed and determined</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1.2</w:t>
            </w:r>
          </w:p>
        </w:tc>
        <w:tc>
          <w:tcPr>
            <w:tcW w:w="48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Purpose of the risk management plan is established after data is analysed and expected outcomes are confirmed with the appropriate</w:t>
            </w:r>
            <w:r w:rsidRPr="00A132A2">
              <w:t xml:space="preserve"> persons</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1.3</w:t>
            </w:r>
          </w:p>
        </w:tc>
        <w:tc>
          <w:tcPr>
            <w:tcW w:w="48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Organisational established procedures on policies and specifications for the development of a risk management plan are obtained</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1.4</w:t>
            </w:r>
          </w:p>
        </w:tc>
        <w:tc>
          <w:tcPr>
            <w:tcW w:w="48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Work roles and tasks are allocated according to requirements and individual's competencies</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1.5</w:t>
            </w:r>
          </w:p>
        </w:tc>
        <w:tc>
          <w:tcPr>
            <w:tcW w:w="48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 xml:space="preserve">Work is prioritised and sequenced for the most effective outcome, completed within an acceptable timeframe to a quality standard and in accordance with established procedures </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1.6</w:t>
            </w:r>
          </w:p>
        </w:tc>
        <w:tc>
          <w:tcPr>
            <w:tcW w:w="48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Liaison and communication issues with auth</w:t>
            </w:r>
            <w:r w:rsidRPr="00A132A2">
              <w:t xml:space="preserve">orised persons, authorities and clients are resolved and activities coordinated to carry out work </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2</w:t>
            </w:r>
          </w:p>
        </w:tc>
        <w:tc>
          <w:tcPr>
            <w:tcW w:w="2296"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 xml:space="preserve">Manage the minimisation of risks in the work environment for specific projects </w:t>
            </w: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2.1</w:t>
            </w:r>
          </w:p>
        </w:tc>
        <w:tc>
          <w:tcPr>
            <w:tcW w:w="48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 xml:space="preserve">Decisions regarding the risk management plan are made on the basis of </w:t>
            </w:r>
            <w:r w:rsidRPr="00A132A2">
              <w:t>safety and effective outcomes according to requirements and established procedures</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2.2</w:t>
            </w:r>
          </w:p>
        </w:tc>
        <w:tc>
          <w:tcPr>
            <w:tcW w:w="48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Essential Knowledge and Associated Skills are applied to analyse specific data and compare it with compliance specifications to ensure completion of the project withi</w:t>
            </w:r>
            <w:r w:rsidRPr="00A132A2">
              <w:t>n an agreed timeframe according to requirements</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2.3</w:t>
            </w:r>
          </w:p>
        </w:tc>
        <w:tc>
          <w:tcPr>
            <w:tcW w:w="48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 xml:space="preserve">Risk management plan and critical incident report responsibilities are confirmed and managed for specific project activities to minimise risk </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2.4</w:t>
            </w:r>
          </w:p>
        </w:tc>
        <w:tc>
          <w:tcPr>
            <w:tcW w:w="48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Project schedule to establish time frame, work activities and procurement of materials is approved</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2.5</w:t>
            </w:r>
          </w:p>
        </w:tc>
        <w:tc>
          <w:tcPr>
            <w:tcW w:w="48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 xml:space="preserve">Procedures and work instructions are received and approved for project activities according to the risk management plan </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2.6</w:t>
            </w:r>
          </w:p>
        </w:tc>
        <w:tc>
          <w:tcPr>
            <w:tcW w:w="48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 xml:space="preserve">Appropriate persons are counselled, where appropriate, for compliance with company risk management policies, standard operating procedures and relevant documentation </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2.7</w:t>
            </w:r>
          </w:p>
        </w:tc>
        <w:tc>
          <w:tcPr>
            <w:tcW w:w="48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Appropriate persons are assessed to ensure they comply with the company/site-speci</w:t>
            </w:r>
            <w:r w:rsidRPr="00A132A2">
              <w:t xml:space="preserve">fic procedures, health, safety and environmental requirements </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2.8</w:t>
            </w:r>
          </w:p>
        </w:tc>
        <w:tc>
          <w:tcPr>
            <w:tcW w:w="48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Project compliance to risk management plan is evaluated and reported and approved in accordance with company policies, procedures and relevant documentation processes</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3</w:t>
            </w:r>
          </w:p>
        </w:tc>
        <w:tc>
          <w:tcPr>
            <w:tcW w:w="2296" w:type="dxa"/>
            <w:vMerge w:val="restart"/>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Manage and revie</w:t>
            </w:r>
            <w:r w:rsidRPr="00A132A2">
              <w:t>w critical incident contingency plans</w:t>
            </w: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3.1</w:t>
            </w:r>
          </w:p>
        </w:tc>
        <w:tc>
          <w:tcPr>
            <w:tcW w:w="48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Critical incident report is received for evaluation to determine appropriate remedial measures according to company policies, procedures and relevant documentation processes are completed</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3.2</w:t>
            </w:r>
          </w:p>
        </w:tc>
        <w:tc>
          <w:tcPr>
            <w:tcW w:w="48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 xml:space="preserve">Appropriate persons are authorised for training and qualified to the type of emergency exercises required according to company policies, procedures and relevant documentation processes are completed </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3.3</w:t>
            </w:r>
          </w:p>
        </w:tc>
        <w:tc>
          <w:tcPr>
            <w:tcW w:w="48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Emergency appliances are authorised for selection</w:t>
            </w:r>
            <w:r w:rsidRPr="00A132A2">
              <w:t xml:space="preserve"> and secured appropriate to the type of emergency exercise required according to company policies and procedures</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3.4</w:t>
            </w:r>
          </w:p>
        </w:tc>
        <w:tc>
          <w:tcPr>
            <w:tcW w:w="48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Emergency appliances and safety devices are authorised for testing according to company standard operating policies and procedures, legi</w:t>
            </w:r>
            <w:r w:rsidRPr="00A132A2">
              <w:t>slative requirements and manufacturers specifications</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3.5</w:t>
            </w:r>
          </w:p>
        </w:tc>
        <w:tc>
          <w:tcPr>
            <w:tcW w:w="48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Emergency exercises are authorised and conducted according to developed contingency plans and monitored for performance and recorded accordingly</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3.6</w:t>
            </w:r>
          </w:p>
        </w:tc>
        <w:tc>
          <w:tcPr>
            <w:tcW w:w="48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Final inspections of the risk management plan are undertaken to ensure they comply with all requirements and include all specifications and documentations needed to complete the project</w:t>
            </w:r>
          </w:p>
        </w:tc>
      </w:tr>
      <w:tr w:rsidTr="008102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3.7</w:t>
            </w:r>
          </w:p>
        </w:tc>
        <w:tc>
          <w:tcPr>
            <w:tcW w:w="4860" w:type="dxa"/>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t>Risk management plan report is submitted to relevant persons fo</w:t>
            </w:r>
            <w:r w:rsidRPr="00A132A2">
              <w:t xml:space="preserve">r approval </w:t>
            </w:r>
          </w:p>
        </w:tc>
      </w:tr>
    </w:tbl>
    <w:p w:rsidR="0081022D" w:rsidP="00A132A2">
      <w:pPr>
        <w:pStyle w:val="BodyText"/>
      </w:pPr>
    </w:p>
    <w:p w:rsidR="0081022D" w:rsidP="00A132A2">
      <w:pPr>
        <w:pStyle w:val="BodyText"/>
      </w:pPr>
    </w:p>
    <w:p w:rsidR="00000000" w:rsidRPr="00A132A2" w:rsidP="00A132A2">
      <w:pPr>
        <w:pStyle w:val="Heading1"/>
      </w:pPr>
      <w:bookmarkStart w:id="9" w:name="O_263596"/>
      <w:bookmarkEnd w:id="9"/>
      <w:r w:rsidRPr="00A132A2">
        <w:t>Required Skills and Knowledge</w:t>
      </w:r>
    </w:p>
    <w:tbl>
      <w:tblPr>
        <w:tblW w:w="0" w:type="auto"/>
        <w:tblLayout w:type="fixed"/>
        <w:tblCellMar>
          <w:left w:w="62" w:type="dxa"/>
          <w:right w:w="62" w:type="dxa"/>
        </w:tblCellMar>
        <w:tblLook w:val="0000"/>
      </w:tblPr>
      <w:tblGrid>
        <w:gridCol w:w="2700"/>
        <w:gridCol w:w="1080"/>
        <w:gridCol w:w="4680"/>
      </w:tblGrid>
      <w:tr w:rsidTr="0081022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rPr>
                <w:rStyle w:val="SpecialBold"/>
              </w:rPr>
              <w:t>REQUIRED SKILLS AND KNOWLEDGE</w:t>
            </w:r>
          </w:p>
        </w:tc>
      </w:tr>
      <w:tr w:rsidTr="0081022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rPr>
                <w:rStyle w:val="SpecialBold"/>
              </w:rPr>
              <w:t>6</w:t>
            </w:r>
            <w:r w:rsidRPr="00A132A2">
              <w:t>) This describes the essential skills and knowledge and their level, required for this unit.</w:t>
            </w:r>
          </w:p>
        </w:tc>
      </w:tr>
      <w:tr w:rsidTr="0081022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Evidence shall show that knowledge has been acquired of safe working practices for managing workplace risk in a Gas Industry facility. The extent of the essential knowledge and associated skills (EKAS) required is given in Volume 2 - Part 2.2 EKAS.  It for</w:t>
            </w:r>
            <w:r w:rsidRPr="00A132A2">
              <w:t>ms an integral part of this unit.</w:t>
            </w:r>
          </w:p>
        </w:tc>
      </w:tr>
      <w:tr w:rsidTr="008102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G 5.1.1</w:t>
            </w:r>
          </w:p>
        </w:tc>
        <w:tc>
          <w:tcPr>
            <w:tcW w:w="468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Gas Industry concepts for supervising operations</w:t>
            </w:r>
          </w:p>
        </w:tc>
      </w:tr>
      <w:tr w:rsidTr="008102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G 5.1.2</w:t>
            </w:r>
          </w:p>
        </w:tc>
        <w:tc>
          <w:tcPr>
            <w:tcW w:w="468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Problem solving, decision making and conflict resolution</w:t>
            </w:r>
          </w:p>
        </w:tc>
      </w:tr>
      <w:tr w:rsidTr="008102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G 5.1.3</w:t>
            </w:r>
          </w:p>
        </w:tc>
        <w:tc>
          <w:tcPr>
            <w:tcW w:w="468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Emergency management</w:t>
            </w:r>
          </w:p>
        </w:tc>
      </w:tr>
      <w:tr w:rsidTr="008102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G 5.1.4</w:t>
            </w:r>
          </w:p>
        </w:tc>
        <w:tc>
          <w:tcPr>
            <w:tcW w:w="468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Management techniques for Gas Industry supervision</w:t>
            </w:r>
          </w:p>
        </w:tc>
      </w:tr>
      <w:tr w:rsidTr="008102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G 6.1.1</w:t>
            </w:r>
          </w:p>
        </w:tc>
        <w:tc>
          <w:tcPr>
            <w:tcW w:w="468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Concepts and skills for Gas Industry supervisors</w:t>
            </w:r>
          </w:p>
        </w:tc>
      </w:tr>
      <w:tr w:rsidTr="008102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G 6.1.4</w:t>
            </w:r>
          </w:p>
        </w:tc>
        <w:tc>
          <w:tcPr>
            <w:tcW w:w="468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Communication for utilities industry supervisors</w:t>
            </w:r>
          </w:p>
        </w:tc>
      </w:tr>
      <w:tr w:rsidTr="008102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G 6.1.6</w:t>
            </w:r>
          </w:p>
        </w:tc>
        <w:tc>
          <w:tcPr>
            <w:tcW w:w="468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Project Management</w:t>
            </w:r>
          </w:p>
        </w:tc>
      </w:tr>
      <w:tr w:rsidTr="008102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G 6.1.7</w:t>
            </w:r>
          </w:p>
        </w:tc>
        <w:tc>
          <w:tcPr>
            <w:tcW w:w="4680" w:type="dxa"/>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t>Chemical and physical behaviours of gas</w:t>
            </w:r>
          </w:p>
        </w:tc>
      </w:tr>
    </w:tbl>
    <w:p w:rsidR="0081022D" w:rsidP="00A132A2">
      <w:pPr>
        <w:pStyle w:val="BodyText"/>
      </w:pPr>
    </w:p>
    <w:p w:rsidR="0081022D" w:rsidP="00A132A2">
      <w:pPr>
        <w:pStyle w:val="BodyText"/>
      </w:pPr>
    </w:p>
    <w:p w:rsidR="00000000" w:rsidRPr="00A132A2" w:rsidP="00A132A2">
      <w:pPr>
        <w:pStyle w:val="Heading1"/>
      </w:pPr>
      <w:bookmarkStart w:id="10" w:name="O_247788"/>
      <w:bookmarkEnd w:id="10"/>
      <w:r w:rsidRPr="00A132A2">
        <w:t>Evidence Guide</w:t>
      </w:r>
    </w:p>
    <w:tbl>
      <w:tblPr>
        <w:tblW w:w="0" w:type="auto"/>
        <w:tblLayout w:type="fixed"/>
        <w:tblCellMar>
          <w:left w:w="62" w:type="dxa"/>
          <w:right w:w="62" w:type="dxa"/>
        </w:tblCellMar>
        <w:tblLook w:val="0000"/>
      </w:tblPr>
      <w:tblGrid>
        <w:gridCol w:w="2160"/>
        <w:gridCol w:w="540"/>
        <w:gridCol w:w="900"/>
        <w:gridCol w:w="1800"/>
        <w:gridCol w:w="3060"/>
      </w:tblGrid>
      <w:tr w:rsidTr="0081022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rPr>
                <w:rStyle w:val="SpecialBold"/>
              </w:rPr>
              <w:t>EVIDENCE GUIDE</w:t>
            </w:r>
          </w:p>
        </w:tc>
      </w:tr>
      <w:tr w:rsidTr="0081022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rPr>
                <w:rStyle w:val="SpecialBold"/>
              </w:rPr>
              <w:t>8</w:t>
            </w:r>
            <w:r w:rsidRPr="00A132A2">
              <w:t xml:space="preserve">) </w:t>
            </w:r>
            <w:r w:rsidRPr="00A132A2">
              <w:rPr>
                <w:rStyle w:val="SpecialBold"/>
              </w:rPr>
              <w:t>The</w:t>
            </w:r>
            <w:r w:rsidRPr="00A132A2">
              <w:t xml:space="preserve"> Evidence Guide forms an integral part of this Unit and shall be used in conjunction with all components parts of this unit and performed in accordance with the Assessment Guidelines of this Training Package.</w:t>
            </w:r>
          </w:p>
        </w:tc>
      </w:tr>
      <w:tr w:rsidTr="008102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rPr>
                <w:rStyle w:val="SpecialBold"/>
              </w:rPr>
              <w:t>8</w:t>
            </w:r>
            <w:r w:rsidRPr="00A132A2">
              <w:t>.</w:t>
            </w:r>
            <w:r w:rsidRPr="00A132A2">
              <w:rPr>
                <w:rStyle w:val="SpecialBold"/>
              </w:rPr>
              <w:t>1</w:t>
            </w:r>
            <w:r w:rsidRPr="00A132A2">
              <w:t xml:space="preserve">) </w:t>
            </w:r>
          </w:p>
          <w:p w:rsidR="00000000" w:rsidRPr="00A132A2" w:rsidP="00A132A2">
            <w:pPr>
              <w:pStyle w:val="BodyText"/>
            </w:pPr>
            <w:r w:rsidRPr="00A132A2">
              <w:t xml:space="preserve">Longitudinal </w:t>
            </w:r>
            <w:r w:rsidRPr="00A132A2">
              <w:t>competency development approaches to assessment, such as Profiling, require data to be reliably gathered in a form that can be consistently interpreted over time. This approach is best utilised in Apprenticeship programs and reduces assessment intervention</w:t>
            </w:r>
            <w:r w:rsidRPr="00A132A2">
              <w:t>. It is the Industry's preferred model for apprenticeships. However, where summative (or final) assessment is used it is to include the application of the competency in the normal work environment or, at a minimum, the application of the competency in a re</w:t>
            </w:r>
            <w:r w:rsidRPr="00A132A2">
              <w:t>alistically simulated work environment. It is recognised that, in some circumstances, assessment in part or full can occur outside the workplace. However, it must be in accord with industry and regulatory policy in this regard.</w:t>
            </w:r>
          </w:p>
          <w:p w:rsidR="00000000" w:rsidRPr="00A132A2" w:rsidP="00A132A2">
            <w:pPr>
              <w:pStyle w:val="BodyText"/>
            </w:pPr>
            <w:r w:rsidRPr="00A132A2">
              <w:t>Methods chosen for a particu</w:t>
            </w:r>
            <w:r w:rsidRPr="00A132A2">
              <w:t>lar assessment will be influenced by various factors. These include the extent of the assessment, the most effective locations for the assessment activities to take place, access to physical resources, additional safety measures that may be required and th</w:t>
            </w:r>
            <w:r w:rsidRPr="00A132A2">
              <w:t>e critical nature of the competencies being assessed.</w:t>
            </w:r>
          </w:p>
          <w:p w:rsidR="00000000" w:rsidRPr="00A132A2" w:rsidP="00A132A2">
            <w:pPr>
              <w:pStyle w:val="BodyText"/>
            </w:pPr>
            <w:r w:rsidRPr="00A132A2">
              <w:t>The critical safety nature of working with electricity, electrical equipment, gas or any other hazardous substance/material carries risk in deeming a person competent. Hence, sources of evidence need to</w:t>
            </w:r>
            <w:r w:rsidRPr="00A132A2">
              <w:t xml:space="preserve"> be 'rich' in nature so as to minimise error in judgment.</w:t>
            </w:r>
          </w:p>
          <w:p w:rsidR="00000000" w:rsidP="00A132A2">
            <w:pPr>
              <w:pStyle w:val="BodyText"/>
              <w:rPr>
                <w:lang w:val="en-NZ"/>
              </w:rPr>
            </w:pPr>
            <w:r w:rsidRPr="00A132A2">
              <w:t xml:space="preserve">Activities associated with normal every day work have a bearing on the decision as to how much and how detailed the data gathered will contribute to its 'richness'. Some skills are more critical to </w:t>
            </w:r>
            <w:r w:rsidRPr="00A132A2">
              <w:t>safety and operational requirements while the same skills may be more or less frequently practised. These points are raised for the assessors to consider when choosing an assessment method and developing assessment instruments. Sample assessment instrument</w:t>
            </w:r>
            <w:r w:rsidRPr="00A132A2">
              <w:t>s are included in the Assessment Guidelines of this Training Package.</w:t>
            </w:r>
          </w:p>
        </w:tc>
      </w:tr>
      <w:tr w:rsidTr="0081022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rPr>
                <w:rStyle w:val="SpecialBold"/>
              </w:rPr>
              <w:t>8</w:t>
            </w:r>
            <w:r w:rsidRPr="00A132A2">
              <w:t>.</w:t>
            </w:r>
            <w:r w:rsidRPr="00A132A2">
              <w:rPr>
                <w:rStyle w:val="SpecialBold"/>
              </w:rPr>
              <w:t>2</w:t>
            </w:r>
            <w:r w:rsidRPr="00A132A2">
              <w:t xml:space="preserve">) </w:t>
            </w:r>
          </w:p>
          <w:p w:rsidR="00000000" w:rsidP="00A132A2">
            <w:pPr>
              <w:pStyle w:val="BodyText"/>
              <w:rPr>
                <w:lang w:val="en-NZ"/>
              </w:rPr>
            </w:pPr>
            <w:r w:rsidRPr="00A132A2">
              <w:t>Before the critical aspects of evidence are considered all prerequisites shall be met.</w:t>
            </w:r>
          </w:p>
        </w:tc>
      </w:tr>
      <w:tr w:rsidTr="0081022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t xml:space="preserve">Evidence for competence in this unit shall be considered holistically. Each element and associated Performance Criteria shall be demonstrated on at least two occasions in accordance with the 'Assessment Guidelines  UEG06'. Evidence shall also comprise: </w:t>
            </w:r>
          </w:p>
          <w:p w:rsidR="00000000" w:rsidP="00A132A2">
            <w:pPr>
              <w:pStyle w:val="ListBullet"/>
              <w:rPr>
                <w:lang w:val="en-NZ"/>
              </w:rPr>
            </w:pPr>
            <w:r w:rsidRPr="00A132A2">
              <w:t>A</w:t>
            </w:r>
            <w:r w:rsidRPr="00A132A2">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8102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132A2" w:rsidP="00A132A2">
            <w:pPr>
              <w:pStyle w:val="ListBullet2"/>
            </w:pPr>
            <w:r w:rsidRPr="00A132A2">
              <w:t>Implement Occupational Health and Safety workplace procedures and practices including the use of risk control measures as specified in the Performance Criteria and range</w:t>
            </w:r>
          </w:p>
          <w:p w:rsidR="00000000" w:rsidRPr="00A132A2" w:rsidP="00A132A2">
            <w:pPr>
              <w:pStyle w:val="ListBullet2"/>
            </w:pPr>
            <w:r w:rsidRPr="00A132A2">
              <w:t>Apply sustainable energy principles and practices as specified in the Performance Criteria and range</w:t>
            </w:r>
          </w:p>
          <w:p w:rsidR="00000000" w:rsidRPr="00A132A2" w:rsidP="00A132A2">
            <w:pPr>
              <w:pStyle w:val="ListBullet2"/>
            </w:pPr>
            <w:r w:rsidRPr="00A132A2">
              <w:t>Demonstrate an understanding of the essential knowledge and associated skills as described in this unit to such an extent that the learner's performance ou</w:t>
            </w:r>
            <w:r w:rsidRPr="00A132A2">
              <w:t>tcome is reported in accordance with the preferred approach; namely a percentile graded result, where required by the regulated environment</w:t>
            </w:r>
          </w:p>
          <w:p w:rsidR="00000000" w:rsidRPr="00A132A2" w:rsidP="00A132A2">
            <w:pPr>
              <w:pStyle w:val="ListBullet2"/>
            </w:pPr>
            <w:r w:rsidRPr="00A132A2">
              <w:t>Demonstrate an appropriate level of skills enabling employment</w:t>
            </w:r>
          </w:p>
          <w:p w:rsidR="00000000" w:rsidP="00A132A2">
            <w:pPr>
              <w:pStyle w:val="ListBullet2"/>
              <w:rPr>
                <w:lang w:val="en-NZ"/>
              </w:rPr>
            </w:pPr>
            <w:r w:rsidRPr="00A132A2">
              <w:t>Conduct work observing the relevant Anti discriminati</w:t>
            </w:r>
            <w:r w:rsidRPr="00A132A2">
              <w:t>on legislation, regulations, polices and workplace procedures</w:t>
            </w:r>
          </w:p>
        </w:tc>
      </w:tr>
      <w:tr w:rsidTr="008102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132A2">
            <w:pPr>
              <w:pStyle w:val="ListBullet2"/>
              <w:rPr>
                <w:lang w:val="en-NZ"/>
              </w:rPr>
            </w:pPr>
            <w:r w:rsidRPr="00A132A2">
              <w:t>Demonstrate performance across a representative range of contexts from the prescribed items below:</w:t>
            </w:r>
          </w:p>
        </w:tc>
      </w:tr>
      <w:tr w:rsidTr="008102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A132A2">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rPr>
                <w:rStyle w:val="SpecialBold"/>
              </w:rPr>
              <w:t>Range of tools</w:t>
            </w:r>
            <w:r w:rsidRPr="00A132A2">
              <w:t>/</w:t>
            </w:r>
            <w:r w:rsidRPr="00A132A2">
              <w:rPr>
                <w:rStyle w:val="SpecialBold"/>
              </w:rPr>
              <w:t>equipment</w:t>
            </w:r>
            <w:r w:rsidRPr="00A132A2">
              <w:t>/</w:t>
            </w:r>
            <w:r w:rsidRPr="00A132A2">
              <w:rPr>
                <w:rStyle w:val="SpecialBold"/>
              </w:rPr>
              <w:t>materials</w:t>
            </w:r>
            <w:r w:rsidRPr="00A132A2">
              <w:t>/</w:t>
            </w:r>
            <w:r w:rsidRPr="00A132A2">
              <w:rPr>
                <w:rStyle w:val="SpecialBold"/>
              </w:rPr>
              <w:t>procedures</w:t>
            </w:r>
            <w:r w:rsidRPr="00A132A2">
              <w:t>/</w:t>
            </w:r>
            <w:r w:rsidRPr="00A132A2">
              <w:br/>
            </w:r>
            <w:r w:rsidRPr="00A132A2">
              <w:rPr>
                <w:rStyle w:val="SpecialBold"/>
              </w:rPr>
              <w:t>workplaces</w:t>
            </w:r>
            <w:r w:rsidRPr="00A132A2">
              <w:t>/</w:t>
            </w:r>
            <w:r w:rsidRPr="00A132A2">
              <w:rPr>
                <w:rStyle w:val="SpecialBold"/>
              </w:rPr>
              <w:t>other variables</w:t>
            </w:r>
          </w:p>
        </w:tc>
      </w:tr>
      <w:tr w:rsidTr="008102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A132A2">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r w:rsidRPr="00A132A2">
              <w:rPr>
                <w:rStyle w:val="SpecialBold"/>
              </w:rPr>
              <w:t>Group No</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r w:rsidRPr="00A132A2">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rPr>
                <w:rStyle w:val="SpecialBold"/>
              </w:rPr>
              <w:t>Item List</w:t>
            </w:r>
          </w:p>
        </w:tc>
      </w:tr>
      <w:tr w:rsidTr="008102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A</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r w:rsidRPr="00A132A2">
              <w:t>Risk Management principles:</w:t>
            </w:r>
          </w:p>
          <w:p w:rsidR="00000000" w:rsidP="00A132A2">
            <w:pPr>
              <w:pStyle w:val="BodyText"/>
              <w:rPr>
                <w:lang w:val="en-NZ"/>
              </w:rPr>
            </w:pPr>
            <w:r w:rsidRPr="00A132A2">
              <w:t>Six categories of exposures (personal, property, financial, environmental, product and administrative, legislative compliance, Occupational Health and Safety, procedure systems, vicarious liability, professional liability.</w:t>
            </w:r>
          </w:p>
        </w:tc>
      </w:tr>
      <w:tr w:rsidTr="008102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B</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At least 4</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r w:rsidRPr="00A132A2">
              <w:t>Risk Management P</w:t>
            </w:r>
            <w:r w:rsidRPr="00A132A2">
              <w:t>lans:</w:t>
            </w:r>
          </w:p>
          <w:p w:rsidR="00000000" w:rsidRPr="00A132A2" w:rsidP="00A132A2">
            <w:pPr>
              <w:pStyle w:val="BodyText"/>
            </w:pPr>
            <w:r w:rsidRPr="00A132A2">
              <w:t>Identification of hazards assessment of risks</w:t>
            </w:r>
          </w:p>
          <w:p w:rsidR="00000000" w:rsidRPr="00A132A2" w:rsidP="00A132A2">
            <w:pPr>
              <w:pStyle w:val="BodyText"/>
            </w:pPr>
            <w:r w:rsidRPr="00A132A2">
              <w:t>Identification of control measures</w:t>
            </w:r>
          </w:p>
          <w:p w:rsidR="00000000" w:rsidRPr="00A132A2" w:rsidP="00A132A2">
            <w:pPr>
              <w:pStyle w:val="BodyText"/>
            </w:pPr>
            <w:r w:rsidRPr="00A132A2">
              <w:t>Implementation of control measures and review of control measures</w:t>
            </w:r>
          </w:p>
          <w:p w:rsidR="00000000" w:rsidRPr="00A132A2" w:rsidP="00A132A2">
            <w:pPr>
              <w:pStyle w:val="BodyText"/>
            </w:pPr>
            <w:r w:rsidRPr="00A132A2">
              <w:t>Reference to conduct and reporting of hazard and operability studies (HAZOPS) and hazard analysis studi</w:t>
            </w:r>
            <w:r w:rsidRPr="00A132A2">
              <w:t>es (HAZANS) for critical incidents</w:t>
            </w:r>
          </w:p>
          <w:p w:rsidR="00000000" w:rsidRPr="00A132A2" w:rsidP="00A132A2">
            <w:pPr>
              <w:pStyle w:val="BodyText"/>
            </w:pPr>
            <w:r w:rsidRPr="00A132A2">
              <w:t>Recognition of six categories of exposures (see range statement for further information)</w:t>
            </w:r>
          </w:p>
          <w:p w:rsidR="00000000" w:rsidRPr="00A132A2" w:rsidP="00A132A2">
            <w:pPr>
              <w:pStyle w:val="BodyText"/>
            </w:pPr>
            <w:r w:rsidRPr="00A132A2">
              <w:t>Identification and use of Manufacturer's specifications and Australian/New Zealand and ISO standards</w:t>
            </w:r>
          </w:p>
          <w:p w:rsidR="00000000" w:rsidP="00A132A2">
            <w:pPr>
              <w:pStyle w:val="BodyText"/>
              <w:rPr>
                <w:lang w:val="en-NZ"/>
              </w:rPr>
            </w:pPr>
            <w:r w:rsidRPr="00A132A2">
              <w:t xml:space="preserve">Contingency plans for response </w:t>
            </w:r>
            <w:r w:rsidRPr="00A132A2">
              <w:t>to critical incidents</w:t>
            </w:r>
          </w:p>
        </w:tc>
      </w:tr>
      <w:tr w:rsidTr="008102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C</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r w:rsidRPr="00A132A2">
              <w:t>Risks (assessment for):</w:t>
            </w:r>
          </w:p>
          <w:p w:rsidR="00000000" w:rsidP="00A132A2">
            <w:pPr>
              <w:pStyle w:val="BodyText"/>
              <w:rPr>
                <w:lang w:val="en-NZ"/>
              </w:rPr>
            </w:pPr>
            <w:r w:rsidRPr="00A132A2">
              <w:t xml:space="preserve">Injury death, illness, damage to plant/equipment, financial loss, non-compliance with legislation, damage to products </w:t>
            </w:r>
          </w:p>
        </w:tc>
      </w:tr>
      <w:tr w:rsidTr="008102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D</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r w:rsidRPr="00A132A2">
              <w:t>Hazards:</w:t>
            </w:r>
          </w:p>
          <w:p w:rsidR="00000000" w:rsidP="00A132A2">
            <w:pPr>
              <w:pStyle w:val="BodyText"/>
              <w:rPr>
                <w:lang w:val="en-NZ"/>
              </w:rPr>
            </w:pPr>
            <w:r w:rsidRPr="00A132A2">
              <w:t>Confined spaces, gas, electricity, manual handling, noise, plant and equipment, infected blood, chemicals, temperature, lighting, radiation.</w:t>
            </w:r>
          </w:p>
        </w:tc>
      </w:tr>
      <w:tr w:rsidTr="008102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E</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r w:rsidRPr="00A132A2">
              <w:t>Control measures:</w:t>
            </w:r>
          </w:p>
          <w:p w:rsidR="00000000" w:rsidP="00A132A2">
            <w:pPr>
              <w:pStyle w:val="BodyText"/>
              <w:rPr>
                <w:lang w:val="en-NZ"/>
              </w:rPr>
            </w:pPr>
            <w:r w:rsidRPr="00A132A2">
              <w:t>Elimination of hazards, work procedures, Standard Operating Procedures, Personal Protect</w:t>
            </w:r>
            <w:r w:rsidRPr="00A132A2">
              <w:t xml:space="preserve">ive Equipment, fire safety, plant and equipment isolation, selection and training of appropriate persons, communications with appropriate persons, supervision of appropriate persons, management of control measures </w:t>
            </w:r>
          </w:p>
        </w:tc>
      </w:tr>
      <w:tr w:rsidTr="008102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F</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r w:rsidRPr="00A132A2">
              <w:t xml:space="preserve">Relevant documentation: </w:t>
            </w:r>
          </w:p>
          <w:p w:rsidR="00000000" w:rsidP="00A132A2">
            <w:pPr>
              <w:pStyle w:val="BodyText"/>
              <w:rPr>
                <w:lang w:val="en-NZ"/>
              </w:rPr>
            </w:pPr>
            <w:r w:rsidRPr="00A132A2">
              <w:t>Australian/New Zealand and ISO Standards; company risk management policy; codes of practice; standard operating procedures; Australian Dangerous Goods; trade practices; Occupational Health and Safety reporting requirements; injury reporting; claims managem</w:t>
            </w:r>
            <w:r w:rsidRPr="00A132A2">
              <w:t>ent; contractor control; hazardous substances management</w:t>
            </w:r>
          </w:p>
        </w:tc>
      </w:tr>
      <w:tr w:rsidTr="008102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G</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At least 2</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r w:rsidRPr="00A132A2">
              <w:t xml:space="preserve">Emergency exercises: </w:t>
            </w:r>
          </w:p>
          <w:p w:rsidR="00000000" w:rsidRPr="00A132A2" w:rsidP="00A132A2">
            <w:pPr>
              <w:pStyle w:val="BodyText"/>
            </w:pPr>
            <w:r w:rsidRPr="00A132A2">
              <w:t>Desktop and in-field simulation emergency exercises (involving fire; explosion; vapour/liquid leak; excavated/ruptured pipeline)</w:t>
            </w:r>
          </w:p>
          <w:p w:rsidR="00000000" w:rsidRPr="00A132A2" w:rsidP="00A132A2">
            <w:pPr>
              <w:pStyle w:val="BodyText"/>
            </w:pPr>
            <w:r w:rsidRPr="00A132A2">
              <w:t xml:space="preserve">LPG road/rail accidents </w:t>
            </w:r>
          </w:p>
          <w:p w:rsidR="00000000" w:rsidRPr="00A132A2" w:rsidP="00A132A2">
            <w:pPr>
              <w:pStyle w:val="BodyText"/>
            </w:pPr>
            <w:r w:rsidRPr="00A132A2">
              <w:t>Loss of</w:t>
            </w:r>
            <w:r w:rsidRPr="00A132A2">
              <w:t xml:space="preserve"> supply</w:t>
            </w:r>
          </w:p>
          <w:p w:rsidR="00000000" w:rsidRPr="00A132A2" w:rsidP="00A132A2">
            <w:pPr>
              <w:pStyle w:val="BodyText"/>
            </w:pPr>
            <w:r w:rsidRPr="00A132A2">
              <w:t>Lost or unaccounted for persons</w:t>
            </w:r>
          </w:p>
          <w:p w:rsidR="00000000" w:rsidP="00A132A2">
            <w:pPr>
              <w:pStyle w:val="BodyText"/>
              <w:rPr>
                <w:lang w:val="en-NZ"/>
              </w:rPr>
            </w:pPr>
            <w:r w:rsidRPr="00A132A2">
              <w:t>Medical emergencies</w:t>
            </w:r>
          </w:p>
        </w:tc>
      </w:tr>
      <w:tr w:rsidTr="008102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H</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r w:rsidRPr="00A132A2">
              <w:t>Emergency appliances:</w:t>
            </w:r>
          </w:p>
          <w:p w:rsidR="00000000" w:rsidRPr="00A132A2" w:rsidP="00A132A2">
            <w:pPr>
              <w:pStyle w:val="BodyText"/>
            </w:pPr>
            <w:r w:rsidRPr="00A132A2">
              <w:t>Emergency trucks/trailers</w:t>
            </w:r>
          </w:p>
          <w:p w:rsidR="00000000" w:rsidRPr="00A132A2" w:rsidP="00A132A2">
            <w:pPr>
              <w:pStyle w:val="BodyText"/>
            </w:pPr>
            <w:r w:rsidRPr="00A132A2">
              <w:t>Emergency plant (compressors, cranes, welding equipment etc)</w:t>
            </w:r>
          </w:p>
          <w:p w:rsidR="00000000" w:rsidRPr="00A132A2" w:rsidP="00A132A2">
            <w:pPr>
              <w:pStyle w:val="BodyText"/>
            </w:pPr>
            <w:r w:rsidRPr="00A132A2">
              <w:t>Breathing apparatus</w:t>
            </w:r>
          </w:p>
          <w:p w:rsidR="00000000" w:rsidP="00A132A2">
            <w:pPr>
              <w:pStyle w:val="BodyText"/>
              <w:rPr>
                <w:lang w:val="en-NZ"/>
              </w:rPr>
            </w:pPr>
            <w:r w:rsidRPr="00A132A2">
              <w:t>Fire fighting equipment</w:t>
            </w:r>
          </w:p>
        </w:tc>
      </w:tr>
      <w:tr w:rsidTr="008102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I</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r w:rsidRPr="00A132A2">
              <w:t>Contingency plans:</w:t>
            </w:r>
          </w:p>
          <w:p w:rsidR="00000000" w:rsidRPr="00A132A2" w:rsidP="00A132A2">
            <w:pPr>
              <w:pStyle w:val="BodyText"/>
            </w:pPr>
            <w:r w:rsidRPr="00A132A2">
              <w:t>Emergency responses to a range of abnormal operating conditions</w:t>
            </w:r>
          </w:p>
          <w:p w:rsidR="00000000" w:rsidRPr="00A132A2" w:rsidP="00A132A2">
            <w:pPr>
              <w:pStyle w:val="BodyText"/>
            </w:pPr>
            <w:r w:rsidRPr="00A132A2">
              <w:t>Plans for responses to critical incidents</w:t>
            </w:r>
          </w:p>
          <w:p w:rsidR="00000000" w:rsidP="00A132A2">
            <w:pPr>
              <w:pStyle w:val="BodyText"/>
              <w:rPr>
                <w:lang w:val="en-NZ"/>
              </w:rPr>
            </w:pPr>
            <w:r w:rsidRPr="00A132A2">
              <w:t>Prioritise proposed responses</w:t>
            </w:r>
          </w:p>
        </w:tc>
      </w:tr>
      <w:tr w:rsidTr="008102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J</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r w:rsidRPr="00A132A2">
              <w:t>Knowledge of problem solving, decision making and conflict resolution</w:t>
            </w:r>
          </w:p>
          <w:p w:rsidR="00000000" w:rsidRPr="00A132A2" w:rsidP="00A132A2">
            <w:pPr>
              <w:pStyle w:val="BodyText"/>
            </w:pPr>
            <w:r w:rsidRPr="00A132A2">
              <w:t>Emergency management</w:t>
            </w:r>
          </w:p>
          <w:p w:rsidR="00000000" w:rsidRPr="00A132A2" w:rsidP="00A132A2">
            <w:pPr>
              <w:pStyle w:val="BodyText"/>
            </w:pPr>
            <w:r w:rsidRPr="00A132A2">
              <w:t>Communication for Gas Industry supervisors</w:t>
            </w:r>
          </w:p>
          <w:p w:rsidR="00000000" w:rsidRPr="00A132A2" w:rsidP="00A132A2">
            <w:pPr>
              <w:pStyle w:val="BodyText"/>
            </w:pPr>
            <w:r w:rsidRPr="00A132A2">
              <w:t>Ability to apply project management techniques</w:t>
            </w:r>
          </w:p>
          <w:p w:rsidR="00000000" w:rsidP="00A132A2">
            <w:pPr>
              <w:pStyle w:val="BodyText"/>
              <w:rPr>
                <w:lang w:val="en-NZ"/>
              </w:rPr>
            </w:pPr>
            <w:r w:rsidRPr="00A132A2">
              <w:t>Understanding of chemical and physical behaviours of gas</w:t>
            </w:r>
          </w:p>
        </w:tc>
      </w:tr>
      <w:tr w:rsidTr="008102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K</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r w:rsidRPr="00A132A2">
              <w:t>Deal with an unplanned event by drawing on essential knowledge and associated skil</w:t>
            </w:r>
            <w:r w:rsidRPr="00A132A2">
              <w:t xml:space="preserve">ls to provide appropriate solutions incorporated in the holistic assessment with the above listed items </w:t>
            </w:r>
          </w:p>
        </w:tc>
      </w:tr>
    </w:tbl>
    <w:p w:rsidR="00000000" w:rsidRPr="00A132A2" w:rsidP="00A132A2">
      <w:pPr>
        <w:pStyle w:val="BodyText"/>
      </w:pPr>
    </w:p>
    <w:tbl>
      <w:tblPr>
        <w:tblW w:w="0" w:type="auto"/>
        <w:tblLayout w:type="fixed"/>
        <w:tblCellMar>
          <w:left w:w="62" w:type="dxa"/>
          <w:right w:w="62" w:type="dxa"/>
        </w:tblCellMar>
        <w:tblLook w:val="0000"/>
      </w:tblPr>
      <w:tblGrid>
        <w:gridCol w:w="326"/>
        <w:gridCol w:w="1834"/>
        <w:gridCol w:w="1620"/>
        <w:gridCol w:w="3117"/>
        <w:gridCol w:w="1563"/>
      </w:tblGrid>
      <w:tr w:rsidTr="0081022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rPr>
                <w:rStyle w:val="SpecialBold"/>
              </w:rPr>
              <w:t>8</w:t>
            </w:r>
            <w:r w:rsidRPr="00A132A2">
              <w:t>.</w:t>
            </w:r>
            <w:r w:rsidRPr="00A132A2">
              <w:rPr>
                <w:rStyle w:val="SpecialBold"/>
              </w:rPr>
              <w:t>3</w:t>
            </w:r>
            <w:r w:rsidRPr="00A132A2">
              <w:t xml:space="preserve">) </w:t>
            </w:r>
          </w:p>
          <w:p w:rsidR="00000000" w:rsidRPr="00A132A2" w:rsidP="00A132A2">
            <w:pPr>
              <w:pStyle w:val="BodyText"/>
            </w:pPr>
            <w:r w:rsidRPr="00A132A2">
              <w:t>This unit should be assessed as it relates to normal work practice using procedures, information and resources typical of a workplace. This should include:</w:t>
            </w:r>
          </w:p>
          <w:p w:rsidR="00000000" w:rsidRPr="00A132A2" w:rsidP="00A132A2">
            <w:pPr>
              <w:pStyle w:val="ListBullet"/>
            </w:pPr>
            <w:r w:rsidRPr="00A132A2">
              <w:t>OHS policy and work procedures and instructions.</w:t>
            </w:r>
          </w:p>
          <w:p w:rsidR="00000000" w:rsidRPr="00A132A2" w:rsidP="00A132A2">
            <w:pPr>
              <w:pStyle w:val="ListBullet"/>
            </w:pPr>
            <w:r w:rsidRPr="00A132A2">
              <w:t>Suitable work environment, facilities, equipment a</w:t>
            </w:r>
            <w:r w:rsidRPr="00A132A2">
              <w:t>nd materials to undertake actual work as prescribed by this Unit.</w:t>
            </w:r>
          </w:p>
          <w:p w:rsidR="00000000" w:rsidRPr="00A132A2" w:rsidP="00A132A2">
            <w:pPr>
              <w:pStyle w:val="ListBullet"/>
            </w:pPr>
            <w:r w:rsidRPr="00A132A2">
              <w:t>Appropriate environmental regulation and work practices.</w:t>
            </w:r>
          </w:p>
          <w:p w:rsidR="00000000" w:rsidRPr="00A132A2" w:rsidP="00A132A2">
            <w:pPr>
              <w:pStyle w:val="ListBullet"/>
            </w:pPr>
            <w:r w:rsidRPr="00A132A2">
              <w:t>Appropriate organisational requirements.</w:t>
            </w:r>
          </w:p>
          <w:p w:rsidR="00000000" w:rsidP="00A132A2">
            <w:pPr>
              <w:pStyle w:val="ListBullet"/>
              <w:rPr>
                <w:lang w:val="en-NZ"/>
              </w:rPr>
            </w:pPr>
            <w:r w:rsidRPr="00A132A2">
              <w:t>Appropriate work environment, equipment and tools.</w:t>
            </w:r>
          </w:p>
        </w:tc>
      </w:tr>
      <w:tr w:rsidTr="0081022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 xml:space="preserve">In addition to the resources listed </w:t>
            </w:r>
            <w:r w:rsidRPr="00A132A2">
              <w:t xml:space="preserve">above, in Context of and specific resources for assessment, evidence should show demonstrated competency in managing workplace risk in a Gas Industry facility. </w:t>
            </w:r>
          </w:p>
        </w:tc>
      </w:tr>
      <w:tr w:rsidTr="0081022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Assessment of this competency must also be undertaken in either an actual workplace or under a simulated work environment. Assessment must also integrate the key competencies.</w:t>
            </w:r>
          </w:p>
        </w:tc>
      </w:tr>
      <w:tr w:rsidTr="0081022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rPr>
                <w:rStyle w:val="SpecialBold"/>
              </w:rPr>
              <w:t>8</w:t>
            </w:r>
            <w:r w:rsidRPr="00A132A2">
              <w:t>.</w:t>
            </w:r>
            <w:r w:rsidRPr="00A132A2">
              <w:rPr>
                <w:rStyle w:val="SpecialBold"/>
              </w:rPr>
              <w:t>4</w:t>
            </w:r>
            <w:r w:rsidRPr="00A132A2">
              <w:t xml:space="preserve">) </w:t>
            </w:r>
          </w:p>
          <w:p w:rsidR="00000000" w:rsidRPr="00A132A2" w:rsidP="00A132A2">
            <w:pPr>
              <w:pStyle w:val="BodyText"/>
            </w:pPr>
            <w:r w:rsidRPr="00A132A2">
              <w:t>This Unit shall be assessed by methods given in V</w:t>
            </w:r>
            <w:r w:rsidRPr="00A132A2">
              <w:t>olume 1, Part 3 'Assessment Guidelines'.</w:t>
            </w:r>
          </w:p>
          <w:p w:rsidR="00000000" w:rsidP="00A132A2">
            <w:pPr>
              <w:pStyle w:val="BodyText"/>
              <w:rPr>
                <w:lang w:val="en-NZ"/>
              </w:rPr>
            </w:pPr>
            <w:r w:rsidRPr="00A132A2">
              <w:t>Note:</w:t>
            </w:r>
            <w:r w:rsidRPr="00A132A2">
              <w:br/>
              <w:t>Competent performance with inherent safe working practices is expected in the Industry to which this Unit applies. This requires that the specified Essential Knowledge and Associated Skills are assessed in a s</w:t>
            </w:r>
            <w:r w:rsidRPr="00A132A2">
              <w:t>tructured environment which is primarily intended for learning/assessment and incorporates all necessary equipment and facilities for learners to develop and demonstrate the Essential Knowledge and Associated Skills described in this unit.</w:t>
            </w:r>
          </w:p>
        </w:tc>
      </w:tr>
      <w:tr w:rsidTr="0081022D">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rPr>
                <w:rStyle w:val="SpecialBold"/>
              </w:rPr>
              <w:t>Concurrent as</w:t>
            </w:r>
            <w:r w:rsidRPr="00A132A2">
              <w:rPr>
                <w:rStyle w:val="SpecialBold"/>
              </w:rPr>
              <w:t>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rPr>
                <w:rStyle w:val="SpecialBold"/>
              </w:rPr>
              <w:t>8</w:t>
            </w:r>
            <w:r w:rsidRPr="00A132A2">
              <w:t>.</w:t>
            </w:r>
            <w:r w:rsidRPr="00A132A2">
              <w:rPr>
                <w:rStyle w:val="SpecialBold"/>
              </w:rPr>
              <w:t>5</w:t>
            </w:r>
            <w:r w:rsidRPr="00A132A2">
              <w:t xml:space="preserve">) </w:t>
            </w:r>
          </w:p>
        </w:tc>
      </w:tr>
      <w:tr w:rsidTr="0081022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 xml:space="preserve">There are no recommended concurrent assessments with this unit, however in some cases efficiencies may be gained in terms of learning and assessment </w:t>
            </w:r>
            <w:r w:rsidRPr="00A132A2">
              <w:t>effort being concurrently managed with allied Units where listed.</w:t>
            </w:r>
          </w:p>
        </w:tc>
      </w:tr>
      <w:tr w:rsidTr="0081022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UEGNSG117A</w:t>
            </w:r>
          </w:p>
        </w:tc>
        <w:tc>
          <w:tcPr>
            <w:tcW w:w="4680" w:type="dxa"/>
            <w:gridSpan w:val="2"/>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Plan and Implement the data acquisition and metering requirements of a gas system</w:t>
            </w:r>
          </w:p>
        </w:tc>
      </w:tr>
      <w:tr w:rsidTr="0081022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UEGNSG118A</w:t>
            </w:r>
          </w:p>
        </w:tc>
        <w:tc>
          <w:tcPr>
            <w:tcW w:w="4680" w:type="dxa"/>
            <w:gridSpan w:val="2"/>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Select and commission equipment to meet pressure and temperature control specifications</w:t>
            </w:r>
          </w:p>
        </w:tc>
      </w:tr>
      <w:tr w:rsidTr="0081022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UEGNSG120A</w:t>
            </w:r>
          </w:p>
        </w:tc>
        <w:tc>
          <w:tcPr>
            <w:tcW w:w="4680" w:type="dxa"/>
            <w:gridSpan w:val="2"/>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 xml:space="preserve">Manage gas system environmental compliance </w:t>
            </w:r>
          </w:p>
        </w:tc>
      </w:tr>
      <w:tr w:rsidTr="0081022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UEGNSG121A</w:t>
            </w:r>
          </w:p>
        </w:tc>
        <w:tc>
          <w:tcPr>
            <w:tcW w:w="4680" w:type="dxa"/>
            <w:gridSpan w:val="2"/>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Prepare and design specifications for a gas system</w:t>
            </w:r>
          </w:p>
        </w:tc>
      </w:tr>
      <w:tr w:rsidTr="0081022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UEGNSG115A</w:t>
            </w:r>
          </w:p>
        </w:tc>
        <w:tc>
          <w:tcPr>
            <w:tcW w:w="4680" w:type="dxa"/>
            <w:gridSpan w:val="2"/>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Manage gas systems projects</w:t>
            </w:r>
          </w:p>
        </w:tc>
      </w:tr>
      <w:tr w:rsidTr="0081022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UEGNSG122A</w:t>
            </w:r>
          </w:p>
        </w:tc>
        <w:tc>
          <w:tcPr>
            <w:tcW w:w="4680" w:type="dxa"/>
            <w:gridSpan w:val="2"/>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Manage a customer service gas business unit</w:t>
            </w:r>
          </w:p>
        </w:tc>
      </w:tr>
      <w:tr w:rsidTr="0081022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UEGNSG123A</w:t>
            </w:r>
          </w:p>
        </w:tc>
        <w:tc>
          <w:tcPr>
            <w:tcW w:w="4680" w:type="dxa"/>
            <w:gridSpan w:val="2"/>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Manage financial resources</w:t>
            </w:r>
          </w:p>
        </w:tc>
      </w:tr>
      <w:tr w:rsidTr="0081022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UEGNSG116A</w:t>
            </w:r>
          </w:p>
        </w:tc>
        <w:tc>
          <w:tcPr>
            <w:tcW w:w="4680" w:type="dxa"/>
            <w:gridSpan w:val="2"/>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Manage physical resources</w:t>
            </w:r>
          </w:p>
        </w:tc>
      </w:tr>
      <w:tr w:rsidTr="0081022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132A2" w:rsidP="00A132A2">
            <w:pPr>
              <w:pStyle w:val="BodyText"/>
            </w:pPr>
            <w:r w:rsidRPr="00A132A2">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rPr>
                <w:rStyle w:val="SpecialBold"/>
              </w:rPr>
              <w:t>8</w:t>
            </w:r>
            <w:r w:rsidRPr="00A132A2">
              <w:t>.</w:t>
            </w:r>
            <w:r w:rsidRPr="00A132A2">
              <w:rPr>
                <w:rStyle w:val="SpecialBold"/>
              </w:rPr>
              <w:t>6</w:t>
            </w:r>
            <w:r w:rsidRPr="00A132A2">
              <w:t xml:space="preserve">) </w:t>
            </w:r>
          </w:p>
          <w:p w:rsidR="00000000" w:rsidP="00A132A2">
            <w:pPr>
              <w:pStyle w:val="BodyText"/>
              <w:rPr>
                <w:lang w:val="en-NZ"/>
              </w:rPr>
            </w:pPr>
            <w:r w:rsidRPr="00A132A2">
              <w:t xml:space="preserve">Evidence that particular key competencies </w:t>
            </w:r>
            <w:r w:rsidRPr="00A132A2">
              <w:t>have been achieved within this Unit is in the context of the following Performance Criteria of evidence. See Volume 2, Part 4 for an explanation of Key Competencies and levels of this Training Package.</w:t>
            </w:r>
          </w:p>
        </w:tc>
      </w:tr>
      <w:tr w:rsidTr="0081022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r w:rsidRPr="00A132A2">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r w:rsidRPr="00A132A2">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rPr>
                <w:rStyle w:val="SpecialBold"/>
              </w:rPr>
              <w:t>Performance Level</w:t>
            </w:r>
          </w:p>
        </w:tc>
      </w:tr>
      <w:tr w:rsidTr="0081022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32A2">
            <w:pPr>
              <w:pStyle w:val="BodyText"/>
              <w:rPr>
                <w:lang w:val="en-NZ"/>
              </w:rPr>
            </w:pPr>
            <w:r w:rsidRPr="00A132A2">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p>
          <w:p w:rsidR="00000000" w:rsidP="00A132A2">
            <w:pPr>
              <w:pStyle w:val="BodyText"/>
              <w:rPr>
                <w:lang w:val="en-NZ"/>
              </w:rPr>
            </w:pPr>
            <w:r w:rsidRPr="00A132A2">
              <w:t>3</w:t>
            </w:r>
          </w:p>
        </w:tc>
      </w:tr>
      <w:tr w:rsidTr="0081022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1.6; 2.6; 2.7; 3.7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p>
        </w:tc>
      </w:tr>
      <w:tr w:rsidTr="0081022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32A2">
            <w:pPr>
              <w:pStyle w:val="BodyText"/>
              <w:rPr>
                <w:lang w:val="en-NZ"/>
              </w:rPr>
            </w:pPr>
            <w:r w:rsidRPr="00A132A2">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p>
          <w:p w:rsidR="00000000" w:rsidP="00A132A2">
            <w:pPr>
              <w:pStyle w:val="BodyText"/>
              <w:rPr>
                <w:lang w:val="en-NZ"/>
              </w:rPr>
            </w:pPr>
            <w:r w:rsidRPr="00A132A2">
              <w:t>3</w:t>
            </w:r>
          </w:p>
        </w:tc>
      </w:tr>
      <w:tr w:rsidTr="0081022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1.1; 1.3; 2.6; 2.7; 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p>
        </w:tc>
      </w:tr>
      <w:tr w:rsidTr="0081022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32A2">
            <w:pPr>
              <w:pStyle w:val="BodyText"/>
              <w:rPr>
                <w:lang w:val="en-NZ"/>
              </w:rPr>
            </w:pPr>
            <w:r w:rsidRPr="00A132A2">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p>
          <w:p w:rsidR="00000000" w:rsidP="00A132A2">
            <w:pPr>
              <w:pStyle w:val="BodyText"/>
              <w:rPr>
                <w:lang w:val="en-NZ"/>
              </w:rPr>
            </w:pPr>
            <w:r w:rsidRPr="00A132A2">
              <w:t>3</w:t>
            </w:r>
          </w:p>
        </w:tc>
      </w:tr>
      <w:tr w:rsidTr="0081022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1.4; 2.1; 2.4; 3.1; 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p>
        </w:tc>
      </w:tr>
      <w:tr w:rsidTr="0081022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32A2">
            <w:pPr>
              <w:pStyle w:val="BodyText"/>
              <w:rPr>
                <w:lang w:val="en-NZ"/>
              </w:rPr>
            </w:pPr>
            <w:r w:rsidRPr="00A132A2">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p>
          <w:p w:rsidR="00000000" w:rsidP="00A132A2">
            <w:pPr>
              <w:pStyle w:val="BodyText"/>
              <w:rPr>
                <w:lang w:val="en-NZ"/>
              </w:rPr>
            </w:pPr>
            <w:r w:rsidRPr="00A132A2">
              <w:t>2</w:t>
            </w:r>
          </w:p>
        </w:tc>
      </w:tr>
      <w:tr w:rsidTr="0081022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1.4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p>
        </w:tc>
      </w:tr>
      <w:tr w:rsidTr="0081022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32A2">
            <w:pPr>
              <w:pStyle w:val="BodyText"/>
              <w:rPr>
                <w:lang w:val="en-NZ"/>
              </w:rPr>
            </w:pPr>
            <w:r w:rsidRPr="00A132A2">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p>
          <w:p w:rsidR="00000000" w:rsidP="00A132A2">
            <w:pPr>
              <w:pStyle w:val="BodyText"/>
              <w:rPr>
                <w:lang w:val="en-NZ"/>
              </w:rPr>
            </w:pPr>
            <w:r w:rsidRPr="00A132A2">
              <w:t>2</w:t>
            </w:r>
          </w:p>
        </w:tc>
      </w:tr>
      <w:tr w:rsidTr="0081022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2.2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p>
        </w:tc>
      </w:tr>
      <w:tr w:rsidTr="0081022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32A2">
            <w:pPr>
              <w:pStyle w:val="BodyText"/>
              <w:rPr>
                <w:lang w:val="en-NZ"/>
              </w:rPr>
            </w:pPr>
            <w:r w:rsidRPr="00A132A2">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p>
          <w:p w:rsidR="00000000" w:rsidP="00A132A2">
            <w:pPr>
              <w:pStyle w:val="BodyText"/>
              <w:rPr>
                <w:lang w:val="en-NZ"/>
              </w:rPr>
            </w:pPr>
            <w:r w:rsidRPr="00A132A2">
              <w:t>2</w:t>
            </w:r>
          </w:p>
        </w:tc>
      </w:tr>
      <w:tr w:rsidTr="0081022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2.8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p>
        </w:tc>
      </w:tr>
      <w:tr w:rsidTr="0081022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32A2">
            <w:pPr>
              <w:pStyle w:val="BodyText"/>
              <w:rPr>
                <w:lang w:val="en-NZ"/>
              </w:rPr>
            </w:pPr>
            <w:r w:rsidRPr="00A132A2">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p>
          <w:p w:rsidR="00000000" w:rsidP="00A132A2">
            <w:pPr>
              <w:pStyle w:val="BodyText"/>
              <w:rPr>
                <w:lang w:val="en-NZ"/>
              </w:rPr>
            </w:pPr>
            <w:r w:rsidRPr="00A132A2">
              <w:t>2</w:t>
            </w:r>
          </w:p>
        </w:tc>
      </w:tr>
      <w:tr w:rsidTr="0081022D">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3.7</w:t>
            </w:r>
          </w:p>
        </w:tc>
      </w:tr>
      <w:tr w:rsidTr="0081022D">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1022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132A2" w:rsidP="00A132A2">
            <w:pPr>
              <w:pStyle w:val="BodyText"/>
            </w:pPr>
            <w:r w:rsidRPr="00A132A2">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A132A2" w:rsidP="00A132A2">
            <w:pPr>
              <w:pStyle w:val="BodyText"/>
            </w:pPr>
            <w:r w:rsidRPr="00A132A2">
              <w:rPr>
                <w:rStyle w:val="SpecialBold"/>
              </w:rPr>
              <w:t>8</w:t>
            </w:r>
            <w:r w:rsidRPr="00A132A2">
              <w:t>.</w:t>
            </w:r>
            <w:r w:rsidRPr="00A132A2">
              <w:rPr>
                <w:rStyle w:val="SpecialBold"/>
              </w:rPr>
              <w:t>7</w:t>
            </w:r>
            <w:r w:rsidRPr="00A132A2">
              <w:t xml:space="preserve">) </w:t>
            </w:r>
          </w:p>
          <w:p w:rsidR="00000000" w:rsidP="00A132A2">
            <w:pPr>
              <w:pStyle w:val="BodyText"/>
              <w:rPr>
                <w:lang w:val="en-NZ"/>
              </w:rPr>
            </w:pPr>
            <w:r w:rsidRPr="00A132A2">
              <w:t>Evidence that competency in this unit incorporates skills enabling employment is in the context of the following performance.</w:t>
            </w:r>
          </w:p>
        </w:tc>
      </w:tr>
      <w:tr w:rsidTr="0081022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r w:rsidRPr="00A132A2">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rPr>
                <w:rStyle w:val="SpecialBold"/>
              </w:rPr>
              <w:t>Example of Application</w:t>
            </w:r>
          </w:p>
        </w:tc>
      </w:tr>
      <w:tr w:rsidTr="0081022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32A2">
            <w:pPr>
              <w:pStyle w:val="BodyText"/>
              <w:rPr>
                <w:lang w:val="en-NZ"/>
              </w:rPr>
            </w:pPr>
            <w:r w:rsidRPr="00A132A2">
              <w:t>Refer to the following Performance Criteria for examples of application:</w:t>
            </w:r>
          </w:p>
        </w:tc>
      </w:tr>
      <w:tr w:rsidTr="0081022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All</w:t>
            </w:r>
          </w:p>
        </w:tc>
      </w:tr>
      <w:tr w:rsidTr="0081022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32A2">
            <w:pPr>
              <w:pStyle w:val="BodyText"/>
              <w:rPr>
                <w:lang w:val="en-NZ"/>
              </w:rPr>
            </w:pPr>
            <w:r w:rsidRPr="00A132A2">
              <w:t>Refer to the following Performance Criteria for examples of application:</w:t>
            </w:r>
          </w:p>
        </w:tc>
      </w:tr>
      <w:tr w:rsidTr="0081022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2.8</w:t>
            </w:r>
          </w:p>
        </w:tc>
      </w:tr>
      <w:tr w:rsidTr="0081022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32A2">
            <w:pPr>
              <w:pStyle w:val="BodyText"/>
              <w:rPr>
                <w:lang w:val="en-NZ"/>
              </w:rPr>
            </w:pPr>
            <w:r w:rsidRPr="00A132A2">
              <w:t>Refer to the following Performance Criteria for examples of application:</w:t>
            </w:r>
          </w:p>
        </w:tc>
      </w:tr>
      <w:tr w:rsidTr="0081022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3.6; 3.7</w:t>
            </w:r>
          </w:p>
        </w:tc>
      </w:tr>
      <w:tr w:rsidTr="0081022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32A2">
            <w:pPr>
              <w:pStyle w:val="BodyText"/>
              <w:rPr>
                <w:lang w:val="en-NZ"/>
              </w:rPr>
            </w:pPr>
            <w:r w:rsidRPr="00A132A2">
              <w:t>Refer to the following Performance Criteria for examples of application:</w:t>
            </w:r>
          </w:p>
        </w:tc>
      </w:tr>
      <w:tr w:rsidTr="0081022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2.6; 2.7; 3.2</w:t>
            </w:r>
          </w:p>
        </w:tc>
      </w:tr>
      <w:tr w:rsidTr="0081022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32A2">
            <w:pPr>
              <w:pStyle w:val="BodyText"/>
              <w:rPr>
                <w:lang w:val="en-NZ"/>
              </w:rPr>
            </w:pPr>
            <w:r w:rsidRPr="00A132A2">
              <w:t>Refer to the following Performance Criteria for examples of application:</w:t>
            </w:r>
          </w:p>
        </w:tc>
      </w:tr>
      <w:tr w:rsidTr="0081022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1.1; 1.2; 2.8</w:t>
            </w:r>
          </w:p>
        </w:tc>
      </w:tr>
      <w:tr w:rsidTr="0081022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A2">
            <w:pPr>
              <w:pStyle w:val="BodyText"/>
              <w:rPr>
                <w:lang w:val="en-NZ"/>
              </w:rPr>
            </w:pPr>
            <w:r w:rsidRPr="00A132A2">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32A2">
            <w:pPr>
              <w:pStyle w:val="BodyText"/>
              <w:rPr>
                <w:lang w:val="en-NZ"/>
              </w:rPr>
            </w:pPr>
            <w:r w:rsidRPr="00A132A2">
              <w:t>Refer to the following Performance Criteria for examples of application:</w:t>
            </w:r>
          </w:p>
        </w:tc>
      </w:tr>
      <w:tr w:rsidTr="0081022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132A2" w:rsidP="00A132A2">
            <w:pPr>
              <w:pStyle w:val="BodyText"/>
            </w:pPr>
            <w:r w:rsidRPr="00A132A2">
              <w:t>2.8</w:t>
            </w:r>
          </w:p>
        </w:tc>
      </w:tr>
    </w:tbl>
    <w:p w:rsidR="0081022D" w:rsidP="00A132A2">
      <w:pPr>
        <w:pStyle w:val="BodyText"/>
      </w:pPr>
    </w:p>
    <w:p w:rsidR="0081022D" w:rsidP="00A132A2">
      <w:pPr>
        <w:pStyle w:val="BodyText"/>
      </w:pPr>
    </w:p>
    <w:p w:rsidR="00000000" w:rsidRPr="00A132A2" w:rsidP="00A132A2">
      <w:pPr>
        <w:pStyle w:val="Heading1"/>
      </w:pPr>
      <w:bookmarkStart w:id="11" w:name="O_255772"/>
      <w:bookmarkEnd w:id="11"/>
      <w:r w:rsidRPr="00A132A2">
        <w:t>Range Statement</w:t>
      </w:r>
    </w:p>
    <w:tbl>
      <w:tblPr>
        <w:tblW w:w="0" w:type="auto"/>
        <w:tblLayout w:type="fixed"/>
        <w:tblCellMar>
          <w:left w:w="62" w:type="dxa"/>
          <w:right w:w="62" w:type="dxa"/>
        </w:tblCellMar>
        <w:tblLook w:val="0000"/>
      </w:tblPr>
      <w:tblGrid>
        <w:gridCol w:w="8460"/>
      </w:tblGrid>
      <w:tr w:rsidTr="008102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rPr>
                <w:rStyle w:val="SpecialBold"/>
              </w:rPr>
              <w:t>RANGE STATEMENT</w:t>
            </w:r>
          </w:p>
        </w:tc>
      </w:tr>
      <w:tr w:rsidTr="008102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rPr>
                <w:rStyle w:val="SpecialBold"/>
              </w:rPr>
              <w:t>7</w:t>
            </w:r>
            <w:r w:rsidRPr="00A132A2">
              <w:t>) This relates to the competency standard unit as a whole providing the range of contexts and conditions to which the Performance Criteria apply. It allows for different work environments and situations that will affect performance.</w:t>
            </w:r>
          </w:p>
        </w:tc>
      </w:tr>
      <w:tr w:rsidTr="008102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t>This Unit shall/may be</w:t>
            </w:r>
            <w:r w:rsidRPr="00A132A2">
              <w:t xml:space="preserve"> demonstrated in relation to managing workplace risk in Gas Industry facility.</w:t>
            </w:r>
          </w:p>
          <w:p w:rsidR="00000000" w:rsidRPr="00A132A2" w:rsidP="00A132A2">
            <w:pPr>
              <w:pStyle w:val="BodyText"/>
            </w:pPr>
            <w:r w:rsidRPr="00A132A2">
              <w:t>The following constants and variables included in the element/Performance Criteria in this unit are fully described in the Definitions Section of this volume and form an integra</w:t>
            </w:r>
            <w:r w:rsidRPr="00A132A2">
              <w:t>l part of the Range Statement of this unit:</w:t>
            </w:r>
          </w:p>
          <w:p w:rsidR="00000000" w:rsidRPr="00A132A2" w:rsidP="00A132A2">
            <w:pPr>
              <w:pStyle w:val="BodyText"/>
            </w:pPr>
            <w:r w:rsidRPr="00A132A2">
              <w:t>Risk Management principles</w:t>
            </w:r>
          </w:p>
          <w:p w:rsidR="00000000" w:rsidRPr="00A132A2" w:rsidP="00A132A2">
            <w:pPr>
              <w:pStyle w:val="BodyText"/>
            </w:pPr>
            <w:r w:rsidRPr="00A132A2">
              <w:t>Risk Management Plans</w:t>
            </w:r>
          </w:p>
          <w:p w:rsidR="00000000" w:rsidRPr="00A132A2" w:rsidP="00A132A2">
            <w:pPr>
              <w:pStyle w:val="BodyText"/>
            </w:pPr>
            <w:r w:rsidRPr="00A132A2">
              <w:t>Appropriate persons (6)</w:t>
            </w:r>
          </w:p>
          <w:p w:rsidR="00000000" w:rsidRPr="00A132A2" w:rsidP="00A132A2">
            <w:pPr>
              <w:pStyle w:val="BodyText"/>
            </w:pPr>
            <w:r w:rsidRPr="00A132A2">
              <w:t>Authorisation</w:t>
            </w:r>
          </w:p>
          <w:p w:rsidR="00000000" w:rsidRPr="00A132A2" w:rsidP="00A132A2">
            <w:pPr>
              <w:pStyle w:val="BodyText"/>
            </w:pPr>
            <w:r w:rsidRPr="00A132A2">
              <w:t>Risks</w:t>
            </w:r>
          </w:p>
          <w:p w:rsidR="00000000" w:rsidRPr="00A132A2" w:rsidP="00A132A2">
            <w:pPr>
              <w:pStyle w:val="BodyText"/>
            </w:pPr>
            <w:r w:rsidRPr="00A132A2">
              <w:t>Hazards (6)</w:t>
            </w:r>
          </w:p>
          <w:p w:rsidR="00000000" w:rsidRPr="00A132A2" w:rsidP="00A132A2">
            <w:pPr>
              <w:pStyle w:val="BodyText"/>
            </w:pPr>
            <w:r w:rsidRPr="00A132A2">
              <w:t>Control measures</w:t>
            </w:r>
          </w:p>
          <w:p w:rsidR="00000000" w:rsidRPr="00A132A2" w:rsidP="00A132A2">
            <w:pPr>
              <w:pStyle w:val="BodyText"/>
            </w:pPr>
            <w:r w:rsidRPr="00A132A2">
              <w:t>Relevant documentation (6)</w:t>
            </w:r>
          </w:p>
          <w:p w:rsidR="00000000" w:rsidRPr="00A132A2" w:rsidP="00A132A2">
            <w:pPr>
              <w:pStyle w:val="BodyText"/>
            </w:pPr>
            <w:r w:rsidRPr="00A132A2">
              <w:t xml:space="preserve">Legislative requirements (5) </w:t>
            </w:r>
          </w:p>
          <w:p w:rsidR="00000000" w:rsidRPr="00A132A2" w:rsidP="00A132A2">
            <w:pPr>
              <w:pStyle w:val="BodyText"/>
            </w:pPr>
            <w:r w:rsidRPr="00A132A2">
              <w:t xml:space="preserve">Emergency exercises </w:t>
            </w:r>
          </w:p>
          <w:p w:rsidR="00000000" w:rsidRPr="00A132A2" w:rsidP="00A132A2">
            <w:pPr>
              <w:pStyle w:val="BodyText"/>
            </w:pPr>
            <w:r w:rsidRPr="00A132A2">
              <w:t>Emergency ap</w:t>
            </w:r>
            <w:r w:rsidRPr="00A132A2">
              <w:t>pliances</w:t>
            </w:r>
          </w:p>
          <w:p w:rsidR="00000000" w:rsidRPr="00A132A2" w:rsidP="00A132A2">
            <w:pPr>
              <w:pStyle w:val="BodyText"/>
            </w:pPr>
            <w:r w:rsidRPr="00A132A2">
              <w:t>Contingency plans</w:t>
            </w:r>
          </w:p>
          <w:p w:rsidR="00000000" w:rsidRPr="00A132A2" w:rsidP="00A132A2">
            <w:pPr>
              <w:pStyle w:val="BodyText"/>
            </w:pPr>
            <w:r w:rsidRPr="00A132A2">
              <w:t>Safety devices include</w:t>
            </w:r>
          </w:p>
        </w:tc>
      </w:tr>
    </w:tbl>
    <w:p w:rsidR="0081022D" w:rsidP="00A132A2">
      <w:pPr>
        <w:pStyle w:val="BodyText"/>
      </w:pPr>
    </w:p>
    <w:p w:rsidR="0081022D" w:rsidP="00A132A2">
      <w:pPr>
        <w:pStyle w:val="BodyText"/>
      </w:pPr>
    </w:p>
    <w:p w:rsidR="00000000" w:rsidRPr="00A132A2" w:rsidP="00A132A2">
      <w:pPr>
        <w:pStyle w:val="Heading1"/>
      </w:pPr>
      <w:bookmarkStart w:id="12" w:name="O_296785"/>
      <w:bookmarkEnd w:id="12"/>
      <w:r w:rsidRPr="00A132A2">
        <w:t>Unit Sector(s)</w:t>
      </w:r>
    </w:p>
    <w:p w:rsidR="00000000" w:rsidRPr="00A132A2" w:rsidP="00A132A2">
      <w:pPr>
        <w:pStyle w:val="BodyText"/>
      </w:pPr>
      <w:r w:rsidRPr="00A132A2">
        <w:t>Not Applicable</w:t>
      </w:r>
    </w:p>
    <w:p w:rsidR="00000000" w:rsidRPr="00A132A2" w:rsidP="00A132A2">
      <w:pPr>
        <w:pStyle w:val="AllowPageBreak"/>
      </w:pPr>
    </w:p>
    <w:p w:rsidR="00000000" w:rsidRPr="00A132A2" w:rsidP="00A132A2">
      <w:pPr>
        <w:pStyle w:val="Heading1"/>
      </w:pPr>
      <w:bookmarkStart w:id="13" w:name="O_229372"/>
      <w:bookmarkEnd w:id="13"/>
      <w:r w:rsidRPr="00A132A2">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102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rPr>
                <w:rStyle w:val="SpecialBold"/>
              </w:rPr>
              <w:t>2</w:t>
            </w:r>
            <w:r w:rsidRPr="00A132A2">
              <w:t>.</w:t>
            </w:r>
            <w:r w:rsidRPr="00A132A2">
              <w:rPr>
                <w:rStyle w:val="SpecialBold"/>
              </w:rPr>
              <w:t>2</w:t>
            </w:r>
            <w:r w:rsidRPr="00A132A2">
              <w:t xml:space="preserve">) </w:t>
            </w:r>
          </w:p>
          <w:p w:rsidR="00000000" w:rsidP="00A132A2">
            <w:pPr>
              <w:pStyle w:val="BodyText"/>
              <w:rPr>
                <w:lang w:val="en-NZ"/>
              </w:rPr>
            </w:pPr>
            <w:r w:rsidRPr="00A132A2">
              <w:t>Participants are best equipped t</w:t>
            </w:r>
            <w:r w:rsidRPr="00A132A2">
              <w:t>o achieve this unit if they have reading, writing and numeracy skills indicated by the following scales. Description of each scale is given in Volume 2, Part 3 'Literacy and Numeracy'</w:t>
            </w:r>
          </w:p>
        </w:tc>
      </w:tr>
      <w:tr w:rsidTr="008102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Reading</w:t>
            </w:r>
          </w:p>
        </w:tc>
        <w:tc>
          <w:tcPr>
            <w:tcW w:w="805"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5</w:t>
            </w:r>
          </w:p>
        </w:tc>
        <w:tc>
          <w:tcPr>
            <w:tcW w:w="1184"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Writing</w:t>
            </w:r>
          </w:p>
        </w:tc>
        <w:tc>
          <w:tcPr>
            <w:tcW w:w="805"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5</w:t>
            </w:r>
          </w:p>
        </w:tc>
        <w:tc>
          <w:tcPr>
            <w:tcW w:w="1172"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t>Numeracy</w:t>
            </w:r>
          </w:p>
        </w:tc>
        <w:tc>
          <w:tcPr>
            <w:tcW w:w="805" w:type="dxa"/>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t>5</w:t>
            </w:r>
          </w:p>
        </w:tc>
      </w:tr>
    </w:tbl>
    <w:p w:rsidR="0081022D" w:rsidP="00A132A2">
      <w:pPr>
        <w:pStyle w:val="BodyText"/>
      </w:pPr>
    </w:p>
    <w:p w:rsidR="0081022D" w:rsidP="00A132A2">
      <w:pPr>
        <w:pStyle w:val="BodyText"/>
      </w:pPr>
    </w:p>
    <w:p w:rsidR="00000000" w:rsidRPr="00A132A2" w:rsidP="00A132A2">
      <w:pPr>
        <w:pStyle w:val="Heading1"/>
      </w:pPr>
      <w:bookmarkStart w:id="14" w:name="O_229375"/>
      <w:bookmarkEnd w:id="14"/>
      <w:r w:rsidRPr="00A132A2">
        <w:t>Competency Field</w:t>
      </w:r>
    </w:p>
    <w:tbl>
      <w:tblPr>
        <w:tblW w:w="0" w:type="auto"/>
        <w:tblLayout w:type="fixed"/>
        <w:tblCellMar>
          <w:left w:w="62" w:type="dxa"/>
          <w:right w:w="62" w:type="dxa"/>
        </w:tblCellMar>
        <w:tblLook w:val="0000"/>
      </w:tblPr>
      <w:tblGrid>
        <w:gridCol w:w="2700"/>
        <w:gridCol w:w="5760"/>
      </w:tblGrid>
      <w:tr w:rsidTr="008102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132A2">
            <w:pPr>
              <w:pStyle w:val="BodyText"/>
              <w:rPr>
                <w:lang w:val="en-NZ"/>
              </w:rPr>
            </w:pPr>
            <w:r w:rsidRPr="00A132A2">
              <w:rPr>
                <w:rStyle w:val="SpecialBold"/>
              </w:rPr>
              <w:t>4</w:t>
            </w:r>
            <w:r w:rsidRPr="00A132A2">
              <w:t xml:space="preserve">) </w:t>
            </w:r>
          </w:p>
        </w:tc>
      </w:tr>
      <w:tr w:rsidTr="008102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32A2" w:rsidP="00A132A2">
            <w:pPr>
              <w:pStyle w:val="BodyText"/>
            </w:pPr>
            <w:r w:rsidRPr="00A132A2">
              <w:t>Cross discipline.</w:t>
            </w:r>
          </w:p>
        </w:tc>
      </w:tr>
    </w:tbl>
    <w:p w:rsidR="0081022D" w:rsidP="00A132A2">
      <w:pPr>
        <w:pStyle w:val="BodyText"/>
      </w:pPr>
    </w:p>
    <w:p w:rsidR="0081022D" w:rsidP="00A132A2">
      <w:pPr>
        <w:pStyle w:val="BodyText"/>
      </w:pPr>
    </w:p>
    <w:p w:rsidR="00000000" w:rsidRPr="00A132A2" w:rsidP="00A132A2"/>
    <w:sectPr w:rsidSect="00A132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22D" w:rsidP="008102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2D" w:rsidP="00A132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1022D" w:rsidP="00A132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1022D" w:rsidP="00A132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22D" w:rsidP="0081022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2D" w:rsidP="00A132A2">
    <w:pPr>
      <w:pStyle w:val="Header"/>
      <w:framePr w:wrap="around"/>
    </w:pPr>
    <w:r>
      <w:fldChar w:fldCharType="begin"/>
    </w:r>
    <w:r>
      <w:instrText xml:space="preserve"> TITLE   \* MERGEFORMAT </w:instrText>
    </w:r>
    <w:r>
      <w:fldChar w:fldCharType="separate"/>
    </w:r>
    <w:r>
      <w:t>UEGNSG119A Manage workplace risk in a Gas Industry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022D" w:rsidP="00A132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E215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C654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36CE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2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32A2"/>
    <w:pPr>
      <w:spacing w:before="360" w:after="60"/>
      <w:outlineLvl w:val="0"/>
    </w:pPr>
    <w:rPr>
      <w:sz w:val="32"/>
    </w:rPr>
  </w:style>
  <w:style w:type="paragraph" w:styleId="Heading2">
    <w:name w:val="heading 2"/>
    <w:basedOn w:val="HeadingBase"/>
    <w:next w:val="BodyText"/>
    <w:link w:val="Heading2Char"/>
    <w:qFormat/>
    <w:rsid w:val="00A132A2"/>
    <w:pPr>
      <w:keepLines/>
      <w:spacing w:before="240" w:after="120"/>
      <w:outlineLvl w:val="1"/>
    </w:pPr>
    <w:rPr>
      <w:sz w:val="28"/>
      <w:szCs w:val="40"/>
    </w:rPr>
  </w:style>
  <w:style w:type="paragraph" w:styleId="Heading3">
    <w:name w:val="heading 3"/>
    <w:basedOn w:val="HeadingBase"/>
    <w:next w:val="BodyText"/>
    <w:link w:val="Heading3Char"/>
    <w:qFormat/>
    <w:rsid w:val="00A132A2"/>
    <w:pPr>
      <w:spacing w:before="180" w:after="120"/>
      <w:outlineLvl w:val="2"/>
    </w:pPr>
    <w:rPr>
      <w:spacing w:val="-10"/>
      <w:kern w:val="32"/>
    </w:rPr>
  </w:style>
  <w:style w:type="paragraph" w:styleId="Heading4">
    <w:name w:val="heading 4"/>
    <w:basedOn w:val="HeadingBase"/>
    <w:next w:val="BodyText"/>
    <w:link w:val="Heading4Char"/>
    <w:qFormat/>
    <w:rsid w:val="00A132A2"/>
    <w:pPr>
      <w:spacing w:before="160" w:after="120"/>
      <w:outlineLvl w:val="3"/>
    </w:pPr>
    <w:rPr>
      <w:sz w:val="22"/>
    </w:rPr>
  </w:style>
  <w:style w:type="paragraph" w:styleId="Heading5">
    <w:name w:val="heading 5"/>
    <w:basedOn w:val="HeadingBase"/>
    <w:next w:val="Normal"/>
    <w:link w:val="Heading5Char"/>
    <w:qFormat/>
    <w:rsid w:val="00A132A2"/>
    <w:pPr>
      <w:spacing w:before="80"/>
      <w:outlineLvl w:val="4"/>
    </w:pPr>
    <w:rPr>
      <w:color w:val="918585"/>
      <w:sz w:val="20"/>
    </w:rPr>
  </w:style>
  <w:style w:type="paragraph" w:styleId="Heading6">
    <w:name w:val="heading 6"/>
    <w:basedOn w:val="HeadingBase"/>
    <w:next w:val="Normal"/>
    <w:link w:val="Heading6Char"/>
    <w:qFormat/>
    <w:rsid w:val="00A132A2"/>
    <w:pPr>
      <w:spacing w:before="60"/>
      <w:outlineLvl w:val="5"/>
    </w:pPr>
    <w:rPr>
      <w:color w:val="918585"/>
      <w:sz w:val="20"/>
    </w:rPr>
  </w:style>
  <w:style w:type="paragraph" w:styleId="Heading7">
    <w:name w:val="heading 7"/>
    <w:basedOn w:val="Normal"/>
    <w:next w:val="Normal"/>
    <w:link w:val="Heading7Char"/>
    <w:qFormat/>
    <w:rsid w:val="00A132A2"/>
    <w:pPr>
      <w:ind w:left="720"/>
      <w:outlineLvl w:val="6"/>
    </w:pPr>
    <w:rPr>
      <w:i/>
    </w:rPr>
  </w:style>
  <w:style w:type="paragraph" w:styleId="Heading8">
    <w:name w:val="heading 8"/>
    <w:basedOn w:val="Normal"/>
    <w:next w:val="Normal"/>
    <w:link w:val="Heading8Char"/>
    <w:qFormat/>
    <w:rsid w:val="00A132A2"/>
    <w:pPr>
      <w:ind w:left="720"/>
      <w:outlineLvl w:val="7"/>
    </w:pPr>
    <w:rPr>
      <w:i/>
    </w:rPr>
  </w:style>
  <w:style w:type="paragraph" w:styleId="Heading9">
    <w:name w:val="heading 9"/>
    <w:basedOn w:val="Normal"/>
    <w:next w:val="Normal"/>
    <w:link w:val="Heading9Char"/>
    <w:qFormat/>
    <w:rsid w:val="00A132A2"/>
    <w:pPr>
      <w:ind w:left="720"/>
      <w:outlineLvl w:val="8"/>
    </w:pPr>
    <w:rPr>
      <w:i/>
    </w:rPr>
  </w:style>
  <w:style w:type="character" w:default="1" w:styleId="DefaultParagraphFont">
    <w:name w:val="Default Paragraph Font"/>
    <w:uiPriority w:val="1"/>
    <w:unhideWhenUsed/>
    <w:rsid w:val="00A132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2A2"/>
  </w:style>
  <w:style w:type="character" w:customStyle="1" w:styleId="Heading1Char">
    <w:name w:val="Heading 1 Char"/>
    <w:link w:val="Heading1"/>
    <w:rsid w:val="00A132A2"/>
    <w:rPr>
      <w:rFonts w:ascii="Times New Roman" w:eastAsia="Times New Roman" w:hAnsi="Times New Roman" w:cs="Times New Roman"/>
      <w:b/>
      <w:sz w:val="32"/>
      <w:szCs w:val="20"/>
      <w:lang w:eastAsia="en-US"/>
    </w:rPr>
  </w:style>
  <w:style w:type="paragraph" w:styleId="BodyText">
    <w:name w:val="Body Text"/>
    <w:basedOn w:val="Normal"/>
    <w:link w:val="BodyTextChar"/>
    <w:rsid w:val="00A132A2"/>
    <w:pPr>
      <w:spacing w:before="120" w:after="120"/>
      <w:contextualSpacing/>
    </w:pPr>
    <w:rPr>
      <w:rFonts w:ascii="Times New Roman" w:hAnsi="Times New Roman"/>
      <w:sz w:val="24"/>
      <w:szCs w:val="22"/>
    </w:rPr>
  </w:style>
  <w:style w:type="character" w:customStyle="1" w:styleId="BodyTextChar">
    <w:name w:val="Body Text Char"/>
    <w:link w:val="BodyText"/>
    <w:rsid w:val="00A132A2"/>
    <w:rPr>
      <w:rFonts w:ascii="Times New Roman" w:eastAsia="Times New Roman" w:hAnsi="Times New Roman" w:cs="Times New Roman"/>
      <w:sz w:val="24"/>
      <w:lang w:val="en-US" w:eastAsia="en-US"/>
    </w:rPr>
  </w:style>
  <w:style w:type="paragraph" w:styleId="Footer">
    <w:name w:val="footer"/>
    <w:basedOn w:val="Normal"/>
    <w:link w:val="FooterChar"/>
    <w:rsid w:val="00A132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132A2"/>
    <w:rPr>
      <w:rFonts w:ascii="Times New Roman" w:eastAsia="Times New Roman" w:hAnsi="Times New Roman" w:cs="Times New Roman"/>
      <w:sz w:val="16"/>
      <w:lang w:val="en-US" w:eastAsia="en-US"/>
    </w:rPr>
  </w:style>
  <w:style w:type="paragraph" w:styleId="ListBullet">
    <w:name w:val="List Bullet"/>
    <w:basedOn w:val="List"/>
    <w:rsid w:val="00A132A2"/>
    <w:pPr>
      <w:numPr>
        <w:numId w:val="13"/>
      </w:numPr>
      <w:tabs>
        <w:tab w:val="clear" w:pos="340"/>
      </w:tabs>
      <w:spacing w:before="40" w:after="40"/>
    </w:pPr>
  </w:style>
  <w:style w:type="character" w:customStyle="1" w:styleId="SpecialBold">
    <w:name w:val="Special Bold"/>
    <w:rsid w:val="00A132A2"/>
    <w:rPr>
      <w:b/>
      <w:spacing w:val="0"/>
    </w:rPr>
  </w:style>
  <w:style w:type="paragraph" w:styleId="ListBullet2">
    <w:name w:val="List Bullet 2"/>
    <w:basedOn w:val="List2"/>
    <w:rsid w:val="00A132A2"/>
    <w:pPr>
      <w:numPr>
        <w:numId w:val="14"/>
      </w:numPr>
      <w:tabs>
        <w:tab w:val="clear" w:pos="680"/>
      </w:tabs>
    </w:pPr>
  </w:style>
  <w:style w:type="paragraph" w:styleId="Header">
    <w:name w:val="header"/>
    <w:basedOn w:val="Normal"/>
    <w:link w:val="HeaderChar"/>
    <w:rsid w:val="00A132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132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32A2"/>
    <w:pPr>
      <w:spacing w:before="240" w:after="120"/>
      <w:outlineLvl w:val="0"/>
    </w:pPr>
    <w:rPr>
      <w:rFonts w:ascii="Times New Roman" w:hAnsi="Times New Roman"/>
      <w:b/>
      <w:sz w:val="28"/>
    </w:rPr>
  </w:style>
  <w:style w:type="paragraph" w:customStyle="1" w:styleId="AllowPageBreak">
    <w:name w:val="AllowPageBreak"/>
    <w:rsid w:val="00A132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132A2"/>
    <w:rPr>
      <w:rFonts w:ascii="Times New Roman" w:eastAsia="Times New Roman" w:hAnsi="Times New Roman" w:cs="Times New Roman"/>
      <w:b/>
      <w:sz w:val="28"/>
      <w:szCs w:val="40"/>
      <w:lang w:eastAsia="en-US"/>
    </w:rPr>
  </w:style>
  <w:style w:type="character" w:customStyle="1" w:styleId="Heading3Char">
    <w:name w:val="Heading 3 Char"/>
    <w:link w:val="Heading3"/>
    <w:rsid w:val="00A132A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132A2"/>
    <w:rPr>
      <w:rFonts w:ascii="Times New Roman" w:eastAsia="Times New Roman" w:hAnsi="Times New Roman" w:cs="Times New Roman"/>
      <w:b/>
      <w:szCs w:val="20"/>
      <w:lang w:eastAsia="en-US"/>
    </w:rPr>
  </w:style>
  <w:style w:type="character" w:customStyle="1" w:styleId="Heading5Char">
    <w:name w:val="Heading 5 Char"/>
    <w:link w:val="Heading5"/>
    <w:rsid w:val="00A132A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132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2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32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32A2"/>
    <w:rPr>
      <w:rFonts w:ascii="Courier New" w:eastAsia="Times New Roman" w:hAnsi="Courier New" w:cs="Times New Roman"/>
      <w:i/>
      <w:szCs w:val="20"/>
      <w:lang w:val="en-US" w:eastAsia="en-US"/>
    </w:rPr>
  </w:style>
  <w:style w:type="paragraph" w:customStyle="1" w:styleId="HeadingBase">
    <w:name w:val="Heading Base"/>
    <w:rsid w:val="00A132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2A2"/>
    <w:pPr>
      <w:tabs>
        <w:tab w:val="right" w:leader="dot" w:pos="9072"/>
      </w:tabs>
      <w:ind w:left="567"/>
    </w:pPr>
    <w:rPr>
      <w:szCs w:val="22"/>
    </w:rPr>
  </w:style>
  <w:style w:type="paragraph" w:customStyle="1" w:styleId="TOCBase">
    <w:name w:val="TOC Base"/>
    <w:rsid w:val="00A132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2A2"/>
    <w:pPr>
      <w:tabs>
        <w:tab w:val="right" w:leader="dot" w:pos="9072"/>
      </w:tabs>
      <w:spacing w:before="40" w:after="40"/>
      <w:ind w:left="284"/>
    </w:pPr>
    <w:rPr>
      <w:rFonts w:ascii="Times New Roman" w:hAnsi="Times New Roman"/>
    </w:rPr>
  </w:style>
  <w:style w:type="paragraph" w:styleId="TOC1">
    <w:name w:val="toc 1"/>
    <w:basedOn w:val="TOCBase"/>
    <w:next w:val="Normal"/>
    <w:rsid w:val="00A132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32A2"/>
    <w:pPr>
      <w:spacing w:before="5040"/>
      <w:jc w:val="center"/>
    </w:pPr>
    <w:rPr>
      <w:sz w:val="48"/>
      <w:szCs w:val="72"/>
      <w:lang w:val="en-US"/>
    </w:rPr>
  </w:style>
  <w:style w:type="character" w:customStyle="1" w:styleId="TitleChar">
    <w:name w:val="Title Char"/>
    <w:link w:val="Title"/>
    <w:rsid w:val="00A132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2A2"/>
    <w:pPr>
      <w:tabs>
        <w:tab w:val="left" w:pos="3600"/>
        <w:tab w:val="left" w:pos="3958"/>
      </w:tabs>
    </w:pPr>
  </w:style>
  <w:style w:type="paragraph" w:styleId="List">
    <w:name w:val="List"/>
    <w:basedOn w:val="BodyText"/>
    <w:next w:val="BodyText"/>
    <w:rsid w:val="00A132A2"/>
    <w:pPr>
      <w:tabs>
        <w:tab w:val="left" w:pos="340"/>
      </w:tabs>
      <w:spacing w:before="60" w:after="60"/>
      <w:ind w:left="340" w:hanging="340"/>
    </w:pPr>
  </w:style>
  <w:style w:type="paragraph" w:customStyle="1" w:styleId="Note">
    <w:name w:val="Note"/>
    <w:basedOn w:val="BodyText"/>
    <w:rsid w:val="00A132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2A2"/>
    <w:pPr>
      <w:framePr w:wrap="auto" w:hAnchor="text" w:y="6049"/>
    </w:pPr>
    <w:rPr>
      <w:color w:val="000000"/>
      <w:sz w:val="40"/>
    </w:rPr>
  </w:style>
  <w:style w:type="paragraph" w:customStyle="1" w:styleId="TOCTitle">
    <w:name w:val="TOCTitle"/>
    <w:basedOn w:val="Heading1"/>
    <w:rsid w:val="00A132A2"/>
    <w:pPr>
      <w:spacing w:after="240"/>
      <w:jc w:val="center"/>
      <w:outlineLvl w:val="9"/>
    </w:pPr>
    <w:rPr>
      <w:caps/>
    </w:rPr>
  </w:style>
  <w:style w:type="paragraph" w:customStyle="1" w:styleId="Version">
    <w:name w:val="Version"/>
    <w:rsid w:val="00A132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2A2"/>
    <w:pPr>
      <w:keepNext w:val="0"/>
      <w:tabs>
        <w:tab w:val="right" w:pos="4176"/>
      </w:tabs>
      <w:ind w:left="198" w:hanging="198"/>
    </w:pPr>
    <w:rPr>
      <w:rFonts w:ascii="Garamond" w:hAnsi="Garamond"/>
    </w:rPr>
  </w:style>
  <w:style w:type="paragraph" w:styleId="IndexHeading">
    <w:name w:val="index heading"/>
    <w:basedOn w:val="Normal"/>
    <w:next w:val="Index1"/>
    <w:semiHidden/>
    <w:rsid w:val="00A132A2"/>
    <w:pPr>
      <w:spacing w:before="120" w:after="120"/>
    </w:pPr>
    <w:rPr>
      <w:rFonts w:ascii="Arial" w:hAnsi="Arial"/>
      <w:b/>
      <w:color w:val="918585"/>
      <w:sz w:val="24"/>
    </w:rPr>
  </w:style>
  <w:style w:type="paragraph" w:customStyle="1" w:styleId="Chapter">
    <w:name w:val="Chapter"/>
    <w:basedOn w:val="Normal"/>
    <w:rsid w:val="00A132A2"/>
    <w:pPr>
      <w:spacing w:before="240"/>
    </w:pPr>
    <w:rPr>
      <w:rFonts w:ascii="Times New Roman" w:hAnsi="Times New Roman"/>
      <w:smallCaps/>
      <w:spacing w:val="80"/>
      <w:sz w:val="28"/>
    </w:rPr>
  </w:style>
  <w:style w:type="paragraph" w:customStyle="1" w:styleId="InChapter">
    <w:name w:val="InChapter"/>
    <w:basedOn w:val="Heading3"/>
    <w:rsid w:val="00A132A2"/>
    <w:pPr>
      <w:spacing w:after="240"/>
      <w:outlineLvl w:val="9"/>
    </w:pPr>
    <w:rPr>
      <w:noProof/>
    </w:rPr>
  </w:style>
  <w:style w:type="paragraph" w:styleId="Index2">
    <w:name w:val="index 2"/>
    <w:basedOn w:val="Normal"/>
    <w:next w:val="Normal"/>
    <w:semiHidden/>
    <w:rsid w:val="00A132A2"/>
    <w:pPr>
      <w:tabs>
        <w:tab w:val="right" w:pos="4176"/>
      </w:tabs>
      <w:ind w:left="568" w:hanging="284"/>
    </w:pPr>
    <w:rPr>
      <w:rFonts w:ascii="Garamond" w:hAnsi="Garamond"/>
    </w:rPr>
  </w:style>
  <w:style w:type="paragraph" w:customStyle="1" w:styleId="Byline">
    <w:name w:val="Byline"/>
    <w:rsid w:val="00A132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2A2"/>
    <w:pPr>
      <w:tabs>
        <w:tab w:val="clear" w:pos="3600"/>
        <w:tab w:val="clear" w:pos="3958"/>
      </w:tabs>
      <w:jc w:val="right"/>
    </w:pPr>
  </w:style>
  <w:style w:type="character" w:styleId="Emphasis">
    <w:name w:val="Emphasis"/>
    <w:qFormat/>
    <w:rsid w:val="00A132A2"/>
    <w:rPr>
      <w:i/>
    </w:rPr>
  </w:style>
  <w:style w:type="paragraph" w:styleId="Caption">
    <w:name w:val="caption"/>
    <w:basedOn w:val="BodyText"/>
    <w:next w:val="Normal"/>
    <w:qFormat/>
    <w:rsid w:val="00A132A2"/>
    <w:pPr>
      <w:framePr w:w="2268" w:hSpace="181" w:vSpace="181" w:wrap="around" w:vAnchor="text" w:hAnchor="page" w:x="1135" w:y="285" w:anchorLock="1"/>
    </w:pPr>
    <w:rPr>
      <w:i/>
    </w:rPr>
  </w:style>
  <w:style w:type="paragraph" w:customStyle="1" w:styleId="MiniTOCTitle">
    <w:name w:val="MiniTOCTitle"/>
    <w:basedOn w:val="Heading4"/>
    <w:rsid w:val="00A132A2"/>
    <w:pPr>
      <w:spacing w:before="240"/>
      <w:outlineLvl w:val="9"/>
    </w:pPr>
    <w:rPr>
      <w:noProof/>
      <w:sz w:val="24"/>
    </w:rPr>
  </w:style>
  <w:style w:type="paragraph" w:customStyle="1" w:styleId="MiniTOCItem">
    <w:name w:val="MiniTOCItem"/>
    <w:basedOn w:val="ListBullet"/>
    <w:rsid w:val="00A132A2"/>
    <w:pPr>
      <w:numPr>
        <w:numId w:val="0"/>
      </w:numPr>
      <w:tabs>
        <w:tab w:val="right" w:leader="dot" w:pos="6521"/>
      </w:tabs>
      <w:spacing w:before="0" w:after="0"/>
    </w:pPr>
  </w:style>
  <w:style w:type="paragraph" w:customStyle="1" w:styleId="TOFTitle">
    <w:name w:val="TOFTitle"/>
    <w:basedOn w:val="TOCTitle"/>
    <w:rsid w:val="00A132A2"/>
  </w:style>
  <w:style w:type="paragraph" w:styleId="TableofFigures">
    <w:name w:val="table of figures"/>
    <w:basedOn w:val="Normal"/>
    <w:next w:val="Normal"/>
    <w:semiHidden/>
    <w:rsid w:val="00A132A2"/>
    <w:pPr>
      <w:tabs>
        <w:tab w:val="right" w:leader="dot" w:pos="9072"/>
      </w:tabs>
      <w:ind w:left="970" w:hanging="403"/>
    </w:pPr>
    <w:rPr>
      <w:rFonts w:ascii="Times New Roman" w:hAnsi="Times New Roman"/>
      <w:b/>
    </w:rPr>
  </w:style>
  <w:style w:type="paragraph" w:styleId="ListNumber">
    <w:name w:val="List Number"/>
    <w:basedOn w:val="List"/>
    <w:rsid w:val="00A132A2"/>
    <w:pPr>
      <w:numPr>
        <w:numId w:val="11"/>
      </w:numPr>
    </w:pPr>
  </w:style>
  <w:style w:type="character" w:customStyle="1" w:styleId="WingdingSymbols">
    <w:name w:val="Wingding Symbols"/>
    <w:rsid w:val="00A132A2"/>
    <w:rPr>
      <w:rFonts w:ascii="Wingdings" w:hAnsi="Wingdings"/>
    </w:rPr>
  </w:style>
  <w:style w:type="paragraph" w:customStyle="1" w:styleId="TableHeading">
    <w:name w:val="Table Heading"/>
    <w:basedOn w:val="HeadingBase"/>
    <w:rsid w:val="00A132A2"/>
    <w:pPr>
      <w:keepLines/>
      <w:pBdr>
        <w:bottom w:val="single" w:sz="6" w:space="1" w:color="918585"/>
      </w:pBdr>
      <w:spacing w:before="240"/>
    </w:pPr>
  </w:style>
  <w:style w:type="character" w:customStyle="1" w:styleId="HotSpot">
    <w:name w:val="HotSpot"/>
    <w:rsid w:val="00A132A2"/>
    <w:rPr>
      <w:color w:val="0033CC"/>
      <w:u w:val="none"/>
    </w:rPr>
  </w:style>
  <w:style w:type="paragraph" w:customStyle="1" w:styleId="BodyTextRight">
    <w:name w:val="Body Text Right"/>
    <w:basedOn w:val="BodyText"/>
    <w:rsid w:val="00A132A2"/>
    <w:pPr>
      <w:spacing w:before="0" w:after="0"/>
      <w:jc w:val="right"/>
    </w:pPr>
  </w:style>
  <w:style w:type="paragraph" w:styleId="Index3">
    <w:name w:val="index 3"/>
    <w:basedOn w:val="ListNumber2"/>
    <w:next w:val="Normal"/>
    <w:semiHidden/>
    <w:rsid w:val="00A132A2"/>
    <w:pPr>
      <w:numPr>
        <w:numId w:val="0"/>
      </w:numPr>
      <w:tabs>
        <w:tab w:val="right" w:leader="dot" w:pos="4176"/>
      </w:tabs>
    </w:pPr>
  </w:style>
  <w:style w:type="paragraph" w:styleId="ListNumber2">
    <w:name w:val="List Number 2"/>
    <w:basedOn w:val="List2"/>
    <w:rsid w:val="00A132A2"/>
    <w:pPr>
      <w:numPr>
        <w:numId w:val="10"/>
      </w:numPr>
      <w:tabs>
        <w:tab w:val="clear" w:pos="1060"/>
      </w:tabs>
    </w:pPr>
  </w:style>
  <w:style w:type="paragraph" w:customStyle="1" w:styleId="MarginNote">
    <w:name w:val="Margin Note"/>
    <w:basedOn w:val="BodyText"/>
    <w:rsid w:val="00A132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2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132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32A2"/>
    <w:rPr>
      <w:sz w:val="32"/>
    </w:rPr>
  </w:style>
  <w:style w:type="paragraph" w:customStyle="1" w:styleId="HeadingProcedure">
    <w:name w:val="Heading Procedure"/>
    <w:basedOn w:val="HeadingBase"/>
    <w:next w:val="Normal"/>
    <w:rsid w:val="00A132A2"/>
    <w:pPr>
      <w:tabs>
        <w:tab w:val="left" w:pos="0"/>
      </w:tabs>
      <w:spacing w:before="120" w:after="60"/>
    </w:pPr>
    <w:rPr>
      <w:i/>
      <w:color w:val="918585"/>
      <w:sz w:val="22"/>
    </w:rPr>
  </w:style>
  <w:style w:type="paragraph" w:customStyle="1" w:styleId="TableBodyText">
    <w:name w:val="Table Body Text"/>
    <w:basedOn w:val="BodyText"/>
    <w:rsid w:val="00A132A2"/>
    <w:pPr>
      <w:spacing w:before="60" w:after="60"/>
    </w:pPr>
  </w:style>
  <w:style w:type="paragraph" w:styleId="ListContinue">
    <w:name w:val="List Continue"/>
    <w:basedOn w:val="List"/>
    <w:rsid w:val="00A132A2"/>
    <w:pPr>
      <w:ind w:firstLine="0"/>
    </w:pPr>
  </w:style>
  <w:style w:type="paragraph" w:customStyle="1" w:styleId="ListNote">
    <w:name w:val="List Note"/>
    <w:basedOn w:val="List"/>
    <w:rsid w:val="00A132A2"/>
    <w:pPr>
      <w:pBdr>
        <w:top w:val="single" w:sz="6" w:space="2" w:color="918585"/>
        <w:bottom w:val="single" w:sz="6" w:space="2" w:color="918585"/>
      </w:pBdr>
      <w:tabs>
        <w:tab w:val="left" w:pos="1021"/>
      </w:tabs>
      <w:ind w:firstLine="0"/>
    </w:pPr>
  </w:style>
  <w:style w:type="paragraph" w:customStyle="1" w:styleId="Warning">
    <w:name w:val="Warning"/>
    <w:basedOn w:val="BodyText"/>
    <w:rsid w:val="00A132A2"/>
    <w:pPr>
      <w:shd w:val="clear" w:color="auto" w:fill="D9D9D9"/>
      <w:tabs>
        <w:tab w:val="left" w:pos="992"/>
      </w:tabs>
      <w:ind w:left="119" w:right="119"/>
    </w:pPr>
    <w:rPr>
      <w:sz w:val="20"/>
    </w:rPr>
  </w:style>
  <w:style w:type="paragraph" w:customStyle="1" w:styleId="MarginIcons">
    <w:name w:val="Margin Icons"/>
    <w:basedOn w:val="BodyText"/>
    <w:rsid w:val="00A132A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132A2"/>
    <w:rPr>
      <w:rFonts w:ascii="Courier New" w:hAnsi="Courier New"/>
    </w:rPr>
  </w:style>
  <w:style w:type="paragraph" w:customStyle="1" w:styleId="NoteBullet">
    <w:name w:val="Note Bullet"/>
    <w:basedOn w:val="Note"/>
    <w:rsid w:val="00A132A2"/>
    <w:pPr>
      <w:tabs>
        <w:tab w:val="clear" w:pos="680"/>
      </w:tabs>
      <w:spacing w:before="60" w:after="60"/>
    </w:pPr>
  </w:style>
  <w:style w:type="paragraph" w:customStyle="1" w:styleId="SubHeading2">
    <w:name w:val="SubHeading2"/>
    <w:basedOn w:val="HeadingBase"/>
    <w:rsid w:val="00A132A2"/>
    <w:pPr>
      <w:spacing w:before="240" w:after="60"/>
    </w:pPr>
    <w:rPr>
      <w:sz w:val="20"/>
    </w:rPr>
  </w:style>
  <w:style w:type="paragraph" w:customStyle="1" w:styleId="SubHeading1">
    <w:name w:val="SubHeading1"/>
    <w:basedOn w:val="HeadingBase"/>
    <w:rsid w:val="00A132A2"/>
    <w:pPr>
      <w:spacing w:before="240" w:after="60"/>
    </w:pPr>
    <w:rPr>
      <w:color w:val="918585"/>
      <w:sz w:val="22"/>
    </w:rPr>
  </w:style>
  <w:style w:type="paragraph" w:customStyle="1" w:styleId="SideHeading">
    <w:name w:val="Side Heading"/>
    <w:basedOn w:val="HeadingBase"/>
    <w:rsid w:val="00A132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2A2"/>
    <w:pPr>
      <w:numPr>
        <w:numId w:val="12"/>
      </w:numPr>
    </w:pPr>
  </w:style>
  <w:style w:type="paragraph" w:styleId="PlainText">
    <w:name w:val="Plain Text"/>
    <w:basedOn w:val="Normal"/>
    <w:link w:val="PlainTextChar"/>
    <w:rsid w:val="00A132A2"/>
    <w:rPr>
      <w:sz w:val="20"/>
    </w:rPr>
  </w:style>
  <w:style w:type="character" w:customStyle="1" w:styleId="PlainTextChar">
    <w:name w:val="Plain Text Char"/>
    <w:basedOn w:val="DefaultParagraphFont"/>
    <w:link w:val="PlainText"/>
    <w:rsid w:val="00A132A2"/>
    <w:rPr>
      <w:rFonts w:ascii="Courier New" w:eastAsia="Times New Roman" w:hAnsi="Courier New" w:cs="Times New Roman"/>
      <w:sz w:val="20"/>
      <w:szCs w:val="20"/>
      <w:lang w:val="en-US" w:eastAsia="en-US"/>
    </w:rPr>
  </w:style>
  <w:style w:type="character" w:customStyle="1" w:styleId="MenuOption">
    <w:name w:val="Menu Option"/>
    <w:rsid w:val="00A132A2"/>
    <w:rPr>
      <w:b/>
      <w:smallCaps/>
    </w:rPr>
  </w:style>
  <w:style w:type="paragraph" w:customStyle="1" w:styleId="TableListNumber">
    <w:name w:val="Table List Number"/>
    <w:basedOn w:val="ListNumber"/>
    <w:rsid w:val="00A132A2"/>
    <w:pPr>
      <w:numPr>
        <w:numId w:val="0"/>
      </w:numPr>
    </w:pPr>
  </w:style>
  <w:style w:type="paragraph" w:styleId="TOC4">
    <w:name w:val="toc 4"/>
    <w:basedOn w:val="TOCBase"/>
    <w:next w:val="Normal"/>
    <w:semiHidden/>
    <w:rsid w:val="00A132A2"/>
    <w:pPr>
      <w:tabs>
        <w:tab w:val="right" w:leader="dot" w:pos="9071"/>
      </w:tabs>
      <w:ind w:left="1701"/>
    </w:pPr>
  </w:style>
  <w:style w:type="paragraph" w:customStyle="1" w:styleId="ListAlpha">
    <w:name w:val="List Alpha"/>
    <w:basedOn w:val="List"/>
    <w:rsid w:val="00A132A2"/>
    <w:pPr>
      <w:numPr>
        <w:numId w:val="9"/>
      </w:numPr>
    </w:pPr>
  </w:style>
  <w:style w:type="paragraph" w:customStyle="1" w:styleId="ListAlpha2">
    <w:name w:val="List Alpha 2"/>
    <w:basedOn w:val="List2"/>
    <w:rsid w:val="00A132A2"/>
    <w:pPr>
      <w:numPr>
        <w:numId w:val="8"/>
      </w:numPr>
    </w:pPr>
  </w:style>
  <w:style w:type="paragraph" w:styleId="List2">
    <w:name w:val="List 2"/>
    <w:basedOn w:val="BodyText"/>
    <w:rsid w:val="00A132A2"/>
    <w:pPr>
      <w:tabs>
        <w:tab w:val="left" w:pos="680"/>
      </w:tabs>
      <w:spacing w:before="60" w:after="60"/>
      <w:ind w:left="680" w:hanging="340"/>
    </w:pPr>
  </w:style>
  <w:style w:type="paragraph" w:styleId="List3">
    <w:name w:val="List 3"/>
    <w:basedOn w:val="BodyText"/>
    <w:rsid w:val="00A132A2"/>
    <w:pPr>
      <w:tabs>
        <w:tab w:val="left" w:pos="1021"/>
      </w:tabs>
      <w:spacing w:before="60" w:after="60"/>
      <w:ind w:left="1020" w:hanging="340"/>
    </w:pPr>
  </w:style>
  <w:style w:type="paragraph" w:styleId="List4">
    <w:name w:val="List 4"/>
    <w:basedOn w:val="BodyText"/>
    <w:rsid w:val="00A132A2"/>
    <w:pPr>
      <w:tabs>
        <w:tab w:val="left" w:pos="1361"/>
      </w:tabs>
      <w:spacing w:before="60" w:after="60"/>
      <w:ind w:left="1361" w:hanging="340"/>
    </w:pPr>
  </w:style>
  <w:style w:type="paragraph" w:styleId="List5">
    <w:name w:val="List 5"/>
    <w:basedOn w:val="BodyText"/>
    <w:rsid w:val="00A132A2"/>
    <w:pPr>
      <w:tabs>
        <w:tab w:val="left" w:pos="1701"/>
      </w:tabs>
      <w:spacing w:before="60" w:after="60"/>
      <w:ind w:left="1701" w:hanging="340"/>
    </w:pPr>
  </w:style>
  <w:style w:type="paragraph" w:styleId="ListBullet3">
    <w:name w:val="List Bullet 3"/>
    <w:basedOn w:val="List3"/>
    <w:rsid w:val="00A132A2"/>
    <w:pPr>
      <w:numPr>
        <w:numId w:val="15"/>
      </w:numPr>
      <w:tabs>
        <w:tab w:val="clear" w:pos="1021"/>
      </w:tabs>
      <w:ind w:left="1037" w:hanging="357"/>
    </w:pPr>
  </w:style>
  <w:style w:type="paragraph" w:styleId="ListBullet4">
    <w:name w:val="List Bullet 4"/>
    <w:basedOn w:val="List4"/>
    <w:rsid w:val="00A132A2"/>
    <w:pPr>
      <w:numPr>
        <w:numId w:val="3"/>
      </w:numPr>
    </w:pPr>
  </w:style>
  <w:style w:type="paragraph" w:styleId="ListBullet5">
    <w:name w:val="List Bullet 5"/>
    <w:basedOn w:val="List5"/>
    <w:rsid w:val="00A132A2"/>
    <w:pPr>
      <w:numPr>
        <w:numId w:val="4"/>
      </w:numPr>
    </w:pPr>
  </w:style>
  <w:style w:type="paragraph" w:styleId="ListContinue2">
    <w:name w:val="List Continue 2"/>
    <w:basedOn w:val="List2"/>
    <w:rsid w:val="00A132A2"/>
    <w:pPr>
      <w:ind w:firstLine="0"/>
    </w:pPr>
  </w:style>
  <w:style w:type="paragraph" w:styleId="ListContinue3">
    <w:name w:val="List Continue 3"/>
    <w:basedOn w:val="List3"/>
    <w:rsid w:val="00A132A2"/>
    <w:pPr>
      <w:ind w:left="1021" w:firstLine="0"/>
    </w:pPr>
  </w:style>
  <w:style w:type="paragraph" w:styleId="ListContinue4">
    <w:name w:val="List Continue 4"/>
    <w:basedOn w:val="List4"/>
    <w:rsid w:val="00A132A2"/>
    <w:pPr>
      <w:ind w:firstLine="0"/>
    </w:pPr>
  </w:style>
  <w:style w:type="paragraph" w:styleId="ListContinue5">
    <w:name w:val="List Continue 5"/>
    <w:basedOn w:val="List5"/>
    <w:rsid w:val="00A132A2"/>
    <w:pPr>
      <w:ind w:firstLine="0"/>
    </w:pPr>
  </w:style>
  <w:style w:type="paragraph" w:styleId="ListNumber3">
    <w:name w:val="List Number 3"/>
    <w:basedOn w:val="List3"/>
    <w:rsid w:val="00A132A2"/>
    <w:pPr>
      <w:numPr>
        <w:numId w:val="5"/>
      </w:numPr>
    </w:pPr>
  </w:style>
  <w:style w:type="paragraph" w:styleId="ListNumber4">
    <w:name w:val="List Number 4"/>
    <w:basedOn w:val="List4"/>
    <w:rsid w:val="00A132A2"/>
    <w:pPr>
      <w:numPr>
        <w:numId w:val="6"/>
      </w:numPr>
    </w:pPr>
  </w:style>
  <w:style w:type="paragraph" w:styleId="ListNumber5">
    <w:name w:val="List Number 5"/>
    <w:basedOn w:val="List5"/>
    <w:rsid w:val="00A132A2"/>
    <w:pPr>
      <w:numPr>
        <w:numId w:val="7"/>
      </w:numPr>
    </w:pPr>
  </w:style>
  <w:style w:type="paragraph" w:styleId="BlockText">
    <w:name w:val="Block Text"/>
    <w:basedOn w:val="Normal"/>
    <w:rsid w:val="00A132A2"/>
    <w:pPr>
      <w:spacing w:after="120"/>
      <w:ind w:left="1440" w:right="1440"/>
    </w:pPr>
  </w:style>
  <w:style w:type="character" w:customStyle="1" w:styleId="Subscript">
    <w:name w:val="Subscript"/>
    <w:rsid w:val="00A132A2"/>
    <w:rPr>
      <w:sz w:val="16"/>
      <w:vertAlign w:val="subscript"/>
    </w:rPr>
  </w:style>
  <w:style w:type="character" w:customStyle="1" w:styleId="Superscript">
    <w:name w:val="Superscript"/>
    <w:rsid w:val="00A132A2"/>
    <w:rPr>
      <w:sz w:val="16"/>
      <w:vertAlign w:val="superscript"/>
    </w:rPr>
  </w:style>
  <w:style w:type="character" w:customStyle="1" w:styleId="Symbols">
    <w:name w:val="Symbols"/>
    <w:rsid w:val="00A132A2"/>
    <w:rPr>
      <w:rFonts w:ascii="Symbol" w:hAnsi="Symbol"/>
    </w:rPr>
  </w:style>
  <w:style w:type="character" w:customStyle="1" w:styleId="MenuOptions">
    <w:name w:val="Menu Options"/>
    <w:rsid w:val="00A132A2"/>
    <w:rPr>
      <w:rFonts w:ascii="Arial Narrow" w:hAnsi="Arial Narrow"/>
      <w:smallCaps/>
    </w:rPr>
  </w:style>
  <w:style w:type="character" w:customStyle="1" w:styleId="Buttons">
    <w:name w:val="Buttons"/>
    <w:rsid w:val="00A132A2"/>
    <w:rPr>
      <w:b/>
    </w:rPr>
  </w:style>
  <w:style w:type="character" w:customStyle="1" w:styleId="Underlined">
    <w:name w:val="Underlined"/>
    <w:rsid w:val="00A132A2"/>
    <w:rPr>
      <w:u w:val="single"/>
    </w:rPr>
  </w:style>
  <w:style w:type="paragraph" w:customStyle="1" w:styleId="TableBodyTextRight">
    <w:name w:val="Table Body Text Right"/>
    <w:basedOn w:val="TableBodyText"/>
    <w:rsid w:val="00A132A2"/>
    <w:pPr>
      <w:widowControl w:val="0"/>
      <w:autoSpaceDE w:val="0"/>
      <w:autoSpaceDN w:val="0"/>
      <w:adjustRightInd w:val="0"/>
      <w:jc w:val="right"/>
    </w:pPr>
    <w:rPr>
      <w:rFonts w:cs="Arial"/>
      <w:szCs w:val="18"/>
    </w:rPr>
  </w:style>
  <w:style w:type="paragraph" w:customStyle="1" w:styleId="CopyrightText">
    <w:name w:val="Copyright Text"/>
    <w:basedOn w:val="BodyText"/>
    <w:rsid w:val="00A132A2"/>
    <w:rPr>
      <w:sz w:val="18"/>
    </w:rPr>
  </w:style>
  <w:style w:type="paragraph" w:customStyle="1" w:styleId="BodySmallRight">
    <w:name w:val="Body Small Right"/>
    <w:basedOn w:val="BodyTextRight"/>
    <w:rsid w:val="00A132A2"/>
    <w:rPr>
      <w:sz w:val="18"/>
      <w:szCs w:val="18"/>
    </w:rPr>
  </w:style>
  <w:style w:type="paragraph" w:customStyle="1" w:styleId="MarginEdition">
    <w:name w:val="Margin Edition"/>
    <w:basedOn w:val="MarginNote"/>
    <w:rsid w:val="00A132A2"/>
    <w:pPr>
      <w:spacing w:before="0" w:after="0"/>
    </w:pPr>
    <w:rPr>
      <w:rFonts w:ascii="Times New Roman" w:hAnsi="Times New Roman"/>
      <w:color w:val="999999"/>
    </w:rPr>
  </w:style>
  <w:style w:type="paragraph" w:customStyle="1" w:styleId="Spacer">
    <w:name w:val="Spacer"/>
    <w:basedOn w:val="Normal"/>
    <w:rsid w:val="00A132A2"/>
    <w:rPr>
      <w:sz w:val="2"/>
      <w:szCs w:val="2"/>
    </w:rPr>
  </w:style>
  <w:style w:type="character" w:customStyle="1" w:styleId="Small">
    <w:name w:val="Small"/>
    <w:rsid w:val="00A132A2"/>
    <w:rPr>
      <w:sz w:val="16"/>
    </w:rPr>
  </w:style>
  <w:style w:type="paragraph" w:customStyle="1" w:styleId="WideTable">
    <w:name w:val="Wide Table"/>
    <w:basedOn w:val="Normal"/>
    <w:rsid w:val="00A132A2"/>
    <w:pPr>
      <w:ind w:left="-1418"/>
    </w:pPr>
    <w:rPr>
      <w:sz w:val="2"/>
      <w:szCs w:val="2"/>
    </w:rPr>
  </w:style>
  <w:style w:type="character" w:styleId="PageNumber">
    <w:name w:val="page number"/>
    <w:rsid w:val="00A132A2"/>
  </w:style>
  <w:style w:type="paragraph" w:styleId="Quote">
    <w:name w:val="Quote"/>
    <w:basedOn w:val="Heading1"/>
    <w:link w:val="QuoteChar"/>
    <w:qFormat/>
    <w:rsid w:val="00A132A2"/>
    <w:rPr>
      <w:b w:val="0"/>
      <w:sz w:val="72"/>
      <w:szCs w:val="72"/>
      <w:lang w:val="en-NZ"/>
    </w:rPr>
  </w:style>
  <w:style w:type="character" w:customStyle="1" w:styleId="QuoteChar">
    <w:name w:val="Quote Char"/>
    <w:link w:val="Quote"/>
    <w:rsid w:val="00A132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2A2"/>
    <w:pPr>
      <w:pageBreakBefore/>
    </w:pPr>
  </w:style>
  <w:style w:type="paragraph" w:customStyle="1" w:styleId="Border">
    <w:name w:val="Border"/>
    <w:basedOn w:val="Normal"/>
    <w:qFormat/>
    <w:rsid w:val="00A132A2"/>
    <w:pPr>
      <w:pBdr>
        <w:top w:val="single" w:sz="18" w:space="1" w:color="auto"/>
      </w:pBdr>
    </w:pPr>
    <w:rPr>
      <w:rFonts w:ascii="Times New Roman" w:hAnsi="Times New Roman"/>
      <w:color w:val="FFFFFF"/>
      <w:sz w:val="2"/>
    </w:rPr>
  </w:style>
  <w:style w:type="character" w:styleId="IntenseEmphasis">
    <w:name w:val="Intense Emphasis"/>
    <w:uiPriority w:val="21"/>
    <w:qFormat/>
    <w:rsid w:val="00A132A2"/>
    <w:rPr>
      <w:b/>
      <w:bCs/>
      <w:i/>
      <w:iCs/>
      <w:color w:val="auto"/>
    </w:rPr>
  </w:style>
  <w:style w:type="paragraph" w:styleId="IntenseQuote">
    <w:name w:val="Intense Quote"/>
    <w:basedOn w:val="Normal"/>
    <w:next w:val="Normal"/>
    <w:link w:val="IntenseQuoteChar"/>
    <w:uiPriority w:val="30"/>
    <w:qFormat/>
    <w:rsid w:val="00A132A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132A2"/>
    <w:rPr>
      <w:rFonts w:ascii="Courier New" w:eastAsia="Times New Roman" w:hAnsi="Courier New" w:cs="Times New Roman"/>
      <w:b/>
      <w:bCs/>
      <w:i/>
      <w:iCs/>
      <w:szCs w:val="20"/>
      <w:lang w:val="en-US" w:eastAsia="en-US"/>
    </w:rPr>
  </w:style>
  <w:style w:type="character" w:styleId="SubtleReference">
    <w:name w:val="Subtle Reference"/>
    <w:uiPriority w:val="31"/>
    <w:qFormat/>
    <w:rsid w:val="00A132A2"/>
    <w:rPr>
      <w:smallCaps/>
      <w:color w:val="auto"/>
      <w:u w:val="single"/>
    </w:rPr>
  </w:style>
  <w:style w:type="character" w:styleId="IntenseReference">
    <w:name w:val="Intense Reference"/>
    <w:uiPriority w:val="32"/>
    <w:qFormat/>
    <w:rsid w:val="00A132A2"/>
    <w:rPr>
      <w:b/>
      <w:bCs/>
      <w:smallCaps/>
      <w:color w:val="auto"/>
      <w:spacing w:val="5"/>
      <w:u w:val="single"/>
    </w:rPr>
  </w:style>
  <w:style w:type="paragraph" w:customStyle="1" w:styleId="2ColumnHeading">
    <w:name w:val="2Column Heading"/>
    <w:basedOn w:val="BodyText"/>
    <w:qFormat/>
    <w:rsid w:val="00A132A2"/>
    <w:pPr>
      <w:spacing w:after="60"/>
      <w:ind w:left="-2268"/>
    </w:pPr>
    <w:rPr>
      <w:b/>
    </w:rPr>
  </w:style>
  <w:style w:type="paragraph" w:customStyle="1" w:styleId="Heading1TOC">
    <w:name w:val="Heading1 TOC"/>
    <w:basedOn w:val="Normal"/>
    <w:qFormat/>
    <w:rsid w:val="00A132A2"/>
    <w:pPr>
      <w:spacing w:before="240" w:after="120"/>
    </w:pPr>
    <w:rPr>
      <w:rFonts w:ascii="Times New Roman" w:hAnsi="Times New Roman"/>
      <w:b/>
      <w:sz w:val="32"/>
    </w:rPr>
  </w:style>
  <w:style w:type="paragraph" w:customStyle="1" w:styleId="Heading2TOC">
    <w:name w:val="Heading2 TOC"/>
    <w:basedOn w:val="Normal"/>
    <w:qFormat/>
    <w:rsid w:val="00A132A2"/>
    <w:pPr>
      <w:spacing w:before="240" w:after="60"/>
    </w:pPr>
    <w:rPr>
      <w:rFonts w:ascii="Times New Roman" w:hAnsi="Times New Roman"/>
      <w:b/>
      <w:sz w:val="28"/>
    </w:rPr>
  </w:style>
  <w:style w:type="character" w:customStyle="1" w:styleId="Underline">
    <w:name w:val="Underline"/>
    <w:qFormat/>
    <w:rsid w:val="00A132A2"/>
    <w:rPr>
      <w:u w:val="single"/>
    </w:rPr>
  </w:style>
  <w:style w:type="character" w:customStyle="1" w:styleId="BoldandItalics">
    <w:name w:val="Bold and Italics"/>
    <w:qFormat/>
    <w:rsid w:val="00A132A2"/>
    <w:rPr>
      <w:b/>
      <w:i/>
      <w:u w:val="none"/>
    </w:rPr>
  </w:style>
  <w:style w:type="paragraph" w:styleId="BalloonText">
    <w:name w:val="Balloon Text"/>
    <w:basedOn w:val="Normal"/>
    <w:link w:val="BalloonTextChar"/>
    <w:rsid w:val="00A132A2"/>
    <w:rPr>
      <w:rFonts w:ascii="Tahoma" w:hAnsi="Tahoma" w:cs="Tahoma"/>
      <w:sz w:val="16"/>
      <w:szCs w:val="16"/>
    </w:rPr>
  </w:style>
  <w:style w:type="character" w:customStyle="1" w:styleId="BalloonTextChar">
    <w:name w:val="Balloon Text Char"/>
    <w:link w:val="BalloonText"/>
    <w:rsid w:val="00A132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32A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132A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2648</Words>
  <Characters>16239</Characters>
  <Application>Microsoft Office Word</Application>
  <DocSecurity>0</DocSecurity>
  <Lines>823</Lines>
  <Paragraphs>315</Paragraphs>
  <ScaleCrop>false</ScaleCrop>
  <Company>Author-it Software Corporation Ltd.</Company>
  <LinksUpToDate>false</LinksUpToDate>
  <CharactersWithSpaces>18618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UEGNSG119A Manage workplace risk in a Gas Industry facility</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2012-05-26T22:02:00Z</dcterms:created>
  <dcterms:modified xsi:type="dcterms:W3CDTF">2012-05-26T22:02:00Z</dcterms:modified>
</cp:coreProperties>
</file>