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6F8" w:rsidP="00C176F8">
      <w:pPr>
        <w:pStyle w:val="Title"/>
      </w:pPr>
      <w:bookmarkStart w:id="0" w:name="_GoBack"/>
      <w:bookmarkEnd w:id="0"/>
      <w:r>
        <w:fldChar w:fldCharType="begin"/>
      </w:r>
      <w:r>
        <w:instrText xml:space="preserve"> TITLE   \* MERGEFORMAT </w:instrText>
      </w:r>
      <w:r>
        <w:fldChar w:fldCharType="separate"/>
      </w:r>
      <w:r>
        <w:t>UEGNSG114A Coordinate and monitor implementation of a risk management plan for a utilities industry facility</w:t>
      </w:r>
      <w:r>
        <w:fldChar w:fldCharType="end"/>
      </w:r>
    </w:p>
    <w:p w:rsidR="00C176F8" w:rsidP="00C176F8">
      <w:pPr>
        <w:pStyle w:val="Version"/>
        <w:sectPr w:rsidSect="00A96E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6E16" w:rsidP="00A96E16">
      <w:pPr>
        <w:pStyle w:val="SuperHeading"/>
      </w:pPr>
      <w:r w:rsidRPr="00A96E16">
        <w:t>UEGNSG114A Coordinate and monitor implementation of a risk management plan for a utilities industry facility</w:t>
      </w:r>
    </w:p>
    <w:p w:rsidR="00000000" w:rsidRPr="00A96E16" w:rsidP="00A96E16">
      <w:pPr>
        <w:pStyle w:val="Heading1"/>
      </w:pPr>
      <w:bookmarkStart w:id="1" w:name="O_275086"/>
      <w:bookmarkEnd w:id="1"/>
      <w:r w:rsidRPr="00A96E16">
        <w:t>Modification History</w:t>
      </w:r>
    </w:p>
    <w:p w:rsidR="00000000" w:rsidRPr="00A96E16" w:rsidP="00A96E16">
      <w:pPr>
        <w:pStyle w:val="BodyText"/>
      </w:pPr>
      <w:r w:rsidRPr="00A96E16">
        <w:t>Not Applicable</w:t>
      </w:r>
    </w:p>
    <w:p w:rsidR="00000000" w:rsidRPr="00A96E16" w:rsidP="00A96E16">
      <w:pPr>
        <w:pStyle w:val="AllowPageBreak"/>
      </w:pPr>
    </w:p>
    <w:p w:rsidR="00000000" w:rsidRPr="00A96E16" w:rsidP="00A96E16">
      <w:pPr>
        <w:pStyle w:val="Heading1"/>
      </w:pPr>
      <w:bookmarkStart w:id="2" w:name="O_229340"/>
      <w:bookmarkEnd w:id="2"/>
      <w:r w:rsidRPr="00A96E16">
        <w:t>Unit Descriptor</w:t>
      </w:r>
    </w:p>
    <w:tbl>
      <w:tblPr>
        <w:tblW w:w="0" w:type="auto"/>
        <w:tblLayout w:type="fixed"/>
        <w:tblCellMar>
          <w:left w:w="62" w:type="dxa"/>
          <w:right w:w="62" w:type="dxa"/>
        </w:tblCellMar>
        <w:tblLook w:val="0000"/>
      </w:tblPr>
      <w:tblGrid>
        <w:gridCol w:w="2700"/>
        <w:gridCol w:w="5760"/>
      </w:tblGrid>
      <w:tr w:rsidTr="00C17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1</w:t>
            </w:r>
            <w:r w:rsidRPr="00A96E16">
              <w:t>)</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This Unit covers the coordination and monitoring of the implementation of the company risk management plan in the workplace. This competency standard refers to Risk Management Plans; Persons; Control Measures; Relevant Persons; Legislative Requirements; Em</w:t>
            </w:r>
            <w:r w:rsidRPr="00A96E16">
              <w:t>ergency Exercises; Emergency Appliances; Safety Devices and Relevant Documentation.</w:t>
            </w:r>
          </w:p>
        </w:tc>
      </w:tr>
    </w:tbl>
    <w:p w:rsidR="00C176F8" w:rsidP="00A96E16">
      <w:pPr>
        <w:pStyle w:val="BodyText"/>
      </w:pPr>
    </w:p>
    <w:p w:rsidR="00C176F8" w:rsidP="00A96E16">
      <w:pPr>
        <w:pStyle w:val="BodyText"/>
      </w:pPr>
    </w:p>
    <w:p w:rsidR="00000000" w:rsidRPr="00A96E16" w:rsidP="00A96E16">
      <w:pPr>
        <w:pStyle w:val="Heading1"/>
      </w:pPr>
      <w:bookmarkStart w:id="3" w:name="O_229343"/>
      <w:bookmarkEnd w:id="3"/>
      <w:r w:rsidRPr="00A96E16">
        <w:t>Application of the Unit</w:t>
      </w:r>
    </w:p>
    <w:tbl>
      <w:tblPr>
        <w:tblW w:w="0" w:type="auto"/>
        <w:tblLayout w:type="fixed"/>
        <w:tblCellMar>
          <w:left w:w="62" w:type="dxa"/>
          <w:right w:w="62" w:type="dxa"/>
        </w:tblCellMar>
        <w:tblLook w:val="0000"/>
      </w:tblPr>
      <w:tblGrid>
        <w:gridCol w:w="2700"/>
        <w:gridCol w:w="5760"/>
      </w:tblGrid>
      <w:tr w:rsidTr="00C17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3</w:t>
            </w:r>
            <w:r w:rsidRPr="00A96E16">
              <w:t xml:space="preserve">) </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This competency standard shall apply to any basic and safe work site where Gas Industry operations</w:t>
            </w:r>
            <w:r w:rsidRPr="00A96E16">
              <w:t xml:space="preserve"> occur. It could also apply, where applicable to other workplaces in the electricity supply industry (transmission and distribution and generation), the electrotechnology industry and the water industry, subject to all Occupational Health and Safety and du</w:t>
            </w:r>
            <w:r w:rsidRPr="00A96E16">
              <w:t>ty of care requirements being met for the workplace.</w:t>
            </w:r>
          </w:p>
        </w:tc>
      </w:tr>
    </w:tbl>
    <w:p w:rsidR="00C176F8" w:rsidP="00A96E16">
      <w:pPr>
        <w:pStyle w:val="BodyText"/>
      </w:pPr>
    </w:p>
    <w:p w:rsidR="00C176F8" w:rsidP="00A96E16">
      <w:pPr>
        <w:pStyle w:val="BodyText"/>
      </w:pPr>
    </w:p>
    <w:p w:rsidR="00000000" w:rsidRPr="00A96E16" w:rsidP="00A96E16">
      <w:pPr>
        <w:pStyle w:val="Heading1"/>
      </w:pPr>
      <w:bookmarkStart w:id="4" w:name="O_229344"/>
      <w:bookmarkEnd w:id="4"/>
      <w:r w:rsidRPr="00A96E16">
        <w:t>Licensing/Regulatory Information</w:t>
      </w:r>
    </w:p>
    <w:tbl>
      <w:tblPr>
        <w:tblW w:w="0" w:type="auto"/>
        <w:tblLayout w:type="fixed"/>
        <w:tblCellMar>
          <w:left w:w="62" w:type="dxa"/>
          <w:right w:w="62" w:type="dxa"/>
        </w:tblCellMar>
        <w:tblLook w:val="0000"/>
      </w:tblPr>
      <w:tblGrid>
        <w:gridCol w:w="2700"/>
        <w:gridCol w:w="5760"/>
      </w:tblGrid>
      <w:tr w:rsidTr="00C17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3</w:t>
            </w:r>
            <w:r w:rsidRPr="00A96E16">
              <w:t>.</w:t>
            </w:r>
            <w:r w:rsidRPr="00A96E16">
              <w:rPr>
                <w:rStyle w:val="SpecialBold"/>
              </w:rPr>
              <w:t>1</w:t>
            </w:r>
            <w:r w:rsidRPr="00A96E16">
              <w:t xml:space="preserve">) </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 xml:space="preserve">The skills and knowledge described in this unit are not subject to licence regulation other than those directly related to Occupational Health and Safety, gas/electricity/water industry safety and compliance, </w:t>
            </w:r>
            <w:r w:rsidRPr="00A96E16">
              <w:t>industrial relations, environmental protection,</w:t>
            </w:r>
            <w:r w:rsidRPr="00A96E16">
              <w:t xml:space="preserve"> telecommunications, anti discrimination and training. Commonwealth, State/Territory or Local Government legislation and regulations may exist that limit the age at which a person can operate certain equipment. </w:t>
            </w:r>
          </w:p>
        </w:tc>
      </w:tr>
    </w:tbl>
    <w:p w:rsidR="00C176F8" w:rsidP="00A96E16">
      <w:pPr>
        <w:pStyle w:val="BodyText"/>
      </w:pPr>
    </w:p>
    <w:p w:rsidR="00C176F8" w:rsidP="00A96E16">
      <w:pPr>
        <w:pStyle w:val="BodyText"/>
      </w:pPr>
    </w:p>
    <w:p w:rsidR="00000000" w:rsidRPr="00A96E16" w:rsidP="00A96E16">
      <w:pPr>
        <w:pStyle w:val="Heading1"/>
      </w:pPr>
      <w:bookmarkStart w:id="5" w:name="O_229341"/>
      <w:bookmarkEnd w:id="5"/>
      <w:r w:rsidRPr="00A96E16">
        <w:t>Pre-Requisites</w:t>
      </w:r>
    </w:p>
    <w:tbl>
      <w:tblPr>
        <w:tblW w:w="0" w:type="auto"/>
        <w:tblLayout w:type="fixed"/>
        <w:tblCellMar>
          <w:left w:w="62" w:type="dxa"/>
          <w:right w:w="62" w:type="dxa"/>
        </w:tblCellMar>
        <w:tblLook w:val="0000"/>
      </w:tblPr>
      <w:tblGrid>
        <w:gridCol w:w="2700"/>
        <w:gridCol w:w="1800"/>
        <w:gridCol w:w="3960"/>
      </w:tblGrid>
      <w:tr w:rsidTr="00C17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Prerequis</w:t>
            </w:r>
            <w:r w:rsidRPr="00A96E16">
              <w:rPr>
                <w:rStyle w:val="SpecialBold"/>
              </w:rPr>
              <w:t>ite Unit</w:t>
            </w:r>
            <w:r w:rsidRPr="00A96E16">
              <w:t>(</w:t>
            </w:r>
            <w:r w:rsidRPr="00A96E16">
              <w:rPr>
                <w:rStyle w:val="SpecialBold"/>
              </w:rPr>
              <w:t>s</w:t>
            </w:r>
            <w:r w:rsidRPr="00A96E16">
              <w:t>)</w:t>
            </w:r>
          </w:p>
        </w:tc>
        <w:tc>
          <w:tcPr>
            <w:tcW w:w="5760" w:type="dxa"/>
            <w:gridSpan w:val="2"/>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2</w:t>
            </w:r>
            <w:r w:rsidRPr="00A96E16">
              <w:t xml:space="preserve">) </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2</w:t>
            </w:r>
            <w:r w:rsidRPr="00A96E16">
              <w:t>.</w:t>
            </w:r>
            <w:r w:rsidRPr="00A96E16">
              <w:rPr>
                <w:rStyle w:val="SpecialBold"/>
              </w:rPr>
              <w:t>1</w:t>
            </w:r>
            <w:r w:rsidRPr="00A96E16">
              <w:t xml:space="preserve">) </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Granting of competency in this unit shall be made only after competency in the following unit(s) has/have been confirmed:</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Nil</w:t>
            </w:r>
          </w:p>
        </w:tc>
        <w:tc>
          <w:tcPr>
            <w:tcW w:w="3960" w:type="dxa"/>
            <w:tcBorders>
              <w:top w:val="nil"/>
              <w:left w:val="nil"/>
              <w:bottom w:val="nil"/>
              <w:right w:val="nil"/>
            </w:tcBorders>
            <w:tcMar>
              <w:top w:w="0" w:type="dxa"/>
              <w:left w:w="62" w:type="dxa"/>
              <w:bottom w:w="0" w:type="dxa"/>
              <w:right w:w="62" w:type="dxa"/>
            </w:tcMar>
          </w:tcPr>
          <w:p w:rsidR="00000000" w:rsidRPr="00A96E16" w:rsidP="00A96E16">
            <w:pPr>
              <w:pStyle w:val="BodyText"/>
            </w:pPr>
          </w:p>
        </w:tc>
      </w:tr>
    </w:tbl>
    <w:p w:rsidR="00C176F8" w:rsidP="00A96E16">
      <w:pPr>
        <w:pStyle w:val="BodyText"/>
      </w:pPr>
    </w:p>
    <w:p w:rsidR="00C176F8" w:rsidP="00A96E16">
      <w:pPr>
        <w:pStyle w:val="BodyText"/>
      </w:pPr>
    </w:p>
    <w:p w:rsidR="00000000" w:rsidRPr="00A96E16" w:rsidP="00A96E16">
      <w:pPr>
        <w:pStyle w:val="Heading1"/>
      </w:pPr>
      <w:bookmarkStart w:id="6" w:name="O_285335"/>
      <w:bookmarkEnd w:id="6"/>
      <w:r w:rsidRPr="00A96E16">
        <w:t>Employability Skills Information</w:t>
      </w:r>
    </w:p>
    <w:p w:rsidR="00000000" w:rsidRPr="00A96E16" w:rsidP="00A96E16">
      <w:pPr>
        <w:pStyle w:val="BodyText"/>
      </w:pPr>
      <w:r w:rsidRPr="00A96E16">
        <w:t>Refer to the Evidence Guide</w:t>
      </w:r>
    </w:p>
    <w:p w:rsidR="00000000" w:rsidRPr="00A96E16" w:rsidP="00A96E16">
      <w:pPr>
        <w:pStyle w:val="AllowPageBreak"/>
      </w:pPr>
    </w:p>
    <w:p w:rsidR="00000000" w:rsidRPr="00A96E16" w:rsidP="00A96E16">
      <w:pPr>
        <w:pStyle w:val="Heading1"/>
      </w:pPr>
      <w:bookmarkStart w:id="7" w:name="O_293132"/>
      <w:bookmarkEnd w:id="7"/>
      <w:r w:rsidRPr="00A96E16">
        <w:t>Elements and Performance Criteria Pre-Content</w:t>
      </w:r>
    </w:p>
    <w:tbl>
      <w:tblPr>
        <w:tblW w:w="0" w:type="auto"/>
        <w:tblLayout w:type="fixed"/>
        <w:tblCellMar>
          <w:left w:w="62" w:type="dxa"/>
          <w:right w:w="62" w:type="dxa"/>
        </w:tblCellMar>
        <w:tblLook w:val="0000"/>
      </w:tblPr>
      <w:tblGrid>
        <w:gridCol w:w="2700"/>
        <w:gridCol w:w="5760"/>
      </w:tblGrid>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5</w:t>
            </w:r>
            <w:r w:rsidRPr="00A96E1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Performance Criteria describe the required performance needed to demonstrate achievement of the element. Assessment of p</w:t>
            </w:r>
            <w:r w:rsidRPr="00A96E16">
              <w:t>erformance is to be consistent with the evidence guide.</w:t>
            </w:r>
          </w:p>
        </w:tc>
      </w:tr>
    </w:tbl>
    <w:p w:rsidR="00000000" w:rsidRPr="00A96E16" w:rsidP="00A96E16">
      <w:pPr>
        <w:pStyle w:val="BodyText"/>
      </w:pPr>
    </w:p>
    <w:p w:rsidR="00000000" w:rsidRPr="00A96E16" w:rsidP="00A96E16">
      <w:pPr>
        <w:pStyle w:val="AllowPageBreak"/>
      </w:pPr>
    </w:p>
    <w:p w:rsidR="00000000" w:rsidRPr="00A96E16" w:rsidP="00A96E16">
      <w:pPr>
        <w:pStyle w:val="Heading1"/>
      </w:pPr>
      <w:bookmarkStart w:id="8" w:name="O_239800"/>
      <w:bookmarkEnd w:id="8"/>
      <w:r w:rsidRPr="00A96E1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176F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PERFORMANCE CRITERIA</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w:t>
            </w:r>
          </w:p>
        </w:tc>
        <w:tc>
          <w:tcPr>
            <w:tcW w:w="2296" w:type="dxa"/>
            <w:vMerge w:val="restart"/>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Plan to implement risk management plan</w:t>
            </w: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1.1</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OHS principles and practices and environmental and sustainable energy procedures which may influence the systems are reviewed and determined</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1.2</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Purpose of the implementation of a risk management plan is established after data is analysed and expected o</w:t>
            </w:r>
            <w:r w:rsidRPr="00A96E16">
              <w:t>utcomes of the work are confirmed with the appropriate persons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1.3</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Organisational established procedures on policies and specifications for the implementation of a risk management plan are obtained or established with the appropriate persons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1.4</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Work roles and tasks are allocated according to requirements and individual's competencies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1.5</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Work is prioritised and sequenced for the most effective outcome, completed within an acceptable timeframe to a quality standard and in accordance with establ</w:t>
            </w:r>
            <w:r w:rsidRPr="00A96E16">
              <w:t>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1.6</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Liaison and communication issues with authorised persons are resolved and activities coordinated to carry out work</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1.7</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Appropriate risk management plan and legislative requirements are identified to determine requirements for the workplace</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1.8</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Hazards are identified, OHS risks assessed and control measures are prioritised, implemented and monitored including emergency e</w:t>
            </w:r>
            <w:r w:rsidRPr="00A96E16">
              <w:t>xits kept clear according to established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1.9</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Assessed risks are rated and priorities allocated according to risk management plan</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1.10</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Control measures are identified and implemented to suit the relevant workplace conditions according to risk management plan</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w:t>
            </w:r>
          </w:p>
        </w:tc>
        <w:tc>
          <w:tcPr>
            <w:tcW w:w="2296" w:type="dxa"/>
            <w:vMerge w:val="restart"/>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Implement risk management plan</w:t>
            </w: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2.1</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Decisions regarding the implementation of the risk management plan are made on the basis of sa</w:t>
            </w:r>
            <w:r w:rsidRPr="00A96E16">
              <w:t>fety and effective outcomes according to requirements and established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2.2</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 xml:space="preserve">Technical advice is given in relation to hazards, assessed risks and control measures so that monitoring can be undertaken and appropriate authorities consulted, where </w:t>
            </w:r>
            <w:r w:rsidRPr="00A96E16">
              <w:t>necessary, in accordance with requirements and established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2.3</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 xml:space="preserve">Essential Knowledge and Associated Skills are applied to analyse specific data and compare it with compliance specifications to ensure completion </w:t>
            </w:r>
            <w:r w:rsidRPr="00A96E16">
              <w:t>of the project within an agreed timeframe according to requirements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2.4</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Testing of the risk management plan is undertaken according to requirements and established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2.5</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Work teams are coordinated to ensure that planned goals are met accordi</w:t>
            </w:r>
            <w:r w:rsidRPr="00A96E16">
              <w:t>ng to the risk management plan</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2.6</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Contingency plans for critical incidents are invoked in accordance with requirements where critical incidents of an abnormal nature are experienced</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2.7</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Strategic plans are developed incorporating organisation initiatives as per established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2.8</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Persons selected are trained for emergency exercises to increase response times and knowledge of hazards and control measures according to Risk Manage</w:t>
            </w:r>
            <w:r w:rsidRPr="00A96E16">
              <w:t>ment Plan</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2.9</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Emergency exercises are coordinated and monitored according to the risk management plan</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3</w:t>
            </w:r>
          </w:p>
        </w:tc>
        <w:tc>
          <w:tcPr>
            <w:tcW w:w="2296" w:type="dxa"/>
            <w:vMerge w:val="restart"/>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Review risk management plan</w:t>
            </w: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3.1</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Final evaluation of the risk management plan is undertaken to ensure it complies with all requirements and includes all specifications and documentations needed to complete the project</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3.2</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Appropriate persons are notified of completion and reports and c</w:t>
            </w:r>
            <w:r w:rsidRPr="00A96E16">
              <w:t>ompletion documents are finalised</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3.3</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Reports and completion documents are submitted to relevant persons for approval and where applicable, statutory or regulatory approval</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3.4</w:t>
            </w:r>
          </w:p>
        </w:tc>
        <w:tc>
          <w:tcPr>
            <w:tcW w:w="48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Approved copies of the risk management plan are issued and records are updated in accordance with established procedures</w:t>
            </w:r>
          </w:p>
        </w:tc>
      </w:tr>
      <w:tr w:rsidTr="00C176F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3.5</w:t>
            </w:r>
          </w:p>
        </w:tc>
        <w:tc>
          <w:tcPr>
            <w:tcW w:w="48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The risk management plan and associated activities are reviewed and assessed for relevance and quality</w:t>
            </w:r>
          </w:p>
        </w:tc>
      </w:tr>
    </w:tbl>
    <w:p w:rsidR="00C176F8" w:rsidP="00A96E16">
      <w:pPr>
        <w:pStyle w:val="BodyText"/>
      </w:pPr>
    </w:p>
    <w:p w:rsidR="00C176F8" w:rsidP="00A96E16">
      <w:pPr>
        <w:pStyle w:val="BodyText"/>
      </w:pPr>
    </w:p>
    <w:p w:rsidR="00000000" w:rsidRPr="00A96E16" w:rsidP="00A96E16">
      <w:pPr>
        <w:pStyle w:val="Heading1"/>
      </w:pPr>
      <w:bookmarkStart w:id="9" w:name="O_263591"/>
      <w:bookmarkEnd w:id="9"/>
      <w:r w:rsidRPr="00A96E16">
        <w:t>Requ</w:t>
      </w:r>
      <w:r w:rsidRPr="00A96E16">
        <w:t>ired Skills and Knowledge</w:t>
      </w:r>
    </w:p>
    <w:tbl>
      <w:tblPr>
        <w:tblW w:w="0" w:type="auto"/>
        <w:tblLayout w:type="fixed"/>
        <w:tblCellMar>
          <w:left w:w="62" w:type="dxa"/>
          <w:right w:w="62" w:type="dxa"/>
        </w:tblCellMar>
        <w:tblLook w:val="0000"/>
      </w:tblPr>
      <w:tblGrid>
        <w:gridCol w:w="2700"/>
        <w:gridCol w:w="1080"/>
        <w:gridCol w:w="4680"/>
      </w:tblGrid>
      <w:tr w:rsidTr="00C176F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REQUIRED SKILLS AND KNOWLEDGE</w:t>
            </w:r>
          </w:p>
        </w:tc>
      </w:tr>
      <w:tr w:rsidTr="00C176F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6</w:t>
            </w:r>
            <w:r w:rsidRPr="00A96E16">
              <w:t>) This describes the essential skills and knowledge and their level, required for this unit.</w:t>
            </w:r>
          </w:p>
        </w:tc>
      </w:tr>
      <w:tr w:rsidTr="00C176F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Evidence shall show that knowledge has been acquired of safe working practices for coordinating and monitoring the implementation of risk management plans for a utilities industry facility. The extent of the essential knowledge and associated skills (EKAS)</w:t>
            </w:r>
            <w:r w:rsidRPr="00A96E16">
              <w:t xml:space="preserve"> required is given in Volume 2 - Part 2.2 EKAS.  It forms an integral part of this unit.</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G 5.1.1</w:t>
            </w:r>
          </w:p>
        </w:tc>
        <w:tc>
          <w:tcPr>
            <w:tcW w:w="468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Gas Industry concepts for supervising operations</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G 5.1.2</w:t>
            </w:r>
          </w:p>
        </w:tc>
        <w:tc>
          <w:tcPr>
            <w:tcW w:w="468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Problem solving, decision making and conflict resolution</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G 5.1.3</w:t>
            </w:r>
          </w:p>
        </w:tc>
        <w:tc>
          <w:tcPr>
            <w:tcW w:w="468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Emergency management</w:t>
            </w:r>
          </w:p>
        </w:tc>
      </w:tr>
    </w:tbl>
    <w:p w:rsidR="00C176F8" w:rsidP="00A96E16">
      <w:pPr>
        <w:pStyle w:val="BodyText"/>
      </w:pPr>
    </w:p>
    <w:p w:rsidR="00C176F8" w:rsidP="00A96E16">
      <w:pPr>
        <w:pStyle w:val="BodyText"/>
      </w:pPr>
    </w:p>
    <w:p w:rsidR="00000000" w:rsidRPr="00A96E16" w:rsidP="00A96E16">
      <w:pPr>
        <w:pStyle w:val="Heading1"/>
      </w:pPr>
      <w:bookmarkStart w:id="10" w:name="O_247783"/>
      <w:bookmarkEnd w:id="10"/>
      <w:r w:rsidRPr="00A96E16">
        <w:t>Evidence Guide</w:t>
      </w:r>
    </w:p>
    <w:tbl>
      <w:tblPr>
        <w:tblW w:w="0" w:type="auto"/>
        <w:tblLayout w:type="fixed"/>
        <w:tblCellMar>
          <w:left w:w="62" w:type="dxa"/>
          <w:right w:w="62" w:type="dxa"/>
        </w:tblCellMar>
        <w:tblLook w:val="0000"/>
      </w:tblPr>
      <w:tblGrid>
        <w:gridCol w:w="2160"/>
        <w:gridCol w:w="6300"/>
      </w:tblGrid>
      <w:tr w:rsidTr="00C176F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EVIDENCE GUIDE</w:t>
            </w:r>
          </w:p>
        </w:tc>
      </w:tr>
      <w:tr w:rsidTr="00C176F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8</w:t>
            </w:r>
            <w:r w:rsidRPr="00A96E16">
              <w:t xml:space="preserve">) The Evidence Guide forms an integral part of this Unit and shall be used in conjunction with </w:t>
            </w:r>
            <w:r w:rsidRPr="00A96E16">
              <w:t>all components parts of this unit and performed in accordance with the Assessment Guidelines of this Training Package.</w:t>
            </w:r>
          </w:p>
        </w:tc>
      </w:tr>
      <w:tr w:rsidTr="00C17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8</w:t>
            </w:r>
            <w:r w:rsidRPr="00A96E16">
              <w:t>.</w:t>
            </w:r>
            <w:r w:rsidRPr="00A96E16">
              <w:rPr>
                <w:rStyle w:val="SpecialBold"/>
              </w:rPr>
              <w:t>1</w:t>
            </w:r>
            <w:r w:rsidRPr="00A96E16">
              <w:t xml:space="preserve">) </w:t>
            </w:r>
          </w:p>
          <w:p w:rsidR="00000000" w:rsidRPr="00A96E16" w:rsidP="00A96E16">
            <w:pPr>
              <w:pStyle w:val="BodyText"/>
            </w:pPr>
            <w:r w:rsidRPr="00A96E16">
              <w:t>Longitudinal competency development approaches to assessment, such as Profiling, require data to be reliab</w:t>
            </w:r>
            <w:r w:rsidRPr="00A96E16">
              <w:t>ly gathered in a form that can be consistently interpreted over time. This approach is best utilised in Apprenticeship programs and reduces assessment intervention. It is the Industry's preferred model for apprenticeships. However, where summative (or fina</w:t>
            </w:r>
            <w:r w:rsidRPr="00A96E16">
              <w:t>l) assessment is used it is to include the application of the competency in the normal work environment or, at a minimum, the application of the competency in a realistically simulated work environment. It is recognised that, in some circumstances, assessm</w:t>
            </w:r>
            <w:r w:rsidRPr="00A96E16">
              <w:t>ent in part or full can occur outside the workplace. However, it must be in accord with industry and regulatory policy in this regard.</w:t>
            </w:r>
          </w:p>
          <w:p w:rsidR="00000000" w:rsidRPr="00A96E16" w:rsidP="00A96E16">
            <w:pPr>
              <w:pStyle w:val="BodyText"/>
            </w:pPr>
            <w:r w:rsidRPr="00A96E16">
              <w:t>Methods chosen for a particular assessment will be influenced by various factors. These include the extent of the assessm</w:t>
            </w:r>
            <w:r w:rsidRPr="00A96E16">
              <w:t>ent, the most effective locations for the assessment activities to take place, access to physical resources, additional safety measures that may be required and the critical nature of the competencies being assessed.</w:t>
            </w:r>
          </w:p>
          <w:p w:rsidR="00000000" w:rsidRPr="00A96E16" w:rsidP="00A96E16">
            <w:pPr>
              <w:pStyle w:val="BodyText"/>
            </w:pPr>
            <w:r w:rsidRPr="00A96E16">
              <w:t>The critical safety nature of working w</w:t>
            </w:r>
            <w:r w:rsidRPr="00A96E16">
              <w:t>ith electricity, electrical equipment, gas or any other hazardous substance/material carries risk in deeming a person competent. Hence, sources of evidence need to be 'rich' in nature so as to minimise error in judgment.</w:t>
            </w:r>
          </w:p>
          <w:p w:rsidR="00000000" w:rsidP="00A96E16">
            <w:pPr>
              <w:pStyle w:val="BodyText"/>
              <w:rPr>
                <w:lang w:val="en-NZ"/>
              </w:rPr>
            </w:pPr>
            <w:r w:rsidRPr="00A96E16">
              <w:t>Activities associated with normal e</w:t>
            </w:r>
            <w:r w:rsidRPr="00A96E16">
              <w:t>very day work have a bearing on the decision as to how much and how detailed the data gathered will contribute to its 'richness'. Some skills are more critical to safety and operational requirements while the same skills may be more or less frequently prac</w:t>
            </w:r>
            <w:r w:rsidRPr="00A96E16">
              <w:t>tised. These points are raised for the assessors to consider when choosing an assessment method and developing assessment instruments. Sample assessment instruments are included in the Assessment Guidelines of this Training Package.</w:t>
            </w:r>
          </w:p>
        </w:tc>
      </w:tr>
      <w:tr w:rsidTr="00C176F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Critical aspects of ev</w:t>
            </w:r>
            <w:r w:rsidRPr="00A96E16">
              <w:rPr>
                <w:rStyle w:val="SpecialBold"/>
              </w:rPr>
              <w:t xml:space="preserve">idence required to </w:t>
            </w:r>
            <w:r w:rsidRPr="00A96E16">
              <w:rPr>
                <w:rStyle w:val="SpecialBold"/>
              </w:rPr>
              <w:t>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8</w:t>
            </w:r>
            <w:r w:rsidRPr="00A96E16">
              <w:t>.</w:t>
            </w:r>
            <w:r w:rsidRPr="00A96E16">
              <w:rPr>
                <w:rStyle w:val="SpecialBold"/>
              </w:rPr>
              <w:t>2</w:t>
            </w:r>
            <w:r w:rsidRPr="00A96E16">
              <w:t xml:space="preserve">)  </w:t>
            </w:r>
            <w:r w:rsidRPr="00A96E16">
              <w:rPr>
                <w:rStyle w:val="SpecialBold"/>
              </w:rPr>
              <w:t>Before the critical aspects of evidence are considered all prerequisites shall be met</w:t>
            </w:r>
            <w:r w:rsidRPr="00A96E16">
              <w:t>.</w:t>
            </w:r>
          </w:p>
        </w:tc>
      </w:tr>
      <w:tr w:rsidTr="00C176F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 xml:space="preserve">Evidence for competence in this unit shall be considered holistically. Each element and associated Performance Criteria shall be demonstrated on at least two occasions in accordance with the 'Assessment Guidelines  UEG06'. Evidence shall also comprise: </w:t>
            </w:r>
          </w:p>
          <w:p w:rsidR="00000000" w:rsidP="00A96E16">
            <w:pPr>
              <w:pStyle w:val="ListBullet"/>
              <w:rPr>
                <w:lang w:val="en-NZ"/>
              </w:rPr>
            </w:pPr>
            <w:r w:rsidRPr="00A96E16">
              <w:t xml:space="preserve">A </w:t>
            </w:r>
            <w:r w:rsidRPr="00A96E16">
              <w:t>representative body of Performance Criteria demonstrated within the timeframes typically expected of the discipline, work function and industrial environment. In particular this shall incorporate evidence that shows a candidate is able to:</w:t>
            </w:r>
          </w:p>
        </w:tc>
      </w:tr>
      <w:tr w:rsidTr="00C17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96E16" w:rsidP="00A96E16">
            <w:pPr>
              <w:pStyle w:val="ListBullet2"/>
            </w:pPr>
            <w:r w:rsidRPr="00A96E16">
              <w:t>Implement Occ</w:t>
            </w:r>
            <w:r w:rsidRPr="00A96E16">
              <w:t>upational Health and Safety workplace procedures and practices including the use of risk control measures as specified in the Performance Criteria and range</w:t>
            </w:r>
          </w:p>
          <w:p w:rsidR="00000000" w:rsidRPr="00A96E16" w:rsidP="00A96E16">
            <w:pPr>
              <w:pStyle w:val="ListBullet2"/>
            </w:pPr>
            <w:r w:rsidRPr="00A96E16">
              <w:t>Apply sustainable energy principles and practices as specified in the Performance Criteria and range</w:t>
            </w:r>
          </w:p>
          <w:p w:rsidR="00000000" w:rsidRPr="00A96E16" w:rsidP="00A96E16">
            <w:pPr>
              <w:pStyle w:val="ListBullet2"/>
            </w:pPr>
            <w:r w:rsidRPr="00A96E16">
              <w:t>Demonstrate an understanding of the essential knowledge and associated skills as described in this unit to such an extent that the learner's performance ou</w:t>
            </w:r>
            <w:r w:rsidRPr="00A96E16">
              <w:t>tcome is reported in accordance with the preferred approach; namely a percentile graded result, where required by the regulated environment</w:t>
            </w:r>
          </w:p>
          <w:p w:rsidR="00000000" w:rsidRPr="00A96E16" w:rsidP="00A96E16">
            <w:pPr>
              <w:pStyle w:val="ListBullet2"/>
            </w:pPr>
            <w:r w:rsidRPr="00A96E16">
              <w:t>Demonstrate an appropriate level of skills enabling employment</w:t>
            </w:r>
          </w:p>
          <w:p w:rsidR="00000000" w:rsidP="00A96E16">
            <w:pPr>
              <w:pStyle w:val="ListBullet2"/>
              <w:rPr>
                <w:lang w:val="en-NZ"/>
              </w:rPr>
            </w:pPr>
            <w:r w:rsidRPr="00A96E16">
              <w:t>Conduct work observing the relevant Anti discriminati</w:t>
            </w:r>
            <w:r w:rsidRPr="00A96E16">
              <w:t>on legislation, regulations, polices and workplace procedures</w:t>
            </w:r>
          </w:p>
        </w:tc>
      </w:tr>
      <w:tr w:rsidTr="00C176F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96E16" w:rsidP="00A96E16">
            <w:pPr>
              <w:pStyle w:val="ListBullet2"/>
            </w:pPr>
            <w:r w:rsidRPr="00A96E16">
              <w:t>Demonstrate performance across a representative range of contexts from the prescribed items below:</w:t>
            </w:r>
          </w:p>
        </w:tc>
      </w:tr>
    </w:tbl>
    <w:p w:rsidR="00000000" w:rsidRPr="00A96E16" w:rsidP="00A96E16">
      <w:pPr>
        <w:pStyle w:val="BodyText"/>
      </w:pPr>
    </w:p>
    <w:p w:rsidR="00000000" w:rsidRPr="00A96E16" w:rsidP="00A96E16">
      <w:pPr>
        <w:pStyle w:val="BodyText"/>
      </w:pPr>
    </w:p>
    <w:tbl>
      <w:tblPr>
        <w:tblW w:w="0" w:type="auto"/>
        <w:tblLayout w:type="fixed"/>
        <w:tblCellMar>
          <w:left w:w="62" w:type="dxa"/>
          <w:right w:w="62" w:type="dxa"/>
        </w:tblCellMar>
        <w:tblLook w:val="0000"/>
      </w:tblPr>
      <w:tblGrid>
        <w:gridCol w:w="326"/>
        <w:gridCol w:w="1834"/>
        <w:gridCol w:w="360"/>
        <w:gridCol w:w="900"/>
        <w:gridCol w:w="360"/>
        <w:gridCol w:w="1440"/>
        <w:gridCol w:w="1677"/>
        <w:gridCol w:w="1563"/>
      </w:tblGrid>
      <w:tr w:rsidTr="00C176F8">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96E16">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rPr>
                <w:rStyle w:val="SpecialBold"/>
              </w:rPr>
              <w:t>Range of tools</w:t>
            </w:r>
            <w:r w:rsidRPr="00A96E16">
              <w:t>/</w:t>
            </w:r>
            <w:r w:rsidRPr="00A96E16">
              <w:rPr>
                <w:rStyle w:val="SpecialBold"/>
              </w:rPr>
              <w:t>equipment</w:t>
            </w:r>
            <w:r w:rsidRPr="00A96E16">
              <w:t>/</w:t>
            </w:r>
            <w:r w:rsidRPr="00A96E16">
              <w:rPr>
                <w:rStyle w:val="SpecialBold"/>
              </w:rPr>
              <w:t>materials</w:t>
            </w:r>
            <w:r w:rsidRPr="00A96E16">
              <w:t>/</w:t>
            </w:r>
            <w:r w:rsidRPr="00A96E16">
              <w:rPr>
                <w:rStyle w:val="SpecialBold"/>
              </w:rPr>
              <w:t>procedures</w:t>
            </w:r>
            <w:r w:rsidRPr="00A96E16">
              <w:t>/</w:t>
            </w:r>
            <w:r w:rsidRPr="00A96E16">
              <w:br/>
            </w:r>
            <w:r w:rsidRPr="00A96E16">
              <w:rPr>
                <w:rStyle w:val="SpecialBold"/>
              </w:rPr>
              <w:t>workplaces</w:t>
            </w:r>
            <w:r w:rsidRPr="00A96E16">
              <w:t xml:space="preserve">/ </w:t>
            </w:r>
            <w:r w:rsidRPr="00A96E16">
              <w:rPr>
                <w:rStyle w:val="SpecialBold"/>
              </w:rPr>
              <w:t>variables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A96E16">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rPr>
                <w:rStyle w:val="SpecialBold"/>
              </w:rPr>
              <w:t>Item List</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t>Hazards:</w:t>
            </w:r>
          </w:p>
          <w:p w:rsidR="00000000" w:rsidRPr="00A96E16" w:rsidP="00A96E16">
            <w:pPr>
              <w:pStyle w:val="BodyText"/>
            </w:pPr>
            <w:r w:rsidRPr="00A96E16">
              <w:t>Confined spaces</w:t>
            </w:r>
          </w:p>
          <w:p w:rsidR="00000000" w:rsidRPr="00A96E16" w:rsidP="00A96E16">
            <w:pPr>
              <w:pStyle w:val="BodyText"/>
            </w:pPr>
            <w:r w:rsidRPr="00A96E16">
              <w:t xml:space="preserve">Electricity </w:t>
            </w:r>
          </w:p>
          <w:p w:rsidR="00000000" w:rsidRPr="00A96E16" w:rsidP="00A96E16">
            <w:pPr>
              <w:pStyle w:val="BodyText"/>
            </w:pPr>
            <w:r w:rsidRPr="00A96E16">
              <w:t>Gas</w:t>
            </w:r>
          </w:p>
          <w:p w:rsidR="00000000" w:rsidRPr="00A96E16" w:rsidP="00A96E16">
            <w:pPr>
              <w:pStyle w:val="BodyText"/>
            </w:pPr>
            <w:r w:rsidRPr="00A96E16">
              <w:t>Manual handling</w:t>
            </w:r>
          </w:p>
          <w:p w:rsidR="00000000" w:rsidRPr="00A96E16" w:rsidP="00A96E16">
            <w:pPr>
              <w:pStyle w:val="BodyText"/>
            </w:pPr>
            <w:r w:rsidRPr="00A96E16">
              <w:t xml:space="preserve">Noise </w:t>
            </w:r>
          </w:p>
          <w:p w:rsidR="00000000" w:rsidRPr="00A96E16" w:rsidP="00A96E16">
            <w:pPr>
              <w:pStyle w:val="BodyText"/>
            </w:pPr>
            <w:r w:rsidRPr="00A96E16">
              <w:t>Plant and equipment</w:t>
            </w:r>
          </w:p>
          <w:p w:rsidR="00000000" w:rsidRPr="00A96E16" w:rsidP="00A96E16">
            <w:pPr>
              <w:pStyle w:val="BodyText"/>
            </w:pPr>
            <w:r w:rsidRPr="00A96E16">
              <w:t>Infected blood</w:t>
            </w:r>
          </w:p>
          <w:p w:rsidR="00000000" w:rsidRPr="00A96E16" w:rsidP="00A96E16">
            <w:pPr>
              <w:pStyle w:val="BodyText"/>
            </w:pPr>
            <w:r w:rsidRPr="00A96E16">
              <w:t>Chemicals</w:t>
            </w:r>
          </w:p>
          <w:p w:rsidR="00000000" w:rsidRPr="00A96E16" w:rsidP="00A96E16">
            <w:pPr>
              <w:pStyle w:val="BodyText"/>
            </w:pPr>
            <w:r w:rsidRPr="00A96E16">
              <w:t>Temperature extremes</w:t>
            </w:r>
          </w:p>
          <w:p w:rsidR="00000000" w:rsidRPr="00A96E16" w:rsidP="00A96E16">
            <w:pPr>
              <w:pStyle w:val="BodyText"/>
            </w:pPr>
            <w:r w:rsidRPr="00A96E16">
              <w:t xml:space="preserve">Lighting </w:t>
            </w:r>
          </w:p>
          <w:p w:rsidR="00000000" w:rsidP="00A96E16">
            <w:pPr>
              <w:pStyle w:val="BodyText"/>
              <w:rPr>
                <w:lang w:val="en-NZ"/>
              </w:rPr>
            </w:pPr>
            <w:r w:rsidRPr="00A96E16">
              <w:t>Radiation</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t>Risk management plans:</w:t>
            </w:r>
          </w:p>
          <w:p w:rsidR="00000000" w:rsidRPr="00A96E16" w:rsidP="00A96E16">
            <w:pPr>
              <w:pStyle w:val="BodyText"/>
            </w:pPr>
            <w:r w:rsidRPr="00A96E16">
              <w:t>Identification of hazards</w:t>
            </w:r>
          </w:p>
          <w:p w:rsidR="00000000" w:rsidRPr="00A96E16" w:rsidP="00A96E16">
            <w:pPr>
              <w:pStyle w:val="BodyText"/>
            </w:pPr>
            <w:r w:rsidRPr="00A96E16">
              <w:t>Assessment of risks</w:t>
            </w:r>
          </w:p>
          <w:p w:rsidR="00000000" w:rsidRPr="00A96E16" w:rsidP="00A96E16">
            <w:pPr>
              <w:pStyle w:val="BodyText"/>
            </w:pPr>
            <w:r w:rsidRPr="00A96E16">
              <w:t>Identification of control measures</w:t>
            </w:r>
          </w:p>
          <w:p w:rsidR="00000000" w:rsidRPr="00A96E16" w:rsidP="00A96E16">
            <w:pPr>
              <w:pStyle w:val="BodyText"/>
            </w:pPr>
            <w:r w:rsidRPr="00A96E16">
              <w:t>Implementation of control measures and review of control measures</w:t>
            </w:r>
          </w:p>
          <w:p w:rsidR="00000000" w:rsidRPr="00A96E16" w:rsidP="00A96E16">
            <w:pPr>
              <w:pStyle w:val="BodyText"/>
            </w:pPr>
            <w:r w:rsidRPr="00A96E16">
              <w:t>Reference to conduct and reporting of hazard operational studies HAZOPS and HAZANS</w:t>
            </w:r>
          </w:p>
          <w:p w:rsidR="00000000" w:rsidP="00A96E16">
            <w:pPr>
              <w:pStyle w:val="BodyText"/>
              <w:rPr>
                <w:lang w:val="en-NZ"/>
              </w:rPr>
            </w:pPr>
            <w:r w:rsidRPr="00A96E16">
              <w:t>Recognition of six categories of exposures (see range statement)</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At least first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t>Persons:</w:t>
            </w:r>
          </w:p>
          <w:p w:rsidR="00000000" w:rsidRPr="00A96E16" w:rsidP="00A96E16">
            <w:pPr>
              <w:pStyle w:val="BodyText"/>
            </w:pPr>
            <w:r w:rsidRPr="00A96E16">
              <w:t>Organisation employees</w:t>
            </w:r>
          </w:p>
          <w:p w:rsidR="00000000" w:rsidRPr="00A96E16" w:rsidP="00A96E16">
            <w:pPr>
              <w:pStyle w:val="BodyText"/>
            </w:pPr>
            <w:r w:rsidRPr="00A96E16">
              <w:t>Contractors</w:t>
            </w:r>
          </w:p>
          <w:p w:rsidR="00000000" w:rsidRPr="00A96E16" w:rsidP="00A96E16">
            <w:pPr>
              <w:pStyle w:val="BodyText"/>
            </w:pPr>
            <w:r w:rsidRPr="00A96E16">
              <w:t>Consultants</w:t>
            </w:r>
          </w:p>
          <w:p w:rsidR="00000000" w:rsidRPr="00A96E16" w:rsidP="00A96E16">
            <w:pPr>
              <w:pStyle w:val="BodyText"/>
            </w:pPr>
            <w:r w:rsidRPr="00A96E16">
              <w:t>Maintenance persons</w:t>
            </w:r>
          </w:p>
          <w:p w:rsidR="00000000" w:rsidRPr="00A96E16" w:rsidP="00A96E16">
            <w:pPr>
              <w:pStyle w:val="BodyText"/>
            </w:pPr>
            <w:r w:rsidRPr="00A96E16">
              <w:t>Appropriately experienced and qualified persons</w:t>
            </w:r>
          </w:p>
          <w:p w:rsidR="00000000" w:rsidRPr="00A96E16" w:rsidP="00A96E16">
            <w:pPr>
              <w:pStyle w:val="BodyText"/>
            </w:pPr>
            <w:r w:rsidRPr="00A96E16">
              <w:t>Drivers</w:t>
            </w:r>
          </w:p>
          <w:p w:rsidR="00000000" w:rsidRPr="00A96E16" w:rsidP="00A96E16">
            <w:pPr>
              <w:pStyle w:val="BodyText"/>
            </w:pPr>
            <w:r w:rsidRPr="00A96E16">
              <w:t>Cleaners</w:t>
            </w:r>
          </w:p>
          <w:p w:rsidR="00000000" w:rsidP="00A96E16">
            <w:pPr>
              <w:pStyle w:val="BodyText"/>
              <w:rPr>
                <w:lang w:val="en-NZ"/>
              </w:rPr>
            </w:pPr>
            <w:r w:rsidRPr="00A96E16">
              <w:t xml:space="preserve">Grounds and site security persons </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At least 6</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t>Control measures:</w:t>
            </w:r>
          </w:p>
          <w:p w:rsidR="00000000" w:rsidRPr="00A96E16" w:rsidP="00A96E16">
            <w:pPr>
              <w:pStyle w:val="BodyText"/>
            </w:pPr>
            <w:r w:rsidRPr="00A96E16">
              <w:t>Elimination of hazards</w:t>
            </w:r>
          </w:p>
          <w:p w:rsidR="00000000" w:rsidRPr="00A96E16" w:rsidP="00A96E16">
            <w:pPr>
              <w:pStyle w:val="BodyText"/>
            </w:pPr>
            <w:r w:rsidRPr="00A96E16">
              <w:t>Work procedures</w:t>
            </w:r>
          </w:p>
          <w:p w:rsidR="00000000" w:rsidRPr="00A96E16" w:rsidP="00A96E16">
            <w:pPr>
              <w:pStyle w:val="BodyText"/>
            </w:pPr>
            <w:r w:rsidRPr="00A96E16">
              <w:t>Standard operating procedures</w:t>
            </w:r>
          </w:p>
          <w:p w:rsidR="00000000" w:rsidRPr="00A96E16" w:rsidP="00A96E16">
            <w:pPr>
              <w:pStyle w:val="BodyText"/>
            </w:pPr>
            <w:r w:rsidRPr="00A96E16">
              <w:t>Personal protective equipment</w:t>
            </w:r>
          </w:p>
          <w:p w:rsidR="00000000" w:rsidRPr="00A96E16" w:rsidP="00A96E16">
            <w:pPr>
              <w:pStyle w:val="BodyText"/>
            </w:pPr>
            <w:r w:rsidRPr="00A96E16">
              <w:t>Fire safety</w:t>
            </w:r>
          </w:p>
          <w:p w:rsidR="00000000" w:rsidRPr="00A96E16" w:rsidP="00A96E16">
            <w:pPr>
              <w:pStyle w:val="BodyText"/>
            </w:pPr>
            <w:r w:rsidRPr="00A96E16">
              <w:t>Plant and equipment isolation</w:t>
            </w:r>
          </w:p>
          <w:p w:rsidR="00000000" w:rsidRPr="00A96E16" w:rsidP="00A96E16">
            <w:pPr>
              <w:pStyle w:val="BodyText"/>
            </w:pPr>
            <w:r w:rsidRPr="00A96E16">
              <w:t>Training of appropriate persons</w:t>
            </w:r>
          </w:p>
          <w:p w:rsidR="00000000" w:rsidRPr="00A96E16" w:rsidP="00A96E16">
            <w:pPr>
              <w:pStyle w:val="BodyText"/>
            </w:pPr>
            <w:r w:rsidRPr="00A96E16">
              <w:t>Communication with appropriate persons</w:t>
            </w:r>
          </w:p>
          <w:p w:rsidR="00000000" w:rsidRPr="00A96E16" w:rsidP="00A96E16">
            <w:pPr>
              <w:pStyle w:val="BodyText"/>
            </w:pPr>
            <w:r w:rsidRPr="00A96E16">
              <w:t>Supervision of appropriate persons</w:t>
            </w:r>
          </w:p>
          <w:p w:rsidR="00000000" w:rsidP="00A96E16">
            <w:pPr>
              <w:pStyle w:val="BodyText"/>
              <w:rPr>
                <w:lang w:val="en-NZ"/>
              </w:rPr>
            </w:pPr>
            <w:r w:rsidRPr="00A96E16">
              <w:t>Maintenance of control measures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t>Gas Industry concepts for supervising operations</w:t>
            </w:r>
          </w:p>
          <w:p w:rsidR="00000000" w:rsidRPr="00A96E16" w:rsidP="00A96E16">
            <w:pPr>
              <w:pStyle w:val="BodyText"/>
            </w:pPr>
            <w:r w:rsidRPr="00A96E16">
              <w:t>Problem solving, decision making and conflict resolution</w:t>
            </w:r>
          </w:p>
          <w:p w:rsidR="00000000" w:rsidP="00A96E16">
            <w:pPr>
              <w:pStyle w:val="BodyText"/>
              <w:rPr>
                <w:lang w:val="en-NZ"/>
              </w:rPr>
            </w:pPr>
            <w:r w:rsidRPr="00A96E16">
              <w:t>Emergency management</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 xml:space="preserve">Deal with an unplanned event by drawing on essential knowledge and associated skills to provide appropriate solutions incorporated in the holistic assessment with the above listed items </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8</w:t>
            </w:r>
            <w:r w:rsidRPr="00A96E16">
              <w:t>.</w:t>
            </w:r>
            <w:r w:rsidRPr="00A96E16">
              <w:rPr>
                <w:rStyle w:val="SpecialBold"/>
              </w:rPr>
              <w:t>3</w:t>
            </w:r>
            <w:r w:rsidRPr="00A96E16">
              <w:t xml:space="preserve">) </w:t>
            </w:r>
          </w:p>
          <w:p w:rsidR="00000000" w:rsidRPr="00A96E16" w:rsidP="00A96E16">
            <w:pPr>
              <w:pStyle w:val="BodyText"/>
            </w:pPr>
            <w:r w:rsidRPr="00A96E16">
              <w:t>This unit should be assessed as it relates to normal work practice using procedures, information and resources typical of a workplace. This should include:</w:t>
            </w:r>
          </w:p>
          <w:p w:rsidR="00000000" w:rsidRPr="00A96E16" w:rsidP="00A96E16">
            <w:pPr>
              <w:pStyle w:val="ListBullet"/>
            </w:pPr>
            <w:r w:rsidRPr="00A96E16">
              <w:t>OHS policy and work procedures and instructi</w:t>
            </w:r>
            <w:r w:rsidRPr="00A96E16">
              <w:t>ons.</w:t>
            </w:r>
          </w:p>
          <w:p w:rsidR="00000000" w:rsidRPr="00A96E16" w:rsidP="00A96E16">
            <w:pPr>
              <w:pStyle w:val="ListBullet"/>
            </w:pPr>
            <w:r w:rsidRPr="00A96E16">
              <w:t>Suitable work environment, facilities, equipment and materials to undertake actual work as prescribed by this Unit.</w:t>
            </w:r>
          </w:p>
          <w:p w:rsidR="00000000" w:rsidRPr="00A96E16" w:rsidP="00A96E16">
            <w:pPr>
              <w:pStyle w:val="ListBullet"/>
            </w:pPr>
            <w:r w:rsidRPr="00A96E16">
              <w:t>Appropriate environmental regulation and work practices.</w:t>
            </w:r>
          </w:p>
          <w:p w:rsidR="00000000" w:rsidRPr="00A96E16" w:rsidP="00A96E16">
            <w:pPr>
              <w:pStyle w:val="ListBullet"/>
            </w:pPr>
            <w:r w:rsidRPr="00A96E16">
              <w:t>Appropriate organisational requirements.</w:t>
            </w:r>
          </w:p>
          <w:p w:rsidR="00000000" w:rsidP="00A96E16">
            <w:pPr>
              <w:pStyle w:val="ListBullet"/>
              <w:rPr>
                <w:lang w:val="en-NZ"/>
              </w:rPr>
            </w:pPr>
            <w:r w:rsidRPr="00A96E16">
              <w:t>Appropriate work environment, equipme</w:t>
            </w:r>
            <w:r w:rsidRPr="00A96E16">
              <w:t>nt and tools.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 xml:space="preserve">In addition to the resources listed above in Context of and specific resources for assessment, evidence should show demonstrated competency </w:t>
            </w:r>
            <w:r w:rsidRPr="00A96E16">
              <w:t>in coordinating and monitoring implementation of a risk management plan for a utilities industry facility</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Assessment of this competency must also be undertaken in either an actual workplace or under a simulated work environment. Assessment must als</w:t>
            </w:r>
            <w:r w:rsidRPr="00A96E16">
              <w:t>o integrate the key competencies.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8</w:t>
            </w:r>
            <w:r w:rsidRPr="00A96E16">
              <w:t>.</w:t>
            </w:r>
            <w:r w:rsidRPr="00A96E16">
              <w:rPr>
                <w:rStyle w:val="SpecialBold"/>
              </w:rPr>
              <w:t>4</w:t>
            </w:r>
            <w:r w:rsidRPr="00A96E16">
              <w:t xml:space="preserve">) </w:t>
            </w:r>
          </w:p>
          <w:p w:rsidR="00000000" w:rsidRPr="00A96E16" w:rsidP="00A96E16">
            <w:pPr>
              <w:pStyle w:val="BodyText"/>
            </w:pPr>
            <w:r w:rsidRPr="00A96E16">
              <w:t>This Unit shall be assessed by methods given in Volume 1, Part 3 'Assessment Guidelines'.</w:t>
            </w:r>
          </w:p>
          <w:p w:rsidR="00000000" w:rsidP="00A96E16">
            <w:pPr>
              <w:pStyle w:val="BodyText"/>
              <w:rPr>
                <w:lang w:val="en-NZ"/>
              </w:rPr>
            </w:pPr>
            <w:r w:rsidRPr="00A96E16">
              <w:rPr>
                <w:rStyle w:val="SpecialBold"/>
              </w:rPr>
              <w:t>Note</w:t>
            </w:r>
            <w:r w:rsidRPr="00A96E16">
              <w:t>: Competent performance with inherent safe working p</w:t>
            </w:r>
            <w:r w:rsidRPr="00A96E16">
              <w:t>ractices is expected in the Industry to which this Unit applies. This requires that the specified Essential Knowledge and Associated Skills are assessed in a structured environment which is primarily intended for learning/assessment and incorporates all ne</w:t>
            </w:r>
            <w:r w:rsidRPr="00A96E16">
              <w:t>cessary equipment and facilities for learners to develop and demonstrate the Essential Knowledge and Associated Skills described in this unit.</w:t>
            </w:r>
          </w:p>
        </w:tc>
      </w:tr>
      <w:tr w:rsidTr="00C176F8">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8</w:t>
            </w:r>
            <w:r w:rsidRPr="00A96E16">
              <w:t>.</w:t>
            </w:r>
            <w:r w:rsidRPr="00A96E16">
              <w:rPr>
                <w:rStyle w:val="SpecialBold"/>
              </w:rPr>
              <w:t>5</w:t>
            </w:r>
            <w:r w:rsidRPr="00A96E16">
              <w:t xml:space="preserve">) </w:t>
            </w:r>
          </w:p>
        </w:tc>
      </w:tr>
      <w:tr w:rsidTr="00C176F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There are no recommended concurrent assessments with this unit, however in some cases efficiencies may be gained in terms of learning and assessment effort being concurrently managed with allied Units where listed.</w:t>
            </w:r>
          </w:p>
        </w:tc>
      </w:tr>
      <w:tr w:rsidTr="00C176F8">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BSBMGT505A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Ensure a safe workplace</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BSBFLM509A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Promote continuous improvement</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UEGNSG115A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gas system projects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UEGNSG116A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gas system physical resources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UEGNSG113A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a utilities industry OHS management system</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BSBMGT507A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environmental performance</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A96E16">
            <w:pPr>
              <w:pStyle w:val="BodyText"/>
              <w:keepNext w:val="0"/>
              <w:keepLines w:val="0"/>
              <w:contextualSpacing w:val="0"/>
            </w:pP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Or</w:t>
            </w:r>
            <w:r w:rsidRPr="00A96E16">
              <w:t>, with the following units of competency if delivered in the Advanced Diploma qualification:</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UEGNSG115A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Gas Industry systems projects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UEGNSG116A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physical resources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UEGNSG117A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Plan and implement the data acquisition and metering requirements of a gas system</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UEGNSG118A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Select and commission equipment to meet pressure and temperature control specifications</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UEGNSG119A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workplace risk in a Gas Industry facility</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UEGNSG120A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gas system environmental compliance</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UEGNSG121A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Prepare safe design specifications of a gas system</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UEGNSG122A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a customer service gas business unit</w:t>
            </w:r>
          </w:p>
        </w:tc>
      </w:tr>
      <w:tr w:rsidTr="00C176F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UEGNSG123A</w:t>
            </w:r>
          </w:p>
        </w:tc>
        <w:tc>
          <w:tcPr>
            <w:tcW w:w="4680" w:type="dxa"/>
            <w:gridSpan w:val="3"/>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Manage financial resources in a Gas Industry facility</w:t>
            </w:r>
          </w:p>
        </w:tc>
      </w:tr>
      <w:tr w:rsidTr="00C176F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96E16" w:rsidP="00A96E16">
            <w:pPr>
              <w:pStyle w:val="BodyText"/>
            </w:pPr>
            <w:r w:rsidRPr="00A96E16">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8</w:t>
            </w:r>
            <w:r w:rsidRPr="00A96E16">
              <w:t>.</w:t>
            </w:r>
            <w:r w:rsidRPr="00A96E16">
              <w:rPr>
                <w:rStyle w:val="SpecialBold"/>
              </w:rPr>
              <w:t>6</w:t>
            </w:r>
            <w:r w:rsidRPr="00A96E16">
              <w:t xml:space="preserve">) </w:t>
            </w:r>
            <w:r w:rsidRPr="00A96E16">
              <w:rPr>
                <w:rStyle w:val="SpecialBold"/>
              </w:rPr>
              <w:t>Evidence that particular key competencies have been achieved within this Unit is in the context of the following Performance Criteria of evidence</w:t>
            </w:r>
            <w:r w:rsidRPr="00A96E16">
              <w:t xml:space="preserve">. </w:t>
            </w:r>
            <w:r w:rsidRPr="00A96E16">
              <w:rPr>
                <w:rStyle w:val="SpecialBold"/>
              </w:rPr>
              <w:t>See Volume 2</w:t>
            </w:r>
            <w:r w:rsidRPr="00A96E16">
              <w:t xml:space="preserve">, </w:t>
            </w:r>
            <w:r w:rsidRPr="00A96E16">
              <w:rPr>
                <w:rStyle w:val="SpecialBold"/>
              </w:rPr>
              <w:t>Part 4 for an explanation of Key Competencies and levels of this Training Package</w:t>
            </w:r>
            <w:r w:rsidRPr="00A96E16">
              <w:t>.</w:t>
            </w:r>
          </w:p>
        </w:tc>
      </w:tr>
      <w:tr w:rsidTr="00C176F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rPr>
                <w:rStyle w:val="SpecialBold"/>
              </w:rPr>
              <w:t>Performance Level</w:t>
            </w: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3</w:t>
            </w:r>
          </w:p>
        </w:tc>
      </w:tr>
      <w:tr w:rsidTr="00C176F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1.2; 1.6;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3</w:t>
            </w:r>
          </w:p>
        </w:tc>
      </w:tr>
      <w:tr w:rsidTr="00C176F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1.1; 1.2; 1.7; 1.8; 1.9; 1.10; 2.4;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3</w:t>
            </w:r>
          </w:p>
        </w:tc>
      </w:tr>
      <w:tr w:rsidTr="00C176F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1.2; 1.4; 1.6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3</w:t>
            </w:r>
          </w:p>
        </w:tc>
      </w:tr>
      <w:tr w:rsidTr="00C176F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1.2; 1.5; 1.6; 2.2; 2.5;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2</w:t>
            </w:r>
          </w:p>
        </w:tc>
      </w:tr>
      <w:tr w:rsidTr="00C176F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2</w:t>
            </w:r>
          </w:p>
        </w:tc>
      </w:tr>
      <w:tr w:rsidTr="00C176F8">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2.1; 2.2; 2.4; 2.6;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p>
          <w:p w:rsidR="00000000" w:rsidP="00A96E16">
            <w:pPr>
              <w:pStyle w:val="BodyText"/>
              <w:rPr>
                <w:lang w:val="en-NZ"/>
              </w:rPr>
            </w:pPr>
            <w:r w:rsidRPr="00A96E16">
              <w:t>2</w:t>
            </w:r>
          </w:p>
        </w:tc>
      </w:tr>
      <w:tr w:rsidTr="00C176F8">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3.3</w:t>
            </w:r>
          </w:p>
        </w:tc>
      </w:tr>
      <w:tr w:rsidTr="00C176F8">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A96E16">
            <w:pPr>
              <w:pStyle w:val="BodyText"/>
              <w:rPr>
                <w:lang w:val="en-NZ"/>
              </w:rPr>
            </w:pPr>
          </w:p>
        </w:tc>
      </w:tr>
      <w:tr w:rsidTr="00C176F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96E16" w:rsidP="00A96E16">
            <w:pPr>
              <w:pStyle w:val="BodyText"/>
            </w:pPr>
            <w:r w:rsidRPr="00A96E16">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A96E16" w:rsidP="00A96E16">
            <w:pPr>
              <w:pStyle w:val="BodyText"/>
            </w:pPr>
            <w:r w:rsidRPr="00A96E16">
              <w:rPr>
                <w:rStyle w:val="SpecialBold"/>
              </w:rPr>
              <w:t>8</w:t>
            </w:r>
            <w:r w:rsidRPr="00A96E16">
              <w:t>.</w:t>
            </w:r>
            <w:r w:rsidRPr="00A96E16">
              <w:rPr>
                <w:rStyle w:val="SpecialBold"/>
              </w:rPr>
              <w:t>7</w:t>
            </w:r>
            <w:r w:rsidRPr="00A96E16">
              <w:t xml:space="preserve">) </w:t>
            </w:r>
          </w:p>
          <w:p w:rsidR="00000000" w:rsidP="00A96E16">
            <w:pPr>
              <w:pStyle w:val="BodyText"/>
              <w:rPr>
                <w:lang w:val="en-NZ"/>
              </w:rPr>
            </w:pPr>
            <w:r w:rsidRPr="00A96E16">
              <w:t>Evidence that competency in this unit incorporates skills enabling employment is in the context of the following performance.</w:t>
            </w:r>
          </w:p>
        </w:tc>
      </w:tr>
      <w:tr w:rsidTr="00C176F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rPr>
                <w:rStyle w:val="SpecialBold"/>
              </w:rPr>
              <w:t>Example of Application</w:t>
            </w:r>
          </w:p>
        </w:tc>
      </w:tr>
      <w:tr w:rsidTr="00C176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r>
      <w:tr w:rsidTr="00C176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All</w:t>
            </w:r>
          </w:p>
        </w:tc>
      </w:tr>
      <w:tr w:rsidTr="00C176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r>
      <w:tr w:rsidTr="00C176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1.2; 2.1</w:t>
            </w:r>
          </w:p>
        </w:tc>
      </w:tr>
      <w:tr w:rsidTr="00C176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r>
      <w:tr w:rsidTr="00C176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2.9; 2.6; 3.1; 3.5</w:t>
            </w:r>
          </w:p>
        </w:tc>
      </w:tr>
      <w:tr w:rsidTr="00C176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r>
      <w:tr w:rsidTr="00C176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3.2; 3.3</w:t>
            </w:r>
          </w:p>
        </w:tc>
      </w:tr>
      <w:tr w:rsidTr="00C176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r>
      <w:tr w:rsidTr="00C176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1.1; 1.5</w:t>
            </w:r>
          </w:p>
        </w:tc>
      </w:tr>
      <w:tr w:rsidTr="00C176F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6E16">
            <w:pPr>
              <w:pStyle w:val="BodyText"/>
              <w:rPr>
                <w:lang w:val="en-NZ"/>
              </w:rPr>
            </w:pPr>
            <w:r w:rsidRPr="00A96E16">
              <w:t xml:space="preserve">Performing the work task in </w:t>
            </w:r>
            <w:r w:rsidRPr="00A96E16">
              <w:t>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6E16">
            <w:pPr>
              <w:pStyle w:val="BodyText"/>
              <w:rPr>
                <w:lang w:val="en-NZ"/>
              </w:rPr>
            </w:pPr>
            <w:r w:rsidRPr="00A96E16">
              <w:t>Refer to the following Performance Criteria for examples of application:</w:t>
            </w:r>
          </w:p>
        </w:tc>
      </w:tr>
      <w:tr w:rsidTr="00C176F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96E16" w:rsidP="00A96E16">
            <w:pPr>
              <w:pStyle w:val="BodyText"/>
            </w:pPr>
            <w:r w:rsidRPr="00A96E16">
              <w:t>2.6</w:t>
            </w:r>
          </w:p>
        </w:tc>
      </w:tr>
    </w:tbl>
    <w:p w:rsidR="00C176F8" w:rsidP="00A96E16">
      <w:pPr>
        <w:pStyle w:val="BodyText"/>
      </w:pPr>
    </w:p>
    <w:p w:rsidR="00C176F8" w:rsidP="00A96E16">
      <w:pPr>
        <w:pStyle w:val="BodyText"/>
      </w:pPr>
    </w:p>
    <w:p w:rsidR="00000000" w:rsidRPr="00A96E16" w:rsidP="00A96E16">
      <w:pPr>
        <w:pStyle w:val="Heading1"/>
      </w:pPr>
      <w:bookmarkStart w:id="11" w:name="O_255767"/>
      <w:bookmarkEnd w:id="11"/>
      <w:r w:rsidRPr="00A96E16">
        <w:t>Range Statement</w:t>
      </w:r>
    </w:p>
    <w:tbl>
      <w:tblPr>
        <w:tblW w:w="0" w:type="auto"/>
        <w:tblLayout w:type="fixed"/>
        <w:tblCellMar>
          <w:left w:w="62" w:type="dxa"/>
          <w:right w:w="62" w:type="dxa"/>
        </w:tblCellMar>
        <w:tblLook w:val="0000"/>
      </w:tblPr>
      <w:tblGrid>
        <w:gridCol w:w="8460"/>
      </w:tblGrid>
      <w:tr w:rsidTr="00C176F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RANGE STATEMENT</w:t>
            </w:r>
          </w:p>
        </w:tc>
      </w:tr>
      <w:tr w:rsidTr="00C176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7</w:t>
            </w:r>
            <w:r w:rsidRPr="00A96E16">
              <w:t>) This relates to the competency standard unit as a whole providing the range of contexts and conditions to which the Performance Criteria apply. It allows for different work environments and situations that will affect performance.</w:t>
            </w:r>
          </w:p>
        </w:tc>
      </w:tr>
      <w:tr w:rsidTr="00C176F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This Unit shall/may be</w:t>
            </w:r>
            <w:r w:rsidRPr="00A96E16">
              <w:t xml:space="preserve"> demonstrated in relation to coordinating and monitoring the implementation of risk management plan for a utilities industry facility.</w:t>
            </w:r>
          </w:p>
          <w:p w:rsidR="00000000" w:rsidRPr="00A96E16" w:rsidP="00A96E16">
            <w:pPr>
              <w:pStyle w:val="BodyText"/>
            </w:pPr>
            <w:r w:rsidRPr="00A96E16">
              <w:t>The following constants and variables included in the element/Performance Criteria in this unit are fully described in th</w:t>
            </w:r>
            <w:r w:rsidRPr="00A96E16">
              <w:t>e Definitions Section of this volume and form an integral part of the Range Statement of this unit:</w:t>
            </w:r>
          </w:p>
          <w:p w:rsidR="00000000" w:rsidRPr="00A96E16" w:rsidP="00A96E16">
            <w:pPr>
              <w:pStyle w:val="BodyText"/>
            </w:pPr>
            <w:r w:rsidRPr="00A96E16">
              <w:t>Hazards (5)</w:t>
            </w:r>
          </w:p>
          <w:p w:rsidR="00000000" w:rsidRPr="00A96E16" w:rsidP="00A96E16">
            <w:pPr>
              <w:pStyle w:val="BodyText"/>
            </w:pPr>
            <w:r w:rsidRPr="00A96E16">
              <w:t>Risks</w:t>
            </w:r>
          </w:p>
          <w:p w:rsidR="00000000" w:rsidRPr="00A96E16" w:rsidP="00A96E16">
            <w:pPr>
              <w:pStyle w:val="BodyText"/>
            </w:pPr>
            <w:r w:rsidRPr="00A96E16">
              <w:t>Risk Management Plans</w:t>
            </w:r>
          </w:p>
          <w:p w:rsidR="00000000" w:rsidRPr="00A96E16" w:rsidP="00A96E16">
            <w:pPr>
              <w:pStyle w:val="BodyText"/>
            </w:pPr>
            <w:r w:rsidRPr="00A96E16">
              <w:t>Persons</w:t>
            </w:r>
          </w:p>
          <w:p w:rsidR="00000000" w:rsidRPr="00A96E16" w:rsidP="00A96E16">
            <w:pPr>
              <w:pStyle w:val="BodyText"/>
            </w:pPr>
            <w:r w:rsidRPr="00A96E16">
              <w:t>Control Measures</w:t>
            </w:r>
          </w:p>
          <w:p w:rsidR="00000000" w:rsidRPr="00A96E16" w:rsidP="00A96E16">
            <w:pPr>
              <w:pStyle w:val="BodyText"/>
            </w:pPr>
            <w:r w:rsidRPr="00A96E16">
              <w:t>Relevant Persons</w:t>
            </w:r>
          </w:p>
          <w:p w:rsidR="00000000" w:rsidRPr="00A96E16" w:rsidP="00A96E16">
            <w:pPr>
              <w:pStyle w:val="BodyText"/>
            </w:pPr>
            <w:r w:rsidRPr="00A96E16">
              <w:t>Legislative Requirements (5)</w:t>
            </w:r>
          </w:p>
          <w:p w:rsidR="00000000" w:rsidRPr="00A96E16" w:rsidP="00A96E16">
            <w:pPr>
              <w:pStyle w:val="BodyText"/>
            </w:pPr>
            <w:r w:rsidRPr="00A96E16">
              <w:t>Emergency Exercises</w:t>
            </w:r>
          </w:p>
          <w:p w:rsidR="00000000" w:rsidRPr="00A96E16" w:rsidP="00A96E16">
            <w:pPr>
              <w:pStyle w:val="BodyText"/>
            </w:pPr>
            <w:r w:rsidRPr="00A96E16">
              <w:t xml:space="preserve">Emergency Appliances </w:t>
            </w:r>
          </w:p>
          <w:p w:rsidR="00000000" w:rsidRPr="00A96E16" w:rsidP="00A96E16">
            <w:pPr>
              <w:pStyle w:val="BodyText"/>
            </w:pPr>
            <w:r w:rsidRPr="00A96E16">
              <w:t xml:space="preserve">Safety Devices </w:t>
            </w:r>
          </w:p>
          <w:p w:rsidR="00000000" w:rsidRPr="00A96E16" w:rsidP="00A96E16">
            <w:pPr>
              <w:pStyle w:val="BodyText"/>
            </w:pPr>
            <w:r w:rsidRPr="00A96E16">
              <w:t>Relevant Documentation (5)</w:t>
            </w:r>
          </w:p>
        </w:tc>
      </w:tr>
    </w:tbl>
    <w:p w:rsidR="00C176F8" w:rsidP="00A96E16">
      <w:pPr>
        <w:pStyle w:val="BodyText"/>
      </w:pPr>
    </w:p>
    <w:p w:rsidR="00C176F8" w:rsidP="00A96E16">
      <w:pPr>
        <w:pStyle w:val="BodyText"/>
      </w:pPr>
    </w:p>
    <w:p w:rsidR="00000000" w:rsidRPr="00A96E16" w:rsidP="00A96E16">
      <w:pPr>
        <w:pStyle w:val="Heading1"/>
      </w:pPr>
      <w:bookmarkStart w:id="12" w:name="O_296780"/>
      <w:bookmarkEnd w:id="12"/>
      <w:r w:rsidRPr="00A96E16">
        <w:t>Unit Sector(s)</w:t>
      </w:r>
    </w:p>
    <w:p w:rsidR="00000000" w:rsidRPr="00A96E16" w:rsidP="00A96E16">
      <w:pPr>
        <w:pStyle w:val="BodyText"/>
      </w:pPr>
      <w:r w:rsidRPr="00A96E16">
        <w:t>Not Applicable</w:t>
      </w:r>
    </w:p>
    <w:p w:rsidR="00000000" w:rsidRPr="00A96E16" w:rsidP="00A96E16">
      <w:pPr>
        <w:pStyle w:val="AllowPageBreak"/>
      </w:pPr>
    </w:p>
    <w:p w:rsidR="00000000" w:rsidRPr="00A96E16" w:rsidP="00A96E16">
      <w:pPr>
        <w:pStyle w:val="Heading1"/>
      </w:pPr>
      <w:bookmarkStart w:id="13" w:name="O_229342"/>
      <w:bookmarkEnd w:id="13"/>
      <w:r w:rsidRPr="00A96E1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C17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2</w:t>
            </w:r>
            <w:r w:rsidRPr="00A96E16">
              <w:t>.</w:t>
            </w:r>
            <w:r w:rsidRPr="00A96E16">
              <w:rPr>
                <w:rStyle w:val="SpecialBold"/>
              </w:rPr>
              <w:t>2</w:t>
            </w:r>
            <w:r w:rsidRPr="00A96E16">
              <w:t xml:space="preserve">) </w:t>
            </w:r>
          </w:p>
          <w:p w:rsidR="00000000" w:rsidP="00A96E16">
            <w:pPr>
              <w:pStyle w:val="BodyText"/>
              <w:rPr>
                <w:lang w:val="en-NZ"/>
              </w:rPr>
            </w:pPr>
            <w:r w:rsidRPr="00A96E16">
              <w:t xml:space="preserve">Participants are best equipped to achieve this unit if they have reading, writing </w:t>
            </w:r>
            <w:r w:rsidRPr="00A96E16">
              <w:t>and numeracy skills indicated by the following scales. Description of each scale is given in Volume 2, Part 3 'Literacy and Numeracy'</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Reading</w:t>
            </w:r>
          </w:p>
        </w:tc>
        <w:tc>
          <w:tcPr>
            <w:tcW w:w="805"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5</w:t>
            </w:r>
          </w:p>
        </w:tc>
        <w:tc>
          <w:tcPr>
            <w:tcW w:w="1184"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Writing</w:t>
            </w:r>
          </w:p>
        </w:tc>
        <w:tc>
          <w:tcPr>
            <w:tcW w:w="805"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5</w:t>
            </w:r>
          </w:p>
        </w:tc>
        <w:tc>
          <w:tcPr>
            <w:tcW w:w="1172"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t>Numeracy</w:t>
            </w:r>
          </w:p>
        </w:tc>
        <w:tc>
          <w:tcPr>
            <w:tcW w:w="805"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5</w:t>
            </w:r>
          </w:p>
        </w:tc>
      </w:tr>
    </w:tbl>
    <w:p w:rsidR="00C176F8" w:rsidP="00A96E16">
      <w:pPr>
        <w:pStyle w:val="BodyText"/>
      </w:pPr>
    </w:p>
    <w:p w:rsidR="00C176F8" w:rsidP="00A96E16">
      <w:pPr>
        <w:pStyle w:val="BodyText"/>
      </w:pPr>
    </w:p>
    <w:p w:rsidR="00000000" w:rsidRPr="00A96E16" w:rsidP="00A96E16">
      <w:pPr>
        <w:pStyle w:val="Heading1"/>
      </w:pPr>
      <w:bookmarkStart w:id="14" w:name="O_229345"/>
      <w:bookmarkEnd w:id="14"/>
      <w:r w:rsidRPr="00A96E16">
        <w:t>Competency Field</w:t>
      </w:r>
    </w:p>
    <w:tbl>
      <w:tblPr>
        <w:tblW w:w="0" w:type="auto"/>
        <w:tblLayout w:type="fixed"/>
        <w:tblCellMar>
          <w:left w:w="62" w:type="dxa"/>
          <w:right w:w="62" w:type="dxa"/>
        </w:tblCellMar>
        <w:tblLook w:val="0000"/>
      </w:tblPr>
      <w:tblGrid>
        <w:gridCol w:w="2700"/>
        <w:gridCol w:w="5760"/>
      </w:tblGrid>
      <w:tr w:rsidTr="00C176F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96E16">
            <w:pPr>
              <w:pStyle w:val="BodyText"/>
              <w:rPr>
                <w:lang w:val="en-NZ"/>
              </w:rPr>
            </w:pPr>
            <w:r w:rsidRPr="00A96E16">
              <w:rPr>
                <w:rStyle w:val="SpecialBold"/>
              </w:rPr>
              <w:t>4</w:t>
            </w:r>
            <w:r w:rsidRPr="00A96E16">
              <w:t xml:space="preserve">) </w:t>
            </w:r>
          </w:p>
        </w:tc>
      </w:tr>
      <w:tr w:rsidTr="00C176F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96E16" w:rsidP="00A96E16">
            <w:pPr>
              <w:pStyle w:val="BodyText"/>
            </w:pPr>
            <w:r w:rsidRPr="00A96E16">
              <w:t>Cross discipline.</w:t>
            </w:r>
          </w:p>
        </w:tc>
      </w:tr>
    </w:tbl>
    <w:p w:rsidR="00C176F8" w:rsidP="00A96E16">
      <w:pPr>
        <w:pStyle w:val="BodyText"/>
      </w:pPr>
    </w:p>
    <w:p w:rsidR="00C176F8" w:rsidP="00A96E16">
      <w:pPr>
        <w:pStyle w:val="BodyText"/>
      </w:pPr>
    </w:p>
    <w:p w:rsidR="00000000" w:rsidRPr="00A96E16" w:rsidP="00A96E16"/>
    <w:sectPr w:rsidSect="00A96E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6F8" w:rsidP="00C176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F8" w:rsidP="00A96E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76F8" w:rsidP="00A96E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176F8" w:rsidP="00A96E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16" w:rsidRPr="00C176F8" w:rsidP="00C176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6F8" w:rsidRPr="002D2AF8" w:rsidP="00A96E16">
    <w:pPr>
      <w:pStyle w:val="Header"/>
      <w:framePr w:wrap="around"/>
    </w:pPr>
    <w:r>
      <w:fldChar w:fldCharType="begin"/>
    </w:r>
    <w:r>
      <w:instrText xml:space="preserve"> TITLE   \* MERGEFORMAT </w:instrText>
    </w:r>
    <w:r>
      <w:fldChar w:fldCharType="separate"/>
    </w:r>
    <w:r>
      <w:t>UEGNSG114A Coordinate and monitor implementation of a risk management plan for a utilities industry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176F8" w:rsidP="00A96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D468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665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5EC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6E16"/>
    <w:pPr>
      <w:spacing w:before="360" w:after="60"/>
      <w:outlineLvl w:val="0"/>
    </w:pPr>
    <w:rPr>
      <w:sz w:val="32"/>
    </w:rPr>
  </w:style>
  <w:style w:type="paragraph" w:styleId="Heading2">
    <w:name w:val="heading 2"/>
    <w:basedOn w:val="HeadingBase"/>
    <w:next w:val="BodyText"/>
    <w:link w:val="Heading2Char"/>
    <w:qFormat/>
    <w:rsid w:val="00A96E16"/>
    <w:pPr>
      <w:keepLines/>
      <w:spacing w:before="240" w:after="120"/>
      <w:outlineLvl w:val="1"/>
    </w:pPr>
    <w:rPr>
      <w:sz w:val="28"/>
      <w:szCs w:val="40"/>
    </w:rPr>
  </w:style>
  <w:style w:type="paragraph" w:styleId="Heading3">
    <w:name w:val="heading 3"/>
    <w:basedOn w:val="HeadingBase"/>
    <w:next w:val="BodyText"/>
    <w:link w:val="Heading3Char"/>
    <w:qFormat/>
    <w:rsid w:val="00A96E16"/>
    <w:pPr>
      <w:spacing w:before="180" w:after="120"/>
      <w:outlineLvl w:val="2"/>
    </w:pPr>
    <w:rPr>
      <w:spacing w:val="-10"/>
      <w:kern w:val="32"/>
    </w:rPr>
  </w:style>
  <w:style w:type="paragraph" w:styleId="Heading4">
    <w:name w:val="heading 4"/>
    <w:basedOn w:val="HeadingBase"/>
    <w:next w:val="BodyText"/>
    <w:link w:val="Heading4Char"/>
    <w:qFormat/>
    <w:rsid w:val="00A96E16"/>
    <w:pPr>
      <w:spacing w:before="160" w:after="120"/>
      <w:outlineLvl w:val="3"/>
    </w:pPr>
    <w:rPr>
      <w:sz w:val="22"/>
    </w:rPr>
  </w:style>
  <w:style w:type="paragraph" w:styleId="Heading5">
    <w:name w:val="heading 5"/>
    <w:basedOn w:val="HeadingBase"/>
    <w:next w:val="Normal"/>
    <w:link w:val="Heading5Char"/>
    <w:qFormat/>
    <w:rsid w:val="00A96E16"/>
    <w:pPr>
      <w:spacing w:before="80"/>
      <w:outlineLvl w:val="4"/>
    </w:pPr>
    <w:rPr>
      <w:color w:val="918585"/>
      <w:sz w:val="20"/>
    </w:rPr>
  </w:style>
  <w:style w:type="paragraph" w:styleId="Heading6">
    <w:name w:val="heading 6"/>
    <w:basedOn w:val="HeadingBase"/>
    <w:next w:val="Normal"/>
    <w:link w:val="Heading6Char"/>
    <w:qFormat/>
    <w:rsid w:val="00A96E16"/>
    <w:pPr>
      <w:spacing w:before="60"/>
      <w:outlineLvl w:val="5"/>
    </w:pPr>
    <w:rPr>
      <w:color w:val="918585"/>
      <w:sz w:val="20"/>
    </w:rPr>
  </w:style>
  <w:style w:type="paragraph" w:styleId="Heading7">
    <w:name w:val="heading 7"/>
    <w:basedOn w:val="Normal"/>
    <w:next w:val="Normal"/>
    <w:link w:val="Heading7Char"/>
    <w:qFormat/>
    <w:rsid w:val="00A96E16"/>
    <w:pPr>
      <w:ind w:left="720"/>
      <w:outlineLvl w:val="6"/>
    </w:pPr>
    <w:rPr>
      <w:i/>
    </w:rPr>
  </w:style>
  <w:style w:type="paragraph" w:styleId="Heading8">
    <w:name w:val="heading 8"/>
    <w:basedOn w:val="Normal"/>
    <w:next w:val="Normal"/>
    <w:link w:val="Heading8Char"/>
    <w:qFormat/>
    <w:rsid w:val="00A96E16"/>
    <w:pPr>
      <w:ind w:left="720"/>
      <w:outlineLvl w:val="7"/>
    </w:pPr>
    <w:rPr>
      <w:i/>
    </w:rPr>
  </w:style>
  <w:style w:type="paragraph" w:styleId="Heading9">
    <w:name w:val="heading 9"/>
    <w:basedOn w:val="Normal"/>
    <w:next w:val="Normal"/>
    <w:link w:val="Heading9Char"/>
    <w:qFormat/>
    <w:rsid w:val="00A96E16"/>
    <w:pPr>
      <w:ind w:left="720"/>
      <w:outlineLvl w:val="8"/>
    </w:pPr>
    <w:rPr>
      <w:i/>
    </w:rPr>
  </w:style>
  <w:style w:type="character" w:default="1" w:styleId="DefaultParagraphFont">
    <w:name w:val="Default Paragraph Font"/>
    <w:uiPriority w:val="1"/>
    <w:unhideWhenUsed/>
    <w:rsid w:val="00A96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6E16"/>
  </w:style>
  <w:style w:type="character" w:customStyle="1" w:styleId="Heading1Char">
    <w:name w:val="Heading 1 Char"/>
    <w:basedOn w:val="DefaultParagraphFont"/>
    <w:link w:val="Heading1"/>
    <w:rsid w:val="00A96E16"/>
    <w:rPr>
      <w:rFonts w:ascii="Times New Roman" w:eastAsia="Times New Roman" w:hAnsi="Times New Roman" w:cs="Times New Roman"/>
      <w:b/>
      <w:sz w:val="32"/>
      <w:szCs w:val="20"/>
      <w:lang w:eastAsia="en-US"/>
    </w:rPr>
  </w:style>
  <w:style w:type="paragraph" w:styleId="BodyText">
    <w:name w:val="Body Text"/>
    <w:basedOn w:val="Normal"/>
    <w:link w:val="BodyTextChar"/>
    <w:rsid w:val="00A96E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6E16"/>
    <w:rPr>
      <w:rFonts w:ascii="Times New Roman" w:eastAsia="Times New Roman" w:hAnsi="Times New Roman" w:cs="Times New Roman"/>
      <w:sz w:val="24"/>
      <w:lang w:eastAsia="en-US"/>
    </w:rPr>
  </w:style>
  <w:style w:type="paragraph" w:styleId="Footer">
    <w:name w:val="footer"/>
    <w:basedOn w:val="Normal"/>
    <w:link w:val="FooterChar"/>
    <w:rsid w:val="00A96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6E16"/>
    <w:rPr>
      <w:rFonts w:ascii="Times New Roman" w:eastAsia="Times New Roman" w:hAnsi="Times New Roman" w:cs="Times New Roman"/>
      <w:sz w:val="16"/>
      <w:lang w:eastAsia="en-US"/>
    </w:rPr>
  </w:style>
  <w:style w:type="paragraph" w:styleId="ListBullet">
    <w:name w:val="List Bullet"/>
    <w:basedOn w:val="List"/>
    <w:rsid w:val="00A96E16"/>
    <w:pPr>
      <w:numPr>
        <w:numId w:val="13"/>
      </w:numPr>
      <w:tabs>
        <w:tab w:val="clear" w:pos="340"/>
      </w:tabs>
      <w:spacing w:before="40" w:after="40"/>
    </w:pPr>
  </w:style>
  <w:style w:type="character" w:customStyle="1" w:styleId="SpecialBold">
    <w:name w:val="Special Bold"/>
    <w:basedOn w:val="DefaultParagraphFont"/>
    <w:rsid w:val="00A96E16"/>
    <w:rPr>
      <w:b/>
      <w:spacing w:val="0"/>
    </w:rPr>
  </w:style>
  <w:style w:type="paragraph" w:styleId="ListBullet2">
    <w:name w:val="List Bullet 2"/>
    <w:basedOn w:val="List2"/>
    <w:rsid w:val="00A96E16"/>
    <w:pPr>
      <w:numPr>
        <w:numId w:val="14"/>
      </w:numPr>
      <w:tabs>
        <w:tab w:val="clear" w:pos="680"/>
      </w:tabs>
    </w:pPr>
  </w:style>
  <w:style w:type="paragraph" w:customStyle="1" w:styleId="SuperHeading">
    <w:name w:val="SuperHeading"/>
    <w:basedOn w:val="Normal"/>
    <w:rsid w:val="00A96E16"/>
    <w:pPr>
      <w:spacing w:before="240" w:after="120"/>
      <w:outlineLvl w:val="0"/>
    </w:pPr>
    <w:rPr>
      <w:rFonts w:ascii="Times New Roman" w:hAnsi="Times New Roman"/>
      <w:b/>
      <w:sz w:val="28"/>
    </w:rPr>
  </w:style>
  <w:style w:type="paragraph" w:customStyle="1" w:styleId="AllowPageBreak">
    <w:name w:val="AllowPageBreak"/>
    <w:rsid w:val="00A96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6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6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6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6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6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6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6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6E16"/>
    <w:rPr>
      <w:rFonts w:ascii="Courier New" w:eastAsia="Times New Roman" w:hAnsi="Courier New" w:cs="Times New Roman"/>
      <w:i/>
      <w:szCs w:val="20"/>
      <w:lang w:eastAsia="en-US"/>
    </w:rPr>
  </w:style>
  <w:style w:type="paragraph" w:customStyle="1" w:styleId="HeadingBase">
    <w:name w:val="Heading Base"/>
    <w:rsid w:val="00A96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6E16"/>
    <w:pPr>
      <w:tabs>
        <w:tab w:val="right" w:leader="dot" w:pos="9072"/>
      </w:tabs>
      <w:ind w:left="567"/>
    </w:pPr>
    <w:rPr>
      <w:szCs w:val="22"/>
    </w:rPr>
  </w:style>
  <w:style w:type="paragraph" w:customStyle="1" w:styleId="TOCBase">
    <w:name w:val="TOC Base"/>
    <w:rsid w:val="00A96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6E16"/>
    <w:pPr>
      <w:tabs>
        <w:tab w:val="right" w:leader="dot" w:pos="9072"/>
      </w:tabs>
      <w:spacing w:before="40" w:after="40"/>
      <w:ind w:left="284"/>
    </w:pPr>
    <w:rPr>
      <w:rFonts w:ascii="Times New Roman" w:hAnsi="Times New Roman"/>
    </w:rPr>
  </w:style>
  <w:style w:type="paragraph" w:styleId="TOC1">
    <w:name w:val="toc 1"/>
    <w:basedOn w:val="TOCBase"/>
    <w:next w:val="Normal"/>
    <w:rsid w:val="00A96E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6E16"/>
    <w:pPr>
      <w:spacing w:before="5040"/>
      <w:jc w:val="center"/>
    </w:pPr>
    <w:rPr>
      <w:sz w:val="48"/>
      <w:szCs w:val="72"/>
      <w:lang w:val="en-US"/>
    </w:rPr>
  </w:style>
  <w:style w:type="character" w:customStyle="1" w:styleId="TitleChar">
    <w:name w:val="Title Char"/>
    <w:basedOn w:val="DefaultParagraphFont"/>
    <w:link w:val="Title"/>
    <w:rsid w:val="00A96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6E16"/>
    <w:pPr>
      <w:tabs>
        <w:tab w:val="left" w:pos="3600"/>
        <w:tab w:val="left" w:pos="3958"/>
      </w:tabs>
    </w:pPr>
  </w:style>
  <w:style w:type="paragraph" w:styleId="List">
    <w:name w:val="List"/>
    <w:basedOn w:val="BodyText"/>
    <w:next w:val="BodyText"/>
    <w:rsid w:val="00A96E16"/>
    <w:pPr>
      <w:tabs>
        <w:tab w:val="left" w:pos="340"/>
      </w:tabs>
      <w:spacing w:before="60" w:after="60"/>
      <w:ind w:left="340" w:hanging="340"/>
    </w:pPr>
  </w:style>
  <w:style w:type="paragraph" w:customStyle="1" w:styleId="Note">
    <w:name w:val="Note"/>
    <w:basedOn w:val="BodyText"/>
    <w:rsid w:val="00A96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6E16"/>
    <w:pPr>
      <w:framePr w:wrap="auto" w:hAnchor="text" w:y="6049"/>
    </w:pPr>
    <w:rPr>
      <w:color w:val="000000"/>
      <w:sz w:val="40"/>
    </w:rPr>
  </w:style>
  <w:style w:type="paragraph" w:customStyle="1" w:styleId="TOCTitle">
    <w:name w:val="TOCTitle"/>
    <w:basedOn w:val="Heading1"/>
    <w:rsid w:val="00A96E16"/>
    <w:pPr>
      <w:spacing w:after="240"/>
      <w:jc w:val="center"/>
      <w:outlineLvl w:val="9"/>
    </w:pPr>
    <w:rPr>
      <w:caps/>
    </w:rPr>
  </w:style>
  <w:style w:type="paragraph" w:customStyle="1" w:styleId="Version">
    <w:name w:val="Version"/>
    <w:rsid w:val="00A96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6E16"/>
    <w:pPr>
      <w:keepNext w:val="0"/>
      <w:tabs>
        <w:tab w:val="right" w:pos="4176"/>
      </w:tabs>
      <w:ind w:left="198" w:hanging="198"/>
    </w:pPr>
    <w:rPr>
      <w:rFonts w:ascii="Garamond" w:hAnsi="Garamond"/>
    </w:rPr>
  </w:style>
  <w:style w:type="paragraph" w:styleId="IndexHeading">
    <w:name w:val="index heading"/>
    <w:basedOn w:val="Normal"/>
    <w:next w:val="Index1"/>
    <w:semiHidden/>
    <w:rsid w:val="00A96E16"/>
    <w:pPr>
      <w:spacing w:before="120" w:after="120"/>
    </w:pPr>
    <w:rPr>
      <w:rFonts w:ascii="Arial" w:hAnsi="Arial"/>
      <w:b/>
      <w:color w:val="918585"/>
      <w:sz w:val="24"/>
    </w:rPr>
  </w:style>
  <w:style w:type="paragraph" w:styleId="Header">
    <w:name w:val="header"/>
    <w:basedOn w:val="Normal"/>
    <w:link w:val="HeaderChar"/>
    <w:rsid w:val="00A96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6E16"/>
    <w:rPr>
      <w:rFonts w:ascii="Times New Roman" w:eastAsia="Times New Roman" w:hAnsi="Times New Roman" w:cs="Times New Roman"/>
      <w:sz w:val="16"/>
      <w:szCs w:val="20"/>
      <w:lang w:val="en-GB" w:eastAsia="en-US"/>
    </w:rPr>
  </w:style>
  <w:style w:type="paragraph" w:customStyle="1" w:styleId="Chapter">
    <w:name w:val="Chapter"/>
    <w:basedOn w:val="Normal"/>
    <w:rsid w:val="00A96E16"/>
    <w:pPr>
      <w:spacing w:before="240"/>
    </w:pPr>
    <w:rPr>
      <w:rFonts w:ascii="Times New Roman" w:hAnsi="Times New Roman"/>
      <w:smallCaps/>
      <w:spacing w:val="80"/>
      <w:sz w:val="28"/>
    </w:rPr>
  </w:style>
  <w:style w:type="paragraph" w:customStyle="1" w:styleId="InChapter">
    <w:name w:val="InChapter"/>
    <w:basedOn w:val="Heading3"/>
    <w:rsid w:val="00A96E16"/>
    <w:pPr>
      <w:spacing w:after="240"/>
      <w:outlineLvl w:val="9"/>
    </w:pPr>
    <w:rPr>
      <w:noProof/>
    </w:rPr>
  </w:style>
  <w:style w:type="paragraph" w:styleId="Index2">
    <w:name w:val="index 2"/>
    <w:basedOn w:val="Normal"/>
    <w:next w:val="Normal"/>
    <w:semiHidden/>
    <w:rsid w:val="00A96E16"/>
    <w:pPr>
      <w:tabs>
        <w:tab w:val="right" w:pos="4176"/>
      </w:tabs>
      <w:ind w:left="568" w:hanging="284"/>
    </w:pPr>
    <w:rPr>
      <w:rFonts w:ascii="Garamond" w:hAnsi="Garamond"/>
    </w:rPr>
  </w:style>
  <w:style w:type="paragraph" w:customStyle="1" w:styleId="Byline">
    <w:name w:val="Byline"/>
    <w:rsid w:val="00A96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6E16"/>
    <w:pPr>
      <w:tabs>
        <w:tab w:val="clear" w:pos="3600"/>
        <w:tab w:val="clear" w:pos="3958"/>
      </w:tabs>
      <w:jc w:val="right"/>
    </w:pPr>
  </w:style>
  <w:style w:type="character" w:styleId="Emphasis">
    <w:name w:val="Emphasis"/>
    <w:basedOn w:val="DefaultParagraphFont"/>
    <w:qFormat/>
    <w:rsid w:val="00A96E16"/>
    <w:rPr>
      <w:i/>
    </w:rPr>
  </w:style>
  <w:style w:type="paragraph" w:styleId="Caption">
    <w:name w:val="caption"/>
    <w:basedOn w:val="BodyText"/>
    <w:next w:val="Normal"/>
    <w:qFormat/>
    <w:rsid w:val="00A96E16"/>
    <w:pPr>
      <w:framePr w:w="2268" w:hSpace="181" w:vSpace="181" w:wrap="around" w:vAnchor="text" w:hAnchor="page" w:x="1135" w:y="285" w:anchorLock="1"/>
    </w:pPr>
    <w:rPr>
      <w:i/>
    </w:rPr>
  </w:style>
  <w:style w:type="paragraph" w:customStyle="1" w:styleId="MiniTOCTitle">
    <w:name w:val="MiniTOCTitle"/>
    <w:basedOn w:val="Heading4"/>
    <w:rsid w:val="00A96E16"/>
    <w:pPr>
      <w:spacing w:before="240"/>
      <w:outlineLvl w:val="9"/>
    </w:pPr>
    <w:rPr>
      <w:noProof/>
      <w:sz w:val="24"/>
    </w:rPr>
  </w:style>
  <w:style w:type="paragraph" w:customStyle="1" w:styleId="MiniTOCItem">
    <w:name w:val="MiniTOCItem"/>
    <w:basedOn w:val="ListBullet"/>
    <w:rsid w:val="00A96E16"/>
    <w:pPr>
      <w:numPr>
        <w:numId w:val="0"/>
      </w:numPr>
      <w:tabs>
        <w:tab w:val="right" w:leader="dot" w:pos="6521"/>
      </w:tabs>
      <w:spacing w:before="0" w:after="0"/>
    </w:pPr>
  </w:style>
  <w:style w:type="paragraph" w:customStyle="1" w:styleId="TOFTitle">
    <w:name w:val="TOFTitle"/>
    <w:basedOn w:val="TOCTitle"/>
    <w:rsid w:val="00A96E16"/>
  </w:style>
  <w:style w:type="paragraph" w:styleId="TableofFigures">
    <w:name w:val="table of figures"/>
    <w:basedOn w:val="Normal"/>
    <w:next w:val="Normal"/>
    <w:semiHidden/>
    <w:rsid w:val="00A96E16"/>
    <w:pPr>
      <w:tabs>
        <w:tab w:val="right" w:leader="dot" w:pos="9072"/>
      </w:tabs>
      <w:ind w:left="970" w:hanging="403"/>
    </w:pPr>
    <w:rPr>
      <w:rFonts w:ascii="Times New Roman" w:hAnsi="Times New Roman"/>
      <w:b/>
    </w:rPr>
  </w:style>
  <w:style w:type="paragraph" w:styleId="ListNumber">
    <w:name w:val="List Number"/>
    <w:basedOn w:val="List"/>
    <w:rsid w:val="00A96E16"/>
    <w:pPr>
      <w:numPr>
        <w:numId w:val="11"/>
      </w:numPr>
    </w:pPr>
  </w:style>
  <w:style w:type="character" w:customStyle="1" w:styleId="WingdingSymbols">
    <w:name w:val="Wingding Symbols"/>
    <w:rsid w:val="00A96E16"/>
    <w:rPr>
      <w:rFonts w:ascii="Wingdings" w:hAnsi="Wingdings"/>
    </w:rPr>
  </w:style>
  <w:style w:type="paragraph" w:customStyle="1" w:styleId="TableHeading">
    <w:name w:val="Table Heading"/>
    <w:basedOn w:val="HeadingBase"/>
    <w:rsid w:val="00A96E16"/>
    <w:pPr>
      <w:keepLines/>
      <w:pBdr>
        <w:bottom w:val="single" w:sz="6" w:space="1" w:color="918585"/>
      </w:pBdr>
      <w:spacing w:before="240"/>
    </w:pPr>
  </w:style>
  <w:style w:type="character" w:customStyle="1" w:styleId="HotSpot">
    <w:name w:val="HotSpot"/>
    <w:rsid w:val="00A96E16"/>
    <w:rPr>
      <w:color w:val="0033CC"/>
      <w:u w:val="none"/>
    </w:rPr>
  </w:style>
  <w:style w:type="paragraph" w:customStyle="1" w:styleId="BodyTextRight">
    <w:name w:val="Body Text Right"/>
    <w:basedOn w:val="BodyText"/>
    <w:rsid w:val="00A96E16"/>
    <w:pPr>
      <w:spacing w:before="0" w:after="0"/>
      <w:jc w:val="right"/>
    </w:pPr>
  </w:style>
  <w:style w:type="paragraph" w:styleId="Index3">
    <w:name w:val="index 3"/>
    <w:basedOn w:val="ListNumber2"/>
    <w:next w:val="Normal"/>
    <w:semiHidden/>
    <w:rsid w:val="00A96E16"/>
    <w:pPr>
      <w:numPr>
        <w:numId w:val="0"/>
      </w:numPr>
      <w:tabs>
        <w:tab w:val="right" w:leader="dot" w:pos="4176"/>
      </w:tabs>
    </w:pPr>
  </w:style>
  <w:style w:type="paragraph" w:styleId="ListNumber2">
    <w:name w:val="List Number 2"/>
    <w:basedOn w:val="List2"/>
    <w:rsid w:val="00A96E16"/>
    <w:pPr>
      <w:numPr>
        <w:numId w:val="10"/>
      </w:numPr>
      <w:tabs>
        <w:tab w:val="clear" w:pos="1060"/>
      </w:tabs>
    </w:pPr>
  </w:style>
  <w:style w:type="paragraph" w:customStyle="1" w:styleId="MarginNote">
    <w:name w:val="Margin Note"/>
    <w:basedOn w:val="BodyText"/>
    <w:rsid w:val="00A96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6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6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6E16"/>
    <w:rPr>
      <w:sz w:val="32"/>
    </w:rPr>
  </w:style>
  <w:style w:type="paragraph" w:customStyle="1" w:styleId="HeadingProcedure">
    <w:name w:val="Heading Procedure"/>
    <w:basedOn w:val="HeadingBase"/>
    <w:next w:val="Normal"/>
    <w:rsid w:val="00A96E16"/>
    <w:pPr>
      <w:tabs>
        <w:tab w:val="left" w:pos="0"/>
      </w:tabs>
      <w:spacing w:before="120" w:after="60"/>
    </w:pPr>
    <w:rPr>
      <w:i/>
      <w:color w:val="918585"/>
      <w:sz w:val="22"/>
    </w:rPr>
  </w:style>
  <w:style w:type="paragraph" w:customStyle="1" w:styleId="TableBodyText">
    <w:name w:val="Table Body Text"/>
    <w:basedOn w:val="BodyText"/>
    <w:rsid w:val="00A96E16"/>
    <w:pPr>
      <w:spacing w:before="60" w:after="60"/>
    </w:pPr>
  </w:style>
  <w:style w:type="paragraph" w:styleId="ListContinue">
    <w:name w:val="List Continue"/>
    <w:basedOn w:val="List"/>
    <w:rsid w:val="00A96E16"/>
    <w:pPr>
      <w:ind w:firstLine="0"/>
    </w:pPr>
  </w:style>
  <w:style w:type="paragraph" w:customStyle="1" w:styleId="ListNote">
    <w:name w:val="List Note"/>
    <w:basedOn w:val="List"/>
    <w:rsid w:val="00A96E16"/>
    <w:pPr>
      <w:pBdr>
        <w:top w:val="single" w:sz="6" w:space="2" w:color="918585"/>
        <w:bottom w:val="single" w:sz="6" w:space="2" w:color="918585"/>
      </w:pBdr>
      <w:tabs>
        <w:tab w:val="left" w:pos="1021"/>
      </w:tabs>
      <w:ind w:firstLine="0"/>
    </w:pPr>
  </w:style>
  <w:style w:type="paragraph" w:customStyle="1" w:styleId="Warning">
    <w:name w:val="Warning"/>
    <w:basedOn w:val="BodyText"/>
    <w:rsid w:val="00A96E16"/>
    <w:pPr>
      <w:shd w:val="clear" w:color="auto" w:fill="D9D9D9"/>
      <w:tabs>
        <w:tab w:val="left" w:pos="992"/>
      </w:tabs>
      <w:ind w:left="119" w:right="119"/>
    </w:pPr>
    <w:rPr>
      <w:sz w:val="20"/>
    </w:rPr>
  </w:style>
  <w:style w:type="paragraph" w:customStyle="1" w:styleId="MarginIcons">
    <w:name w:val="Margin Icons"/>
    <w:basedOn w:val="BodyText"/>
    <w:rsid w:val="00A96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6E16"/>
    <w:rPr>
      <w:rFonts w:ascii="Courier New" w:hAnsi="Courier New"/>
    </w:rPr>
  </w:style>
  <w:style w:type="paragraph" w:customStyle="1" w:styleId="NoteBullet">
    <w:name w:val="Note Bullet"/>
    <w:basedOn w:val="Note"/>
    <w:rsid w:val="00A96E16"/>
    <w:pPr>
      <w:tabs>
        <w:tab w:val="clear" w:pos="680"/>
      </w:tabs>
      <w:spacing w:before="60" w:after="60"/>
    </w:pPr>
  </w:style>
  <w:style w:type="paragraph" w:customStyle="1" w:styleId="SubHeading2">
    <w:name w:val="SubHeading2"/>
    <w:basedOn w:val="HeadingBase"/>
    <w:rsid w:val="00A96E16"/>
    <w:pPr>
      <w:spacing w:before="240" w:after="60"/>
    </w:pPr>
    <w:rPr>
      <w:sz w:val="20"/>
    </w:rPr>
  </w:style>
  <w:style w:type="paragraph" w:customStyle="1" w:styleId="SubHeading1">
    <w:name w:val="SubHeading1"/>
    <w:basedOn w:val="HeadingBase"/>
    <w:rsid w:val="00A96E16"/>
    <w:pPr>
      <w:spacing w:before="240" w:after="60"/>
    </w:pPr>
    <w:rPr>
      <w:color w:val="918585"/>
      <w:sz w:val="22"/>
    </w:rPr>
  </w:style>
  <w:style w:type="paragraph" w:customStyle="1" w:styleId="SideHeading">
    <w:name w:val="Side Heading"/>
    <w:basedOn w:val="HeadingBase"/>
    <w:rsid w:val="00A96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6E16"/>
    <w:pPr>
      <w:numPr>
        <w:numId w:val="12"/>
      </w:numPr>
    </w:pPr>
  </w:style>
  <w:style w:type="paragraph" w:styleId="PlainText">
    <w:name w:val="Plain Text"/>
    <w:basedOn w:val="Normal"/>
    <w:link w:val="PlainTextChar"/>
    <w:rsid w:val="00A96E16"/>
    <w:rPr>
      <w:sz w:val="20"/>
    </w:rPr>
  </w:style>
  <w:style w:type="character" w:customStyle="1" w:styleId="PlainTextChar">
    <w:name w:val="Plain Text Char"/>
    <w:basedOn w:val="DefaultParagraphFont"/>
    <w:link w:val="PlainText"/>
    <w:rsid w:val="00A96E16"/>
    <w:rPr>
      <w:rFonts w:ascii="Courier New" w:eastAsia="Times New Roman" w:hAnsi="Courier New" w:cs="Times New Roman"/>
      <w:sz w:val="20"/>
      <w:szCs w:val="20"/>
      <w:lang w:eastAsia="en-US"/>
    </w:rPr>
  </w:style>
  <w:style w:type="character" w:customStyle="1" w:styleId="MenuOption">
    <w:name w:val="Menu Option"/>
    <w:basedOn w:val="DefaultParagraphFont"/>
    <w:rsid w:val="00A96E16"/>
    <w:rPr>
      <w:b/>
      <w:smallCaps/>
    </w:rPr>
  </w:style>
  <w:style w:type="paragraph" w:customStyle="1" w:styleId="TableListNumber">
    <w:name w:val="Table List Number"/>
    <w:basedOn w:val="ListNumber"/>
    <w:rsid w:val="00A96E16"/>
    <w:pPr>
      <w:numPr>
        <w:numId w:val="0"/>
      </w:numPr>
    </w:pPr>
  </w:style>
  <w:style w:type="paragraph" w:styleId="TOC4">
    <w:name w:val="toc 4"/>
    <w:basedOn w:val="TOCBase"/>
    <w:next w:val="Normal"/>
    <w:semiHidden/>
    <w:rsid w:val="00A96E16"/>
    <w:pPr>
      <w:tabs>
        <w:tab w:val="right" w:leader="dot" w:pos="9071"/>
      </w:tabs>
      <w:ind w:left="1701"/>
    </w:pPr>
  </w:style>
  <w:style w:type="paragraph" w:customStyle="1" w:styleId="ListAlpha">
    <w:name w:val="List Alpha"/>
    <w:basedOn w:val="List"/>
    <w:rsid w:val="00A96E16"/>
    <w:pPr>
      <w:numPr>
        <w:numId w:val="9"/>
      </w:numPr>
    </w:pPr>
  </w:style>
  <w:style w:type="paragraph" w:customStyle="1" w:styleId="ListAlpha2">
    <w:name w:val="List Alpha 2"/>
    <w:basedOn w:val="List2"/>
    <w:rsid w:val="00A96E16"/>
    <w:pPr>
      <w:numPr>
        <w:numId w:val="8"/>
      </w:numPr>
    </w:pPr>
  </w:style>
  <w:style w:type="paragraph" w:styleId="List2">
    <w:name w:val="List 2"/>
    <w:basedOn w:val="BodyText"/>
    <w:rsid w:val="00A96E16"/>
    <w:pPr>
      <w:tabs>
        <w:tab w:val="left" w:pos="680"/>
      </w:tabs>
      <w:spacing w:before="60" w:after="60"/>
      <w:ind w:left="680" w:hanging="340"/>
    </w:pPr>
  </w:style>
  <w:style w:type="paragraph" w:styleId="List3">
    <w:name w:val="List 3"/>
    <w:basedOn w:val="BodyText"/>
    <w:rsid w:val="00A96E16"/>
    <w:pPr>
      <w:tabs>
        <w:tab w:val="left" w:pos="1021"/>
      </w:tabs>
      <w:spacing w:before="60" w:after="60"/>
      <w:ind w:left="1020" w:hanging="340"/>
    </w:pPr>
  </w:style>
  <w:style w:type="paragraph" w:styleId="List4">
    <w:name w:val="List 4"/>
    <w:basedOn w:val="BodyText"/>
    <w:rsid w:val="00A96E16"/>
    <w:pPr>
      <w:tabs>
        <w:tab w:val="left" w:pos="1361"/>
      </w:tabs>
      <w:spacing w:before="60" w:after="60"/>
      <w:ind w:left="1361" w:hanging="340"/>
    </w:pPr>
  </w:style>
  <w:style w:type="paragraph" w:styleId="List5">
    <w:name w:val="List 5"/>
    <w:basedOn w:val="BodyText"/>
    <w:rsid w:val="00A96E16"/>
    <w:pPr>
      <w:tabs>
        <w:tab w:val="left" w:pos="1701"/>
      </w:tabs>
      <w:spacing w:before="60" w:after="60"/>
      <w:ind w:left="1701" w:hanging="340"/>
    </w:pPr>
  </w:style>
  <w:style w:type="paragraph" w:styleId="ListBullet3">
    <w:name w:val="List Bullet 3"/>
    <w:basedOn w:val="List3"/>
    <w:rsid w:val="00A96E16"/>
    <w:pPr>
      <w:numPr>
        <w:numId w:val="15"/>
      </w:numPr>
      <w:tabs>
        <w:tab w:val="clear" w:pos="1021"/>
      </w:tabs>
      <w:ind w:left="1037" w:hanging="357"/>
    </w:pPr>
  </w:style>
  <w:style w:type="paragraph" w:styleId="ListBullet4">
    <w:name w:val="List Bullet 4"/>
    <w:basedOn w:val="List4"/>
    <w:rsid w:val="00A96E16"/>
    <w:pPr>
      <w:numPr>
        <w:numId w:val="3"/>
      </w:numPr>
    </w:pPr>
  </w:style>
  <w:style w:type="paragraph" w:styleId="ListBullet5">
    <w:name w:val="List Bullet 5"/>
    <w:basedOn w:val="List5"/>
    <w:rsid w:val="00A96E16"/>
    <w:pPr>
      <w:numPr>
        <w:numId w:val="4"/>
      </w:numPr>
    </w:pPr>
  </w:style>
  <w:style w:type="paragraph" w:styleId="ListContinue2">
    <w:name w:val="List Continue 2"/>
    <w:basedOn w:val="List2"/>
    <w:rsid w:val="00A96E16"/>
    <w:pPr>
      <w:ind w:firstLine="0"/>
    </w:pPr>
  </w:style>
  <w:style w:type="paragraph" w:styleId="ListContinue3">
    <w:name w:val="List Continue 3"/>
    <w:basedOn w:val="List3"/>
    <w:rsid w:val="00A96E16"/>
    <w:pPr>
      <w:ind w:left="1021" w:firstLine="0"/>
    </w:pPr>
  </w:style>
  <w:style w:type="paragraph" w:styleId="ListContinue4">
    <w:name w:val="List Continue 4"/>
    <w:basedOn w:val="List4"/>
    <w:rsid w:val="00A96E16"/>
    <w:pPr>
      <w:ind w:firstLine="0"/>
    </w:pPr>
  </w:style>
  <w:style w:type="paragraph" w:styleId="ListContinue5">
    <w:name w:val="List Continue 5"/>
    <w:basedOn w:val="List5"/>
    <w:rsid w:val="00A96E16"/>
    <w:pPr>
      <w:ind w:firstLine="0"/>
    </w:pPr>
  </w:style>
  <w:style w:type="paragraph" w:styleId="ListNumber3">
    <w:name w:val="List Number 3"/>
    <w:basedOn w:val="List3"/>
    <w:rsid w:val="00A96E16"/>
    <w:pPr>
      <w:numPr>
        <w:numId w:val="5"/>
      </w:numPr>
    </w:pPr>
  </w:style>
  <w:style w:type="paragraph" w:styleId="ListNumber4">
    <w:name w:val="List Number 4"/>
    <w:basedOn w:val="List4"/>
    <w:rsid w:val="00A96E16"/>
    <w:pPr>
      <w:numPr>
        <w:numId w:val="6"/>
      </w:numPr>
    </w:pPr>
  </w:style>
  <w:style w:type="paragraph" w:styleId="ListNumber5">
    <w:name w:val="List Number 5"/>
    <w:basedOn w:val="List5"/>
    <w:rsid w:val="00A96E16"/>
    <w:pPr>
      <w:numPr>
        <w:numId w:val="7"/>
      </w:numPr>
    </w:pPr>
  </w:style>
  <w:style w:type="paragraph" w:styleId="BlockText">
    <w:name w:val="Block Text"/>
    <w:basedOn w:val="Normal"/>
    <w:rsid w:val="00A96E16"/>
    <w:pPr>
      <w:spacing w:after="120"/>
      <w:ind w:left="1440" w:right="1440"/>
    </w:pPr>
  </w:style>
  <w:style w:type="character" w:customStyle="1" w:styleId="Subscript">
    <w:name w:val="Subscript"/>
    <w:basedOn w:val="DefaultParagraphFont"/>
    <w:rsid w:val="00A96E16"/>
    <w:rPr>
      <w:sz w:val="16"/>
      <w:vertAlign w:val="subscript"/>
    </w:rPr>
  </w:style>
  <w:style w:type="character" w:customStyle="1" w:styleId="Superscript">
    <w:name w:val="Superscript"/>
    <w:basedOn w:val="DefaultParagraphFont"/>
    <w:rsid w:val="00A96E16"/>
    <w:rPr>
      <w:sz w:val="16"/>
      <w:vertAlign w:val="superscript"/>
    </w:rPr>
  </w:style>
  <w:style w:type="character" w:customStyle="1" w:styleId="Symbols">
    <w:name w:val="Symbols"/>
    <w:basedOn w:val="DefaultParagraphFont"/>
    <w:rsid w:val="00A96E16"/>
    <w:rPr>
      <w:rFonts w:ascii="Symbol" w:hAnsi="Symbol"/>
    </w:rPr>
  </w:style>
  <w:style w:type="character" w:customStyle="1" w:styleId="MenuOptions">
    <w:name w:val="Menu Options"/>
    <w:basedOn w:val="DefaultParagraphFont"/>
    <w:rsid w:val="00A96E16"/>
    <w:rPr>
      <w:rFonts w:ascii="Arial Narrow" w:hAnsi="Arial Narrow"/>
      <w:smallCaps/>
    </w:rPr>
  </w:style>
  <w:style w:type="character" w:customStyle="1" w:styleId="Buttons">
    <w:name w:val="Buttons"/>
    <w:basedOn w:val="DefaultParagraphFont"/>
    <w:rsid w:val="00A96E16"/>
    <w:rPr>
      <w:b/>
    </w:rPr>
  </w:style>
  <w:style w:type="character" w:customStyle="1" w:styleId="Underlined">
    <w:name w:val="Underlined"/>
    <w:basedOn w:val="DefaultParagraphFont"/>
    <w:rsid w:val="00A96E16"/>
    <w:rPr>
      <w:u w:val="single"/>
    </w:rPr>
  </w:style>
  <w:style w:type="paragraph" w:customStyle="1" w:styleId="TableBodyTextRight">
    <w:name w:val="Table Body Text Right"/>
    <w:basedOn w:val="TableBodyText"/>
    <w:rsid w:val="00A96E16"/>
    <w:pPr>
      <w:widowControl w:val="0"/>
      <w:autoSpaceDE w:val="0"/>
      <w:autoSpaceDN w:val="0"/>
      <w:adjustRightInd w:val="0"/>
      <w:jc w:val="right"/>
    </w:pPr>
    <w:rPr>
      <w:rFonts w:cs="Arial"/>
      <w:szCs w:val="18"/>
    </w:rPr>
  </w:style>
  <w:style w:type="paragraph" w:customStyle="1" w:styleId="CopyrightText">
    <w:name w:val="Copyright Text"/>
    <w:basedOn w:val="BodyText"/>
    <w:rsid w:val="00A96E16"/>
    <w:rPr>
      <w:sz w:val="18"/>
    </w:rPr>
  </w:style>
  <w:style w:type="paragraph" w:customStyle="1" w:styleId="BodySmallRight">
    <w:name w:val="Body Small Right"/>
    <w:basedOn w:val="BodyTextRight"/>
    <w:rsid w:val="00A96E16"/>
    <w:rPr>
      <w:sz w:val="18"/>
      <w:szCs w:val="18"/>
    </w:rPr>
  </w:style>
  <w:style w:type="paragraph" w:customStyle="1" w:styleId="MarginEdition">
    <w:name w:val="Margin Edition"/>
    <w:basedOn w:val="MarginNote"/>
    <w:rsid w:val="00A96E16"/>
    <w:pPr>
      <w:spacing w:before="0" w:after="0"/>
    </w:pPr>
    <w:rPr>
      <w:rFonts w:ascii="Times New Roman" w:hAnsi="Times New Roman"/>
      <w:color w:val="999999"/>
    </w:rPr>
  </w:style>
  <w:style w:type="paragraph" w:customStyle="1" w:styleId="Spacer">
    <w:name w:val="Spacer"/>
    <w:basedOn w:val="Normal"/>
    <w:rsid w:val="00A96E16"/>
    <w:rPr>
      <w:sz w:val="2"/>
      <w:szCs w:val="2"/>
    </w:rPr>
  </w:style>
  <w:style w:type="character" w:customStyle="1" w:styleId="Small">
    <w:name w:val="Small"/>
    <w:basedOn w:val="DefaultParagraphFont"/>
    <w:rsid w:val="00A96E16"/>
    <w:rPr>
      <w:sz w:val="16"/>
    </w:rPr>
  </w:style>
  <w:style w:type="paragraph" w:customStyle="1" w:styleId="WideTable">
    <w:name w:val="Wide Table"/>
    <w:basedOn w:val="Normal"/>
    <w:rsid w:val="00A96E16"/>
    <w:pPr>
      <w:ind w:left="-1418"/>
    </w:pPr>
    <w:rPr>
      <w:sz w:val="2"/>
      <w:szCs w:val="2"/>
    </w:rPr>
  </w:style>
  <w:style w:type="character" w:styleId="PageNumber">
    <w:name w:val="page number"/>
    <w:basedOn w:val="DefaultParagraphFont"/>
    <w:rsid w:val="00A96E16"/>
  </w:style>
  <w:style w:type="paragraph" w:styleId="Quote">
    <w:name w:val="Quote"/>
    <w:basedOn w:val="Heading1"/>
    <w:link w:val="QuoteChar"/>
    <w:qFormat/>
    <w:rsid w:val="00A96E16"/>
    <w:rPr>
      <w:b w:val="0"/>
      <w:sz w:val="72"/>
      <w:szCs w:val="72"/>
      <w:lang w:val="en-NZ"/>
    </w:rPr>
  </w:style>
  <w:style w:type="character" w:customStyle="1" w:styleId="QuoteChar">
    <w:name w:val="Quote Char"/>
    <w:basedOn w:val="DefaultParagraphFont"/>
    <w:link w:val="Quote"/>
    <w:rsid w:val="00A96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6E16"/>
    <w:pPr>
      <w:pageBreakBefore/>
    </w:pPr>
  </w:style>
  <w:style w:type="paragraph" w:customStyle="1" w:styleId="Border">
    <w:name w:val="Border"/>
    <w:basedOn w:val="Normal"/>
    <w:qFormat/>
    <w:rsid w:val="00A96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6E16"/>
    <w:rPr>
      <w:b/>
      <w:bCs/>
      <w:i/>
      <w:iCs/>
      <w:color w:val="auto"/>
    </w:rPr>
  </w:style>
  <w:style w:type="paragraph" w:styleId="IntenseQuote">
    <w:name w:val="Intense Quote"/>
    <w:basedOn w:val="Normal"/>
    <w:next w:val="Normal"/>
    <w:link w:val="IntenseQuoteChar"/>
    <w:uiPriority w:val="30"/>
    <w:qFormat/>
    <w:rsid w:val="00A96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6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6E16"/>
    <w:rPr>
      <w:smallCaps/>
      <w:color w:val="auto"/>
      <w:u w:val="single"/>
    </w:rPr>
  </w:style>
  <w:style w:type="character" w:styleId="IntenseReference">
    <w:name w:val="Intense Reference"/>
    <w:basedOn w:val="DefaultParagraphFont"/>
    <w:uiPriority w:val="32"/>
    <w:qFormat/>
    <w:rsid w:val="00A96E16"/>
    <w:rPr>
      <w:b/>
      <w:bCs/>
      <w:smallCaps/>
      <w:color w:val="auto"/>
      <w:spacing w:val="5"/>
      <w:u w:val="single"/>
    </w:rPr>
  </w:style>
  <w:style w:type="paragraph" w:customStyle="1" w:styleId="2ColumnHeading">
    <w:name w:val="2Column Heading"/>
    <w:basedOn w:val="BodyText"/>
    <w:qFormat/>
    <w:rsid w:val="00A96E16"/>
    <w:pPr>
      <w:spacing w:after="60"/>
      <w:ind w:left="-2268"/>
    </w:pPr>
    <w:rPr>
      <w:b/>
    </w:rPr>
  </w:style>
  <w:style w:type="paragraph" w:customStyle="1" w:styleId="Heading1TOC">
    <w:name w:val="Heading1 TOC"/>
    <w:basedOn w:val="Normal"/>
    <w:qFormat/>
    <w:rsid w:val="00A96E16"/>
    <w:pPr>
      <w:spacing w:before="240" w:after="120"/>
    </w:pPr>
    <w:rPr>
      <w:rFonts w:ascii="Times New Roman" w:hAnsi="Times New Roman"/>
      <w:b/>
      <w:sz w:val="32"/>
    </w:rPr>
  </w:style>
  <w:style w:type="paragraph" w:customStyle="1" w:styleId="Heading2TOC">
    <w:name w:val="Heading2 TOC"/>
    <w:basedOn w:val="Normal"/>
    <w:qFormat/>
    <w:rsid w:val="00A96E16"/>
    <w:pPr>
      <w:spacing w:before="240" w:after="60"/>
    </w:pPr>
    <w:rPr>
      <w:rFonts w:ascii="Times New Roman" w:hAnsi="Times New Roman"/>
      <w:b/>
      <w:sz w:val="28"/>
    </w:rPr>
  </w:style>
  <w:style w:type="character" w:customStyle="1" w:styleId="Underline">
    <w:name w:val="Underline"/>
    <w:basedOn w:val="DefaultParagraphFont"/>
    <w:qFormat/>
    <w:rsid w:val="00A96E16"/>
    <w:rPr>
      <w:u w:val="single"/>
    </w:rPr>
  </w:style>
  <w:style w:type="character" w:customStyle="1" w:styleId="BoldandItalics">
    <w:name w:val="Bold and Italics"/>
    <w:qFormat/>
    <w:rsid w:val="00A96E16"/>
    <w:rPr>
      <w:b/>
      <w:i/>
      <w:u w:val="none"/>
    </w:rPr>
  </w:style>
  <w:style w:type="paragraph" w:styleId="BalloonText">
    <w:name w:val="Balloon Text"/>
    <w:basedOn w:val="Normal"/>
    <w:link w:val="BalloonTextChar"/>
    <w:rsid w:val="00A96E16"/>
    <w:rPr>
      <w:rFonts w:ascii="Tahoma" w:hAnsi="Tahoma" w:cs="Tahoma"/>
      <w:sz w:val="16"/>
      <w:szCs w:val="16"/>
    </w:rPr>
  </w:style>
  <w:style w:type="character" w:customStyle="1" w:styleId="BalloonTextChar">
    <w:name w:val="Balloon Text Char"/>
    <w:basedOn w:val="DefaultParagraphFont"/>
    <w:link w:val="BalloonText"/>
    <w:rsid w:val="00A96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6E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6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6E16"/>
    <w:rPr>
      <w:b/>
      <w:color w:val="660033"/>
      <w:spacing w:val="0"/>
    </w:rPr>
  </w:style>
  <w:style w:type="paragraph" w:customStyle="1" w:styleId="Nameditemlist">
    <w:name w:val="Named item list"/>
    <w:basedOn w:val="BodyText"/>
    <w:qFormat/>
    <w:rsid w:val="00A96E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2552</Words>
  <Characters>15310</Characters>
  <Application>Microsoft Office Word</Application>
  <DocSecurity>0</DocSecurity>
  <Lines>769</Lines>
  <Paragraphs>316</Paragraphs>
  <ScaleCrop>false</ScaleCrop>
  <Company>Author-it Software Corporation Ltd.</Company>
  <LinksUpToDate>false</LinksUpToDate>
  <CharactersWithSpaces>17580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UEGNSG114A Coordinate and monitor implementation of a risk management plan for a utilities industry facility</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2012-10-10T08:49:00Z</dcterms:created>
  <dcterms:modified xsi:type="dcterms:W3CDTF">2012-10-10T08:49:00Z</dcterms:modified>
</cp:coreProperties>
</file>