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A1A" w:rsidP="00306A1A">
      <w:pPr>
        <w:pStyle w:val="Title"/>
      </w:pPr>
      <w:bookmarkStart w:id="0" w:name="_GoBack"/>
      <w:bookmarkEnd w:id="0"/>
      <w:r>
        <w:fldChar w:fldCharType="begin"/>
      </w:r>
      <w:r>
        <w:instrText xml:space="preserve"> TITLE   \* MERGEFORMAT </w:instrText>
      </w:r>
      <w:r>
        <w:fldChar w:fldCharType="separate"/>
      </w:r>
      <w:r>
        <w:t>UEGNSG110A Supervise technical operations for gas distribution/transmission</w:t>
      </w:r>
      <w:r>
        <w:fldChar w:fldCharType="end"/>
      </w:r>
    </w:p>
    <w:p w:rsidR="00306A1A" w:rsidP="00306A1A">
      <w:pPr>
        <w:pStyle w:val="Version"/>
        <w:sectPr w:rsidSect="00315D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D5D" w:rsidP="00315D5D">
      <w:pPr>
        <w:pStyle w:val="SuperHeading"/>
      </w:pPr>
      <w:r w:rsidRPr="00315D5D">
        <w:t>UEGNSG110A Supervise technical operations for gas distribution/transmission</w:t>
      </w:r>
    </w:p>
    <w:p w:rsidR="00000000" w:rsidRPr="00315D5D" w:rsidP="00315D5D">
      <w:pPr>
        <w:pStyle w:val="Heading1"/>
      </w:pPr>
      <w:bookmarkStart w:id="1" w:name="O_275082"/>
      <w:bookmarkEnd w:id="1"/>
      <w:r w:rsidRPr="00315D5D">
        <w:t>Modification History</w:t>
      </w:r>
    </w:p>
    <w:p w:rsidR="00000000" w:rsidRPr="00315D5D" w:rsidP="00315D5D">
      <w:pPr>
        <w:pStyle w:val="BodyText"/>
      </w:pPr>
      <w:r w:rsidRPr="00315D5D">
        <w:t>Not Applicable</w:t>
      </w:r>
    </w:p>
    <w:p w:rsidR="00000000" w:rsidRPr="00315D5D" w:rsidP="00315D5D">
      <w:pPr>
        <w:pStyle w:val="AllowPageBreak"/>
      </w:pPr>
    </w:p>
    <w:p w:rsidR="00000000" w:rsidRPr="00315D5D" w:rsidP="00315D5D">
      <w:pPr>
        <w:pStyle w:val="Heading1"/>
      </w:pPr>
      <w:bookmarkStart w:id="2" w:name="O_229316"/>
      <w:bookmarkEnd w:id="2"/>
      <w:r w:rsidRPr="00315D5D">
        <w:t>Unit Descriptor</w:t>
      </w:r>
    </w:p>
    <w:tbl>
      <w:tblPr>
        <w:tblW w:w="0" w:type="auto"/>
        <w:tblLayout w:type="fixed"/>
        <w:tblCellMar>
          <w:left w:w="62" w:type="dxa"/>
          <w:right w:w="62" w:type="dxa"/>
        </w:tblCellMar>
        <w:tblLook w:val="0000"/>
      </w:tblPr>
      <w:tblGrid>
        <w:gridCol w:w="2700"/>
        <w:gridCol w:w="5760"/>
      </w:tblGrid>
      <w:tr w:rsidTr="00306A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1</w:t>
            </w:r>
            <w:r w:rsidRPr="00315D5D">
              <w:t>)</w:t>
            </w:r>
          </w:p>
        </w:tc>
      </w:tr>
      <w:tr w:rsidTr="00306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t>This Unit covers the skills and knowledge required to supervise technical operations for gas distribution and transmission. The competency standard refers to Resources; Operational; Monitoring; Relevant Personnel; Types of Faults; Reports.</w:t>
            </w:r>
          </w:p>
        </w:tc>
      </w:tr>
    </w:tbl>
    <w:p w:rsidR="00306A1A" w:rsidP="00315D5D">
      <w:pPr>
        <w:pStyle w:val="BodyText"/>
      </w:pPr>
    </w:p>
    <w:p w:rsidR="00306A1A" w:rsidP="00315D5D">
      <w:pPr>
        <w:pStyle w:val="BodyText"/>
      </w:pPr>
    </w:p>
    <w:p w:rsidR="00000000" w:rsidRPr="00315D5D" w:rsidP="00315D5D">
      <w:pPr>
        <w:pStyle w:val="Heading1"/>
      </w:pPr>
      <w:bookmarkStart w:id="3" w:name="O_229319"/>
      <w:bookmarkEnd w:id="3"/>
      <w:r w:rsidRPr="00315D5D">
        <w:t>Application of the Unit</w:t>
      </w:r>
    </w:p>
    <w:tbl>
      <w:tblPr>
        <w:tblW w:w="0" w:type="auto"/>
        <w:tblLayout w:type="fixed"/>
        <w:tblCellMar>
          <w:left w:w="62" w:type="dxa"/>
          <w:right w:w="62" w:type="dxa"/>
        </w:tblCellMar>
        <w:tblLook w:val="0000"/>
      </w:tblPr>
      <w:tblGrid>
        <w:gridCol w:w="2700"/>
        <w:gridCol w:w="5760"/>
      </w:tblGrid>
      <w:tr w:rsidTr="00306A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3</w:t>
            </w:r>
            <w:r w:rsidRPr="00315D5D">
              <w:t xml:space="preserve">) </w:t>
            </w:r>
          </w:p>
        </w:tc>
      </w:tr>
      <w:tr w:rsidTr="00306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t>This competency standard shall apply to any basic and safe work site where Gas Industry operations occur. It could also apply, where applicable to other workplaces in the electricity supply industry</w:t>
            </w:r>
            <w:r w:rsidRPr="00315D5D">
              <w:t xml:space="preserve"> (transmission and distribution and generation), the electrotechnology industry and the water industry, subject to all Occupational Health and Safety and duty of care requirements being met for the workplace.</w:t>
            </w:r>
          </w:p>
        </w:tc>
      </w:tr>
    </w:tbl>
    <w:p w:rsidR="00306A1A" w:rsidP="00315D5D">
      <w:pPr>
        <w:pStyle w:val="BodyText"/>
      </w:pPr>
    </w:p>
    <w:p w:rsidR="00306A1A" w:rsidP="00315D5D">
      <w:pPr>
        <w:pStyle w:val="BodyText"/>
      </w:pPr>
    </w:p>
    <w:p w:rsidR="00000000" w:rsidRPr="00315D5D" w:rsidP="00315D5D">
      <w:pPr>
        <w:pStyle w:val="Heading1"/>
      </w:pPr>
      <w:bookmarkStart w:id="4" w:name="O_229320"/>
      <w:bookmarkEnd w:id="4"/>
      <w:r w:rsidRPr="00315D5D">
        <w:t>Licensing/Regulatory Information</w:t>
      </w:r>
    </w:p>
    <w:tbl>
      <w:tblPr>
        <w:tblW w:w="0" w:type="auto"/>
        <w:tblLayout w:type="fixed"/>
        <w:tblCellMar>
          <w:left w:w="62" w:type="dxa"/>
          <w:right w:w="62" w:type="dxa"/>
        </w:tblCellMar>
        <w:tblLook w:val="0000"/>
      </w:tblPr>
      <w:tblGrid>
        <w:gridCol w:w="2700"/>
        <w:gridCol w:w="5760"/>
      </w:tblGrid>
      <w:tr w:rsidTr="00306A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3</w:t>
            </w:r>
            <w:r w:rsidRPr="00315D5D">
              <w:t>.</w:t>
            </w:r>
            <w:r w:rsidRPr="00315D5D">
              <w:rPr>
                <w:rStyle w:val="SpecialBold"/>
              </w:rPr>
              <w:t>1</w:t>
            </w:r>
            <w:r w:rsidRPr="00315D5D">
              <w:t xml:space="preserve">) </w:t>
            </w:r>
          </w:p>
        </w:tc>
      </w:tr>
      <w:tr w:rsidTr="00306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t>The skills and knowledge described in this unit are not subject to licence regulation other than those directly related to Occupational Health and Safety, gas/electricity/water industry safety an</w:t>
            </w:r>
            <w:r w:rsidRPr="00315D5D">
              <w:t xml:space="preserve">d compliance, industrial relations, environmental protection, telecommunications, anti discrimination and training. Commonwealth, State/Territory or Local Government </w:t>
            </w:r>
            <w:r w:rsidRPr="00315D5D">
              <w:t>legislation and regulations may exist that limit the age at which a person can operate cer</w:t>
            </w:r>
            <w:r w:rsidRPr="00315D5D">
              <w:t>tain equipment.</w:t>
            </w:r>
          </w:p>
        </w:tc>
      </w:tr>
    </w:tbl>
    <w:p w:rsidR="00306A1A" w:rsidP="00315D5D">
      <w:pPr>
        <w:pStyle w:val="BodyText"/>
      </w:pPr>
    </w:p>
    <w:p w:rsidR="00306A1A" w:rsidP="00315D5D">
      <w:pPr>
        <w:pStyle w:val="BodyText"/>
      </w:pPr>
    </w:p>
    <w:p w:rsidR="00000000" w:rsidRPr="00315D5D" w:rsidP="00315D5D">
      <w:pPr>
        <w:pStyle w:val="Heading1"/>
      </w:pPr>
      <w:bookmarkStart w:id="5" w:name="O_229317"/>
      <w:bookmarkEnd w:id="5"/>
      <w:r w:rsidRPr="00315D5D">
        <w:t>Pre-Requisites</w:t>
      </w:r>
    </w:p>
    <w:tbl>
      <w:tblPr>
        <w:tblW w:w="0" w:type="auto"/>
        <w:tblLayout w:type="fixed"/>
        <w:tblCellMar>
          <w:left w:w="62" w:type="dxa"/>
          <w:right w:w="62" w:type="dxa"/>
        </w:tblCellMar>
        <w:tblLook w:val="0000"/>
      </w:tblPr>
      <w:tblGrid>
        <w:gridCol w:w="2700"/>
        <w:gridCol w:w="1800"/>
        <w:gridCol w:w="3960"/>
      </w:tblGrid>
      <w:tr w:rsidTr="00306A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Prerequisite Unit</w:t>
            </w:r>
            <w:r w:rsidRPr="00315D5D">
              <w:t>(</w:t>
            </w:r>
            <w:r w:rsidRPr="00315D5D">
              <w:rPr>
                <w:rStyle w:val="SpecialBold"/>
              </w:rPr>
              <w:t>s</w:t>
            </w:r>
            <w:r w:rsidRPr="00315D5D">
              <w:t>)</w:t>
            </w:r>
          </w:p>
        </w:tc>
        <w:tc>
          <w:tcPr>
            <w:tcW w:w="5760" w:type="dxa"/>
            <w:gridSpan w:val="2"/>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2</w:t>
            </w:r>
            <w:r w:rsidRPr="00315D5D">
              <w:t xml:space="preserve">) </w:t>
            </w:r>
          </w:p>
        </w:tc>
      </w:tr>
      <w:tr w:rsidTr="00306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2</w:t>
            </w:r>
            <w:r w:rsidRPr="00315D5D">
              <w:t>.</w:t>
            </w:r>
            <w:r w:rsidRPr="00315D5D">
              <w:rPr>
                <w:rStyle w:val="SpecialBold"/>
              </w:rPr>
              <w:t>1</w:t>
            </w:r>
            <w:r w:rsidRPr="00315D5D">
              <w:t xml:space="preserve">) </w:t>
            </w:r>
          </w:p>
        </w:tc>
      </w:tr>
      <w:tr w:rsidTr="00306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Granting of competency in this unit shall be made only after competency in the following unit(s) has/have been confirmed:</w:t>
            </w:r>
          </w:p>
        </w:tc>
      </w:tr>
      <w:tr w:rsidTr="00306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Nil</w:t>
            </w:r>
          </w:p>
        </w:tc>
        <w:tc>
          <w:tcPr>
            <w:tcW w:w="3960" w:type="dxa"/>
            <w:tcBorders>
              <w:top w:val="nil"/>
              <w:left w:val="nil"/>
              <w:bottom w:val="nil"/>
              <w:right w:val="nil"/>
            </w:tcBorders>
            <w:tcMar>
              <w:top w:w="0" w:type="dxa"/>
              <w:left w:w="62" w:type="dxa"/>
              <w:bottom w:w="0" w:type="dxa"/>
              <w:right w:w="62" w:type="dxa"/>
            </w:tcMar>
          </w:tcPr>
          <w:p w:rsidR="00000000" w:rsidRPr="00315D5D" w:rsidP="00315D5D">
            <w:pPr>
              <w:pStyle w:val="BodyText"/>
            </w:pPr>
          </w:p>
        </w:tc>
      </w:tr>
    </w:tbl>
    <w:p w:rsidR="00306A1A" w:rsidP="00315D5D">
      <w:pPr>
        <w:pStyle w:val="BodyText"/>
      </w:pPr>
    </w:p>
    <w:p w:rsidR="00306A1A" w:rsidP="00315D5D">
      <w:pPr>
        <w:pStyle w:val="BodyText"/>
      </w:pPr>
    </w:p>
    <w:p w:rsidR="00000000" w:rsidRPr="00315D5D" w:rsidP="00315D5D">
      <w:pPr>
        <w:pStyle w:val="Heading1"/>
      </w:pPr>
      <w:bookmarkStart w:id="6" w:name="O_285331"/>
      <w:bookmarkEnd w:id="6"/>
      <w:r w:rsidRPr="00315D5D">
        <w:t>Employability Skills Information</w:t>
      </w:r>
    </w:p>
    <w:p w:rsidR="00000000" w:rsidRPr="00315D5D" w:rsidP="00315D5D">
      <w:pPr>
        <w:pStyle w:val="BodyText"/>
      </w:pPr>
      <w:r w:rsidRPr="00315D5D">
        <w:t>Refer to the Evidence Guide</w:t>
      </w:r>
    </w:p>
    <w:p w:rsidR="00000000" w:rsidRPr="00315D5D" w:rsidP="00315D5D">
      <w:pPr>
        <w:pStyle w:val="AllowPageBreak"/>
      </w:pPr>
    </w:p>
    <w:p w:rsidR="00000000" w:rsidRPr="00315D5D" w:rsidP="00315D5D">
      <w:pPr>
        <w:pStyle w:val="Heading1"/>
      </w:pPr>
      <w:bookmarkStart w:id="7" w:name="O_293128"/>
      <w:bookmarkEnd w:id="7"/>
      <w:r w:rsidRPr="00315D5D">
        <w:t>Elements and Performance Criteria Pre-Content</w:t>
      </w:r>
    </w:p>
    <w:tbl>
      <w:tblPr>
        <w:tblW w:w="0" w:type="auto"/>
        <w:tblLayout w:type="fixed"/>
        <w:tblCellMar>
          <w:left w:w="62" w:type="dxa"/>
          <w:right w:w="62" w:type="dxa"/>
        </w:tblCellMar>
        <w:tblLook w:val="0000"/>
      </w:tblPr>
      <w:tblGrid>
        <w:gridCol w:w="2700"/>
        <w:gridCol w:w="5760"/>
      </w:tblGrid>
      <w:tr w:rsidTr="00306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5</w:t>
            </w:r>
            <w:r w:rsidRPr="00315D5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t>Performance Criteria describe the required performance nee</w:t>
            </w:r>
            <w:r w:rsidRPr="00315D5D">
              <w:t>ded to demonstrate achievement of the element. Assessment of performance is to be consistent with the evidence guide.</w:t>
            </w:r>
          </w:p>
        </w:tc>
      </w:tr>
    </w:tbl>
    <w:p w:rsidR="00000000" w:rsidRPr="00315D5D" w:rsidP="00315D5D">
      <w:pPr>
        <w:pStyle w:val="BodyText"/>
      </w:pPr>
    </w:p>
    <w:p w:rsidR="00000000" w:rsidRPr="00315D5D" w:rsidP="00315D5D">
      <w:pPr>
        <w:pStyle w:val="AllowPageBreak"/>
      </w:pPr>
    </w:p>
    <w:p w:rsidR="00000000" w:rsidRPr="00315D5D" w:rsidP="00315D5D">
      <w:pPr>
        <w:pStyle w:val="Heading1"/>
      </w:pPr>
      <w:bookmarkStart w:id="8" w:name="O_239796"/>
      <w:bookmarkEnd w:id="8"/>
      <w:r w:rsidRPr="00315D5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06A1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PERFORMANCE CRITERIA</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1</w:t>
            </w:r>
          </w:p>
        </w:tc>
        <w:tc>
          <w:tcPr>
            <w:tcW w:w="2296" w:type="dxa"/>
            <w:vMerge w:val="restart"/>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Plan and prepare to supervise operations</w:t>
            </w: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1.1</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Project activities are planned to prevent damage and to ensure minimal disruption to gas supply</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1.2</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Work is prioritised and sequenced for the most efficient and effective outcome following consultation with others for completion within acceptable timefr</w:t>
            </w:r>
            <w:r w:rsidRPr="00315D5D">
              <w:t xml:space="preserve">ames to a quality standard and </w:t>
            </w:r>
            <w:r w:rsidRPr="00315D5D">
              <w:t>in accordance with established procedures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1.3</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Risk control measures are identified, prioritised and evaluated against the work schedule</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1.4</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Relevant requirements and established procedures for the work are communicated to all persons and identified for all work sites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1.5</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OHS, environmental and sustainable energy policies and procedures related to the work are identified to ensure safe syste</w:t>
            </w:r>
            <w:r w:rsidRPr="00315D5D">
              <w:t>ms of work are followed</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1.6</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Relevant work permits are secured to coordinate the performance of work according to requirements and established procedures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1.7</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Resources including persons, equipment, tools and personal protective equipment required for the job are identified, scheduled, coordinated and confirmed in a safe and technical working order</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1.8</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 xml:space="preserve">Clients are provided with possible solutions and options </w:t>
            </w:r>
            <w:r w:rsidRPr="00315D5D">
              <w:t>within the scope, acceptable cost and requirements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1.9</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Liaison and communication issues with authorised persons, authorities, clients and land owners are resolved and activities coordinated to carry out work</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1.10</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Persons participating in the work, including plant operators and contractors are fully briefed and respective responsibilities coordinated and authorised where applicable in accordance with establish procedures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1.11</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Expenditure is forecast and managed t</w:t>
            </w:r>
            <w:r w:rsidRPr="00315D5D">
              <w:t>o keep within operational budget constraints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2</w:t>
            </w:r>
          </w:p>
        </w:tc>
        <w:tc>
          <w:tcPr>
            <w:tcW w:w="2296" w:type="dxa"/>
            <w:vMerge w:val="restart"/>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Supervise during projects</w:t>
            </w: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2.1</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OHS policies and procedures and safe work practices are followed to eliminate or minimise incidents and hazards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2.2</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First Aid and other related work procedures are performed according to requirements and established procedures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2.3</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Equipment faults are identified through inspection and testing of operational equipment in accordance with a work schedule and to requirem</w:t>
            </w:r>
            <w:r w:rsidRPr="00315D5D">
              <w:t>ents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2.4</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Hazard warnings and safety signs are recognised and hazards assessed and OHS risks are reported to the immediate authorised persons for directions according to established procedures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2.5</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Fault finding and troubleshooting techniques are applied to operational systems and equipment to identify any repairs or maintenance that is required according to requirements and established procedures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2.6</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 xml:space="preserve">Essential Knowledge and Associated Skills are </w:t>
            </w:r>
            <w:r w:rsidRPr="00315D5D">
              <w:t>applied to ensure completion in an agreed timeframe and to quality standards with a minimum of waste according to requirements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2.7</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Solutions to non-routine problems are identified and actioned using acquired Essential Knowledge and Associated Skills acc</w:t>
            </w:r>
            <w:r w:rsidRPr="00315D5D">
              <w:t>ording to requirements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2.8</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Ongoing checks of quality of the work are undertaken in accordance with requirements and established procedures to ensure a quality outcome is achieved for the client and to a community and industry standards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2.9</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Relevant p</w:t>
            </w:r>
            <w:r w:rsidRPr="00315D5D">
              <w:t>ersons are informed of project status/requirements according to company standard operating procedures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3</w:t>
            </w:r>
          </w:p>
        </w:tc>
        <w:tc>
          <w:tcPr>
            <w:tcW w:w="2296" w:type="dxa"/>
            <w:vMerge w:val="restart"/>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Finalise completion details</w:t>
            </w: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3.1</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Work undertaken is checked against works schedule for conformance with requirements and anomalies which are reported</w:t>
            </w:r>
            <w:r w:rsidRPr="00315D5D">
              <w:t xml:space="preserve"> and solutions identified in accordance with established procedures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3.2</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Accidents and injuries are reported and followed up in accordance with requirements and established procedures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3.3</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Work site is rehabilitated/cleaned up and confirmed safe and in accordance with established procedures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3.4</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Tools, equipment and any surplus resources and materials are where appropriate, cleaned, checked and returned to storage in accordance with establ</w:t>
            </w:r>
            <w:r w:rsidRPr="00315D5D">
              <w:t>ished procedures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3.5</w:t>
            </w:r>
          </w:p>
        </w:tc>
        <w:tc>
          <w:tcPr>
            <w:tcW w:w="48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Relevant work permit(s) are signed off in accordance with requirements</w:t>
            </w:r>
          </w:p>
        </w:tc>
      </w:tr>
      <w:tr w:rsidTr="00306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3.6</w:t>
            </w:r>
          </w:p>
        </w:tc>
        <w:tc>
          <w:tcPr>
            <w:tcW w:w="486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t xml:space="preserve">Works completion records, reports as installed/modified drawing(s) and documentation and information is confirmed, processed and the appropriate </w:t>
            </w:r>
            <w:r w:rsidRPr="00315D5D">
              <w:t>persons notified</w:t>
            </w:r>
          </w:p>
        </w:tc>
      </w:tr>
    </w:tbl>
    <w:p w:rsidR="00306A1A" w:rsidP="00315D5D">
      <w:pPr>
        <w:pStyle w:val="BodyText"/>
      </w:pPr>
    </w:p>
    <w:p w:rsidR="00306A1A" w:rsidP="00315D5D">
      <w:pPr>
        <w:pStyle w:val="BodyText"/>
      </w:pPr>
    </w:p>
    <w:p w:rsidR="00000000" w:rsidRPr="00315D5D" w:rsidP="00315D5D">
      <w:pPr>
        <w:pStyle w:val="Heading1"/>
      </w:pPr>
      <w:bookmarkStart w:id="9" w:name="O_263587"/>
      <w:bookmarkEnd w:id="9"/>
      <w:r w:rsidRPr="00315D5D">
        <w:t>Required Skills and Knowledge</w:t>
      </w:r>
    </w:p>
    <w:tbl>
      <w:tblPr>
        <w:tblW w:w="0" w:type="auto"/>
        <w:tblLayout w:type="fixed"/>
        <w:tblCellMar>
          <w:left w:w="62" w:type="dxa"/>
          <w:right w:w="62" w:type="dxa"/>
        </w:tblCellMar>
        <w:tblLook w:val="0000"/>
      </w:tblPr>
      <w:tblGrid>
        <w:gridCol w:w="2700"/>
        <w:gridCol w:w="1080"/>
        <w:gridCol w:w="4680"/>
      </w:tblGrid>
      <w:tr w:rsidTr="00306A1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REQUIRED SKILLS AND KNOWLEDGE</w:t>
            </w:r>
          </w:p>
        </w:tc>
      </w:tr>
      <w:tr w:rsidTr="00306A1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6</w:t>
            </w:r>
            <w:r w:rsidRPr="00315D5D">
              <w:t>) This describes the essential skills and knowledge and their level, required for this unit.</w:t>
            </w:r>
          </w:p>
        </w:tc>
      </w:tr>
      <w:tr w:rsidTr="00306A1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Evidence shall show that knowledge has been acquired of safe working practices for supervising technical operations for gas distribution/transmission. The extent of the essential knowledge and associated skills (EKAS) required is given in Volume 2 - Part 2</w:t>
            </w:r>
            <w:r w:rsidRPr="00315D5D">
              <w:t>.2 EKAS.  It forms an integral part of this unit.</w:t>
            </w:r>
          </w:p>
        </w:tc>
      </w:tr>
      <w:tr w:rsidTr="00306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G 5.1.4</w:t>
            </w:r>
          </w:p>
        </w:tc>
        <w:tc>
          <w:tcPr>
            <w:tcW w:w="468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Management techniques for Gas Industry supervision</w:t>
            </w:r>
          </w:p>
        </w:tc>
      </w:tr>
      <w:tr w:rsidTr="00306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G 5.1.5</w:t>
            </w:r>
          </w:p>
        </w:tc>
        <w:tc>
          <w:tcPr>
            <w:tcW w:w="468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t>Understanding the operation of Gas Industry equipment, tools and materials</w:t>
            </w:r>
          </w:p>
        </w:tc>
      </w:tr>
    </w:tbl>
    <w:p w:rsidR="00306A1A" w:rsidP="00315D5D">
      <w:pPr>
        <w:pStyle w:val="BodyText"/>
      </w:pPr>
    </w:p>
    <w:p w:rsidR="00306A1A" w:rsidP="00315D5D">
      <w:pPr>
        <w:pStyle w:val="BodyText"/>
      </w:pPr>
    </w:p>
    <w:p w:rsidR="00000000" w:rsidRPr="00315D5D" w:rsidP="00315D5D">
      <w:pPr>
        <w:pStyle w:val="Heading1"/>
      </w:pPr>
      <w:bookmarkStart w:id="10" w:name="O_247779"/>
      <w:bookmarkEnd w:id="10"/>
      <w:r w:rsidRPr="00315D5D">
        <w:t>Evidence Guide</w:t>
      </w:r>
    </w:p>
    <w:tbl>
      <w:tblPr>
        <w:tblW w:w="0" w:type="auto"/>
        <w:tblLayout w:type="fixed"/>
        <w:tblCellMar>
          <w:left w:w="62" w:type="dxa"/>
          <w:right w:w="62" w:type="dxa"/>
        </w:tblCellMar>
        <w:tblLook w:val="0000"/>
      </w:tblPr>
      <w:tblGrid>
        <w:gridCol w:w="2160"/>
        <w:gridCol w:w="6300"/>
      </w:tblGrid>
      <w:tr w:rsidTr="00306A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EVIDENCE GUIDE</w:t>
            </w:r>
          </w:p>
        </w:tc>
      </w:tr>
      <w:tr w:rsidTr="00306A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8</w:t>
            </w:r>
            <w:r w:rsidRPr="00315D5D">
              <w:t>) The Evidence Guide forms an integral part of this Unit and shall be used in conjunction with all components parts of this unit and performed in accordance with the Assessment Guidelines of this Training Package.</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8</w:t>
            </w:r>
            <w:r w:rsidRPr="00315D5D">
              <w:t>.</w:t>
            </w:r>
            <w:r w:rsidRPr="00315D5D">
              <w:rPr>
                <w:rStyle w:val="SpecialBold"/>
              </w:rPr>
              <w:t>1</w:t>
            </w:r>
            <w:r w:rsidRPr="00315D5D">
              <w:t xml:space="preserve">) </w:t>
            </w:r>
          </w:p>
          <w:p w:rsidR="00000000" w:rsidRPr="00315D5D" w:rsidP="00315D5D">
            <w:pPr>
              <w:pStyle w:val="BodyText"/>
            </w:pPr>
            <w:r w:rsidRPr="00315D5D">
              <w:t>Longitudinal competency development approaches to assessment, such as Profiling, require data to be reliably gathered in a form that can be consistently interpreted over time. This approach is best utilised in Apprenticeship programs and reduces assessment</w:t>
            </w:r>
            <w:r w:rsidRPr="00315D5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15D5D">
              <w:t>tency in a realistically simulated work environment. It is recognised that, in some circumstances, assessment in part or full can occur outside the workplace. However, it must be in accord with industry and regulatory policy in this regard.</w:t>
            </w:r>
          </w:p>
          <w:p w:rsidR="00000000" w:rsidRPr="00315D5D" w:rsidP="00315D5D">
            <w:pPr>
              <w:pStyle w:val="BodyText"/>
            </w:pPr>
            <w:r w:rsidRPr="00315D5D">
              <w:t xml:space="preserve">Methods chosen </w:t>
            </w:r>
            <w:r w:rsidRPr="00315D5D">
              <w:t>for a particular assessment will be influenced by various factors. These include the extent of the assessment, the most effective locations for the assessment activities to take place, access to physical resources, additional safety measures that may be re</w:t>
            </w:r>
            <w:r w:rsidRPr="00315D5D">
              <w:t>quired and the critical nature of the competencies being assessed.</w:t>
            </w:r>
          </w:p>
          <w:p w:rsidR="00000000" w:rsidRPr="00315D5D" w:rsidP="00315D5D">
            <w:pPr>
              <w:pStyle w:val="BodyText"/>
            </w:pPr>
            <w:r w:rsidRPr="00315D5D">
              <w:t>The critical safety nature of working with electricity, electrical equipment, gas or any other hazardous substance/material carries risk in deeming a person competent. Hence, sources of evi</w:t>
            </w:r>
            <w:r w:rsidRPr="00315D5D">
              <w:t>dence need to be 'rich' in nature so as to minimise error in judgment.</w:t>
            </w:r>
          </w:p>
          <w:p w:rsidR="00000000" w:rsidP="00315D5D">
            <w:pPr>
              <w:pStyle w:val="BodyText"/>
              <w:rPr>
                <w:lang w:val="en-NZ"/>
              </w:rPr>
            </w:pPr>
            <w:r w:rsidRPr="00315D5D">
              <w:t>Activities associated with normal every day work have a bearing on the decision as to how much and how detailed the data gathered will contribute to its 'richness'. Some skills are more</w:t>
            </w:r>
            <w:r w:rsidRPr="00315D5D">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315D5D">
              <w:t>nt instruments are included in the Assessment Guidelines of this Training Package.</w:t>
            </w:r>
          </w:p>
        </w:tc>
      </w:tr>
      <w:tr w:rsidTr="00306A1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 xml:space="preserve">Critical aspects of evidence required to demonstrate competency </w:t>
            </w:r>
            <w:r w:rsidRPr="00315D5D">
              <w:rPr>
                <w:rStyle w:val="SpecialBold"/>
              </w:rPr>
              <w:t>in this unit</w:t>
            </w:r>
          </w:p>
        </w:tc>
        <w:tc>
          <w:tcPr>
            <w:tcW w:w="630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8</w:t>
            </w:r>
            <w:r w:rsidRPr="00315D5D">
              <w:t>.</w:t>
            </w:r>
            <w:r w:rsidRPr="00315D5D">
              <w:rPr>
                <w:rStyle w:val="SpecialBold"/>
              </w:rPr>
              <w:t>2</w:t>
            </w:r>
            <w:r w:rsidRPr="00315D5D">
              <w:t xml:space="preserve">) </w:t>
            </w:r>
          </w:p>
          <w:p w:rsidR="00000000" w:rsidP="00315D5D">
            <w:pPr>
              <w:pStyle w:val="BodyText"/>
              <w:rPr>
                <w:lang w:val="en-NZ"/>
              </w:rPr>
            </w:pPr>
            <w:r w:rsidRPr="00315D5D">
              <w:t>Before the critical aspects of evidence are considered all prerequisites shall be met.</w:t>
            </w:r>
          </w:p>
        </w:tc>
      </w:tr>
      <w:tr w:rsidTr="00306A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t xml:space="preserve">Evidence for competence in this unit shall be considered holistically. Each element and associated Performance Criteria shall be demonstrated on at least two occasions in accordance with the 'Assessment Guidelines  UEG06'. Evidence shall also comprise: </w:t>
            </w:r>
          </w:p>
          <w:p w:rsidR="00000000" w:rsidP="00315D5D">
            <w:pPr>
              <w:pStyle w:val="ListBullet"/>
              <w:rPr>
                <w:lang w:val="en-NZ"/>
              </w:rPr>
            </w:pPr>
            <w:r w:rsidRPr="00315D5D">
              <w:t xml:space="preserve">A </w:t>
            </w:r>
            <w:r w:rsidRPr="00315D5D">
              <w:t>representative body of Performance Criteria demonstrated within the timeframes typically expected of the discipline, work function and industrial environment. In particular this shall incorporate evidence that shows a candidate is able to:</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15D5D" w:rsidP="00315D5D">
            <w:pPr>
              <w:pStyle w:val="ListBullet2"/>
            </w:pPr>
            <w:r w:rsidRPr="00315D5D">
              <w:t>Implement Occupational Health and Safety workplace procedures and practices including the use of risk control measures as specified in the Performance Criteria and range</w:t>
            </w:r>
          </w:p>
          <w:p w:rsidR="00000000" w:rsidRPr="00315D5D" w:rsidP="00315D5D">
            <w:pPr>
              <w:pStyle w:val="ListBullet2"/>
            </w:pPr>
            <w:r w:rsidRPr="00315D5D">
              <w:t>Apply sustainable energy principles and practices as specified in the Performance Crit</w:t>
            </w:r>
            <w:r w:rsidRPr="00315D5D">
              <w:t>eria and range</w:t>
            </w:r>
          </w:p>
          <w:p w:rsidR="00000000" w:rsidRPr="00315D5D" w:rsidP="00315D5D">
            <w:pPr>
              <w:pStyle w:val="ListBullet2"/>
            </w:pPr>
            <w:r w:rsidRPr="00315D5D">
              <w:t>Demonstrate an understanding of the essential knowledge and associated skills as described in this unit to such an extent that the learner's performance outcome is reported in accordance with the preferred approach; namely a percentile grade</w:t>
            </w:r>
            <w:r w:rsidRPr="00315D5D">
              <w:t>d result, where required by the regulated environment</w:t>
            </w:r>
          </w:p>
          <w:p w:rsidR="00000000" w:rsidRPr="00315D5D" w:rsidP="00315D5D">
            <w:pPr>
              <w:pStyle w:val="ListBullet2"/>
            </w:pPr>
            <w:r w:rsidRPr="00315D5D">
              <w:t>Demonstrate an appropriate level of skills enabling employment</w:t>
            </w:r>
          </w:p>
          <w:p w:rsidR="00000000" w:rsidP="00315D5D">
            <w:pPr>
              <w:pStyle w:val="ListBullet2"/>
              <w:rPr>
                <w:lang w:val="en-NZ"/>
              </w:rPr>
            </w:pPr>
            <w:r w:rsidRPr="00315D5D">
              <w:t>Conduct work observing the relevant Anti discrimination legislation, regulations, polices and workplace procedures</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15D5D" w:rsidP="00315D5D">
            <w:pPr>
              <w:pStyle w:val="ListBullet2"/>
            </w:pPr>
            <w:r w:rsidRPr="00315D5D">
              <w:t>Demonstrate performance across a representative range of contexts from the prescribed items below:</w:t>
            </w:r>
          </w:p>
        </w:tc>
      </w:tr>
    </w:tbl>
    <w:p w:rsidR="00000000" w:rsidRPr="00315D5D" w:rsidP="00315D5D">
      <w:pPr>
        <w:pStyle w:val="BodyText"/>
      </w:pPr>
    </w:p>
    <w:p w:rsidR="00000000" w:rsidRPr="00315D5D" w:rsidP="00315D5D">
      <w:pPr>
        <w:pStyle w:val="BodyText"/>
      </w:pPr>
    </w:p>
    <w:tbl>
      <w:tblPr>
        <w:tblW w:w="0" w:type="auto"/>
        <w:tblLayout w:type="fixed"/>
        <w:tblCellMar>
          <w:left w:w="62" w:type="dxa"/>
          <w:right w:w="62" w:type="dxa"/>
        </w:tblCellMar>
        <w:tblLook w:val="0000"/>
      </w:tblPr>
      <w:tblGrid>
        <w:gridCol w:w="2160"/>
        <w:gridCol w:w="360"/>
        <w:gridCol w:w="900"/>
        <w:gridCol w:w="540"/>
        <w:gridCol w:w="1260"/>
        <w:gridCol w:w="3240"/>
      </w:tblGrid>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315D5D">
            <w:pPr>
              <w:pStyle w:val="BodyText"/>
              <w:keepNext w:val="0"/>
              <w:keepLines w:val="0"/>
              <w:contextualSpacing w:val="0"/>
            </w:pPr>
          </w:p>
        </w:tc>
        <w:tc>
          <w:tcPr>
            <w:tcW w:w="594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rPr>
                <w:rStyle w:val="SpecialBold"/>
              </w:rPr>
              <w:t>Range of tools</w:t>
            </w:r>
            <w:r w:rsidRPr="00315D5D">
              <w:t>/</w:t>
            </w:r>
            <w:r w:rsidRPr="00315D5D">
              <w:rPr>
                <w:rStyle w:val="SpecialBold"/>
              </w:rPr>
              <w:t>equipment</w:t>
            </w:r>
            <w:r w:rsidRPr="00315D5D">
              <w:t>/</w:t>
            </w:r>
            <w:r w:rsidRPr="00315D5D">
              <w:rPr>
                <w:rStyle w:val="SpecialBold"/>
              </w:rPr>
              <w:t>procedures</w:t>
            </w:r>
            <w:r w:rsidRPr="00315D5D">
              <w:t>/</w:t>
            </w:r>
            <w:r w:rsidRPr="00315D5D">
              <w:rPr>
                <w:rStyle w:val="SpecialBold"/>
              </w:rPr>
              <w:t>workplaces</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315D5D">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rPr>
                <w:rStyle w:val="SpecialBold"/>
              </w:rPr>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rPr>
                <w:rStyle w:val="SpecialBold"/>
              </w:rPr>
              <w:t>Item List</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At least 4</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t>Resources:</w:t>
            </w:r>
          </w:p>
          <w:p w:rsidR="00000000" w:rsidRPr="00315D5D" w:rsidP="00315D5D">
            <w:pPr>
              <w:pStyle w:val="BodyText"/>
            </w:pPr>
            <w:r w:rsidRPr="00315D5D">
              <w:t>Appropriaterelevant personnel</w:t>
            </w:r>
          </w:p>
          <w:p w:rsidR="00000000" w:rsidRPr="00315D5D" w:rsidP="00315D5D">
            <w:pPr>
              <w:pStyle w:val="BodyText"/>
            </w:pPr>
            <w:r w:rsidRPr="00315D5D">
              <w:t>Materials</w:t>
            </w:r>
          </w:p>
          <w:p w:rsidR="00000000" w:rsidRPr="00315D5D" w:rsidP="00315D5D">
            <w:pPr>
              <w:pStyle w:val="BodyText"/>
            </w:pPr>
            <w:r w:rsidRPr="00315D5D">
              <w:t>Tools and equipment</w:t>
            </w:r>
          </w:p>
          <w:p w:rsidR="00000000" w:rsidRPr="00315D5D" w:rsidP="00315D5D">
            <w:pPr>
              <w:pStyle w:val="BodyText"/>
            </w:pPr>
            <w:r w:rsidRPr="00315D5D">
              <w:t>Personal protective equipment and clothing</w:t>
            </w:r>
          </w:p>
          <w:p w:rsidR="00000000" w:rsidRPr="00315D5D" w:rsidP="00315D5D">
            <w:pPr>
              <w:pStyle w:val="BodyText"/>
            </w:pPr>
            <w:r w:rsidRPr="00315D5D">
              <w:t>Company standard operating procedures</w:t>
            </w:r>
          </w:p>
          <w:p w:rsidR="00000000" w:rsidRPr="00315D5D" w:rsidP="00315D5D">
            <w:pPr>
              <w:pStyle w:val="BodyText"/>
            </w:pPr>
            <w:r w:rsidRPr="00315D5D">
              <w:t>Equipment manuals</w:t>
            </w:r>
          </w:p>
          <w:p w:rsidR="00000000" w:rsidP="00315D5D">
            <w:pPr>
              <w:pStyle w:val="BodyText"/>
              <w:rPr>
                <w:lang w:val="en-NZ"/>
              </w:rPr>
            </w:pPr>
            <w:r w:rsidRPr="00315D5D">
              <w:t>Training resources</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At least 3</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t>Project activities:</w:t>
            </w:r>
          </w:p>
          <w:p w:rsidR="00000000" w:rsidRPr="00315D5D" w:rsidP="00315D5D">
            <w:pPr>
              <w:pStyle w:val="BodyText"/>
            </w:pPr>
            <w:r w:rsidRPr="00315D5D">
              <w:t>Maintenance, repairs and modifications</w:t>
            </w:r>
          </w:p>
          <w:p w:rsidR="00000000" w:rsidRPr="00315D5D" w:rsidP="00315D5D">
            <w:pPr>
              <w:pStyle w:val="BodyText"/>
            </w:pPr>
            <w:r w:rsidRPr="00315D5D">
              <w:t>Construction and upgrade</w:t>
            </w:r>
          </w:p>
          <w:p w:rsidR="00000000" w:rsidRPr="00315D5D" w:rsidP="00315D5D">
            <w:pPr>
              <w:pStyle w:val="BodyText"/>
            </w:pPr>
            <w:r w:rsidRPr="00315D5D">
              <w:t>Rectification of gas system faults</w:t>
            </w:r>
          </w:p>
          <w:p w:rsidR="00000000" w:rsidRPr="00315D5D" w:rsidP="00315D5D">
            <w:pPr>
              <w:pStyle w:val="BodyText"/>
            </w:pPr>
            <w:r w:rsidRPr="00315D5D">
              <w:t>Installation and commissioning of new plant, piping and equipment</w:t>
            </w:r>
          </w:p>
          <w:p w:rsidR="00000000" w:rsidRPr="00315D5D" w:rsidP="00315D5D">
            <w:pPr>
              <w:pStyle w:val="BodyText"/>
            </w:pPr>
            <w:r w:rsidRPr="00315D5D">
              <w:t>System security</w:t>
            </w:r>
          </w:p>
          <w:p w:rsidR="00000000" w:rsidP="00315D5D">
            <w:pPr>
              <w:pStyle w:val="BodyText"/>
              <w:rPr>
                <w:lang w:val="en-NZ"/>
              </w:rPr>
            </w:pPr>
            <w:r w:rsidRPr="00315D5D">
              <w:t>Scheduling work</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t>Legislative requirements:</w:t>
            </w:r>
          </w:p>
          <w:p w:rsidR="00000000" w:rsidRPr="00315D5D" w:rsidP="00315D5D">
            <w:pPr>
              <w:pStyle w:val="BodyText"/>
            </w:pPr>
            <w:r w:rsidRPr="00315D5D">
              <w:t>OHS legislation</w:t>
            </w:r>
          </w:p>
          <w:p w:rsidR="00000000" w:rsidRPr="00315D5D" w:rsidP="00315D5D">
            <w:pPr>
              <w:pStyle w:val="BodyText"/>
            </w:pPr>
            <w:r w:rsidRPr="00315D5D">
              <w:t>Relevan</w:t>
            </w:r>
            <w:r w:rsidRPr="00315D5D">
              <w:t>t Government Acts, regulations and codes of practice</w:t>
            </w:r>
          </w:p>
          <w:p w:rsidR="00000000" w:rsidRPr="00315D5D" w:rsidP="00315D5D">
            <w:pPr>
              <w:pStyle w:val="BodyText"/>
            </w:pPr>
            <w:r w:rsidRPr="00315D5D">
              <w:t>Australian standards</w:t>
            </w:r>
          </w:p>
          <w:p w:rsidR="00000000" w:rsidP="00315D5D">
            <w:pPr>
              <w:pStyle w:val="BodyText"/>
              <w:rPr>
                <w:lang w:val="en-NZ"/>
              </w:rPr>
            </w:pPr>
            <w:r w:rsidRPr="00315D5D">
              <w:t>Environmental legislative requirements</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At least 3</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t>Relevant authorities:</w:t>
            </w:r>
          </w:p>
          <w:p w:rsidR="00000000" w:rsidRPr="00315D5D" w:rsidP="00315D5D">
            <w:pPr>
              <w:pStyle w:val="BodyText"/>
            </w:pPr>
            <w:r w:rsidRPr="00315D5D">
              <w:t>Local and shire councils</w:t>
            </w:r>
          </w:p>
          <w:p w:rsidR="00000000" w:rsidRPr="00315D5D" w:rsidP="00315D5D">
            <w:pPr>
              <w:pStyle w:val="BodyText"/>
            </w:pPr>
            <w:r w:rsidRPr="00315D5D">
              <w:t>Local government authorities</w:t>
            </w:r>
          </w:p>
          <w:p w:rsidR="00000000" w:rsidRPr="00315D5D" w:rsidP="00315D5D">
            <w:pPr>
              <w:pStyle w:val="BodyText"/>
            </w:pPr>
            <w:r w:rsidRPr="00315D5D">
              <w:t>Road transport authorities</w:t>
            </w:r>
          </w:p>
          <w:p w:rsidR="00000000" w:rsidRPr="00315D5D" w:rsidP="00315D5D">
            <w:pPr>
              <w:pStyle w:val="BodyText"/>
            </w:pPr>
            <w:r w:rsidRPr="00315D5D">
              <w:t>Rail departments</w:t>
            </w:r>
          </w:p>
          <w:p w:rsidR="00000000" w:rsidP="00315D5D">
            <w:pPr>
              <w:pStyle w:val="BodyText"/>
              <w:rPr>
                <w:lang w:val="en-NZ"/>
              </w:rPr>
            </w:pPr>
            <w:r w:rsidRPr="00315D5D">
              <w:t>Landowners both current and traditional indigenous</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At least 8</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t>Gas system faults:</w:t>
            </w:r>
          </w:p>
          <w:p w:rsidR="00000000" w:rsidRPr="00315D5D" w:rsidP="00315D5D">
            <w:pPr>
              <w:pStyle w:val="BodyText"/>
            </w:pPr>
            <w:r w:rsidRPr="00315D5D">
              <w:t>Gas leaks</w:t>
            </w:r>
          </w:p>
          <w:p w:rsidR="00000000" w:rsidRPr="00315D5D" w:rsidP="00315D5D">
            <w:pPr>
              <w:pStyle w:val="BodyText"/>
            </w:pPr>
            <w:r w:rsidRPr="00315D5D">
              <w:t>Electrical problems</w:t>
            </w:r>
          </w:p>
          <w:p w:rsidR="00000000" w:rsidRPr="00315D5D" w:rsidP="00315D5D">
            <w:pPr>
              <w:pStyle w:val="BodyText"/>
            </w:pPr>
            <w:r w:rsidRPr="00315D5D">
              <w:t>Mechanical failure</w:t>
            </w:r>
          </w:p>
          <w:p w:rsidR="00000000" w:rsidRPr="00315D5D" w:rsidP="00315D5D">
            <w:pPr>
              <w:pStyle w:val="BodyText"/>
            </w:pPr>
            <w:r w:rsidRPr="00315D5D">
              <w:t>Out-of-current inspection status</w:t>
            </w:r>
          </w:p>
          <w:p w:rsidR="00000000" w:rsidRPr="00315D5D" w:rsidP="00315D5D">
            <w:pPr>
              <w:pStyle w:val="BodyText"/>
            </w:pPr>
            <w:r w:rsidRPr="00315D5D">
              <w:t>Gauge failure, hose rupture/leaks</w:t>
            </w:r>
          </w:p>
          <w:p w:rsidR="00000000" w:rsidRPr="00315D5D" w:rsidP="00315D5D">
            <w:pPr>
              <w:pStyle w:val="BodyText"/>
            </w:pPr>
            <w:r w:rsidRPr="00315D5D">
              <w:t>Instruments out of calibration</w:t>
            </w:r>
          </w:p>
          <w:p w:rsidR="00000000" w:rsidRPr="00315D5D" w:rsidP="00315D5D">
            <w:pPr>
              <w:pStyle w:val="BodyText"/>
            </w:pPr>
            <w:r w:rsidRPr="00315D5D">
              <w:t>Non-flow of gas</w:t>
            </w:r>
          </w:p>
          <w:p w:rsidR="00000000" w:rsidRPr="00315D5D" w:rsidP="00315D5D">
            <w:pPr>
              <w:pStyle w:val="BodyText"/>
            </w:pPr>
            <w:r w:rsidRPr="00315D5D">
              <w:t>Cathodic protection system failure</w:t>
            </w:r>
          </w:p>
          <w:p w:rsidR="00000000" w:rsidRPr="00315D5D" w:rsidP="00315D5D">
            <w:pPr>
              <w:pStyle w:val="BodyText"/>
            </w:pPr>
            <w:r w:rsidRPr="00315D5D">
              <w:t>Corrosion</w:t>
            </w:r>
          </w:p>
          <w:p w:rsidR="00000000" w:rsidRPr="00315D5D" w:rsidP="00315D5D">
            <w:pPr>
              <w:pStyle w:val="BodyText"/>
            </w:pPr>
            <w:r w:rsidRPr="00315D5D">
              <w:t>Compressor breakdown</w:t>
            </w:r>
          </w:p>
          <w:p w:rsidR="00000000" w:rsidRPr="00315D5D" w:rsidP="00315D5D">
            <w:pPr>
              <w:pStyle w:val="BodyText"/>
            </w:pPr>
            <w:r w:rsidRPr="00315D5D">
              <w:t>Filtration problems</w:t>
            </w:r>
          </w:p>
          <w:p w:rsidR="00000000" w:rsidP="00315D5D">
            <w:pPr>
              <w:pStyle w:val="BodyText"/>
              <w:rPr>
                <w:lang w:val="en-NZ"/>
              </w:rPr>
            </w:pPr>
            <w:r w:rsidRPr="00315D5D">
              <w:t>Gas measurement equipment inaccuracy/failure</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F</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At least 8</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t>Relevant documentation:</w:t>
            </w:r>
          </w:p>
          <w:p w:rsidR="00000000" w:rsidRPr="00315D5D" w:rsidP="00315D5D">
            <w:pPr>
              <w:pStyle w:val="BodyText"/>
            </w:pPr>
            <w:r w:rsidRPr="00315D5D">
              <w:t>Contracts, specifications</w:t>
            </w:r>
          </w:p>
          <w:p w:rsidR="00000000" w:rsidRPr="00315D5D" w:rsidP="00315D5D">
            <w:pPr>
              <w:pStyle w:val="BodyText"/>
            </w:pPr>
            <w:r w:rsidRPr="00315D5D">
              <w:t>Drawings, plans</w:t>
            </w:r>
          </w:p>
          <w:p w:rsidR="00000000" w:rsidRPr="00315D5D" w:rsidP="00315D5D">
            <w:pPr>
              <w:pStyle w:val="BodyText"/>
            </w:pPr>
            <w:r w:rsidRPr="00315D5D">
              <w:t>Manufacturer's specifications</w:t>
            </w:r>
          </w:p>
          <w:p w:rsidR="00000000" w:rsidRPr="00315D5D" w:rsidP="00315D5D">
            <w:pPr>
              <w:pStyle w:val="BodyText"/>
            </w:pPr>
            <w:r w:rsidRPr="00315D5D">
              <w:t>Work permits</w:t>
            </w:r>
          </w:p>
          <w:p w:rsidR="00000000" w:rsidRPr="00315D5D" w:rsidP="00315D5D">
            <w:pPr>
              <w:pStyle w:val="BodyText"/>
            </w:pPr>
            <w:r w:rsidRPr="00315D5D">
              <w:t>Company standard operation and safety procedures</w:t>
            </w:r>
          </w:p>
          <w:p w:rsidR="00000000" w:rsidRPr="00315D5D" w:rsidP="00315D5D">
            <w:pPr>
              <w:pStyle w:val="BodyText"/>
            </w:pPr>
            <w:r w:rsidRPr="00315D5D">
              <w:t>Company management plans and policies</w:t>
            </w:r>
          </w:p>
          <w:p w:rsidR="00000000" w:rsidRPr="00315D5D" w:rsidP="00315D5D">
            <w:pPr>
              <w:pStyle w:val="BodyText"/>
            </w:pPr>
            <w:r w:rsidRPr="00315D5D">
              <w:t>Hot work permits</w:t>
            </w:r>
          </w:p>
          <w:p w:rsidR="00000000" w:rsidRPr="00315D5D" w:rsidP="00315D5D">
            <w:pPr>
              <w:pStyle w:val="BodyText"/>
            </w:pPr>
            <w:r w:rsidRPr="00315D5D">
              <w:t>Company forms and files</w:t>
            </w:r>
          </w:p>
          <w:p w:rsidR="00000000" w:rsidRPr="00315D5D" w:rsidP="00315D5D">
            <w:pPr>
              <w:pStyle w:val="BodyText"/>
            </w:pPr>
            <w:r w:rsidRPr="00315D5D">
              <w:t>OHS laws and codes of practice</w:t>
            </w:r>
          </w:p>
          <w:p w:rsidR="00000000" w:rsidRPr="00315D5D" w:rsidP="00315D5D">
            <w:pPr>
              <w:pStyle w:val="BodyText"/>
            </w:pPr>
            <w:r w:rsidRPr="00315D5D">
              <w:t>Relevant Government Acts, regulations and codes of practice</w:t>
            </w:r>
          </w:p>
          <w:p w:rsidR="00000000" w:rsidRPr="00315D5D" w:rsidP="00315D5D">
            <w:pPr>
              <w:pStyle w:val="BodyText"/>
            </w:pPr>
            <w:r w:rsidRPr="00315D5D">
              <w:t>Environmental legislative requiremen</w:t>
            </w:r>
            <w:r w:rsidRPr="00315D5D">
              <w:t>ts</w:t>
            </w:r>
          </w:p>
          <w:p w:rsidR="00000000" w:rsidRPr="00315D5D" w:rsidP="00315D5D">
            <w:pPr>
              <w:pStyle w:val="BodyText"/>
            </w:pPr>
            <w:r w:rsidRPr="00315D5D">
              <w:t>Pipeline licenses</w:t>
            </w:r>
          </w:p>
          <w:p w:rsidR="00000000" w:rsidRPr="00315D5D" w:rsidP="00315D5D">
            <w:pPr>
              <w:pStyle w:val="BodyText"/>
            </w:pPr>
            <w:r w:rsidRPr="00315D5D">
              <w:t>Quality assurance</w:t>
            </w:r>
          </w:p>
          <w:p w:rsidR="00000000" w:rsidP="00315D5D">
            <w:pPr>
              <w:pStyle w:val="BodyText"/>
              <w:rPr>
                <w:lang w:val="en-NZ"/>
              </w:rPr>
            </w:pPr>
            <w:r w:rsidRPr="00315D5D">
              <w:t>Commercial agreements</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G</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At least 4</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t>Records/reports:</w:t>
            </w:r>
          </w:p>
          <w:p w:rsidR="00000000" w:rsidRPr="00315D5D" w:rsidP="00315D5D">
            <w:pPr>
              <w:pStyle w:val="BodyText"/>
            </w:pPr>
            <w:r w:rsidRPr="00315D5D">
              <w:t>Relevant documentation</w:t>
            </w:r>
          </w:p>
          <w:p w:rsidR="00000000" w:rsidRPr="00315D5D" w:rsidP="00315D5D">
            <w:pPr>
              <w:pStyle w:val="BodyText"/>
            </w:pPr>
            <w:r w:rsidRPr="00315D5D">
              <w:t>Routine inspections (daily readings, monthly checks)</w:t>
            </w:r>
          </w:p>
          <w:p w:rsidR="00000000" w:rsidRPr="00315D5D" w:rsidP="00315D5D">
            <w:pPr>
              <w:pStyle w:val="BodyText"/>
            </w:pPr>
            <w:r w:rsidRPr="00315D5D">
              <w:t>Scheduled maintenance activities</w:t>
            </w:r>
          </w:p>
          <w:p w:rsidR="00000000" w:rsidRPr="00315D5D" w:rsidP="00315D5D">
            <w:pPr>
              <w:pStyle w:val="BodyText"/>
            </w:pPr>
            <w:r w:rsidRPr="00315D5D">
              <w:t>Mandatory or statutory inspections</w:t>
            </w:r>
          </w:p>
          <w:p w:rsidR="00000000" w:rsidP="00315D5D">
            <w:pPr>
              <w:pStyle w:val="BodyText"/>
              <w:rPr>
                <w:lang w:val="en-NZ"/>
              </w:rPr>
            </w:pPr>
            <w:r w:rsidRPr="00315D5D">
              <w:t>Hazard and incident reports</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H</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t>Management techniques for Gas Industry supervision</w:t>
            </w:r>
          </w:p>
          <w:p w:rsidR="00000000" w:rsidP="00315D5D">
            <w:pPr>
              <w:pStyle w:val="BodyText"/>
              <w:rPr>
                <w:lang w:val="en-NZ"/>
              </w:rPr>
            </w:pPr>
            <w:r w:rsidRPr="00315D5D">
              <w:t>Understanding the operation of Gas Industry equipment, tools and materials</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I</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 xml:space="preserve">Deal with an unplanned event by drawing on essential knowledge and associated skills to provide appropriate solutions incorporated in the holistic assessment with the above listed items </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8</w:t>
            </w:r>
            <w:r w:rsidRPr="00315D5D">
              <w:t>.</w:t>
            </w:r>
            <w:r w:rsidRPr="00315D5D">
              <w:rPr>
                <w:rStyle w:val="SpecialBold"/>
              </w:rPr>
              <w:t>3</w:t>
            </w:r>
            <w:r w:rsidRPr="00315D5D">
              <w:t xml:space="preserve">) </w:t>
            </w:r>
          </w:p>
          <w:p w:rsidR="00000000" w:rsidRPr="00315D5D" w:rsidP="00315D5D">
            <w:pPr>
              <w:pStyle w:val="BodyText"/>
            </w:pPr>
            <w:r w:rsidRPr="00315D5D">
              <w:t>This unit sho</w:t>
            </w:r>
            <w:r w:rsidRPr="00315D5D">
              <w:t>uld be assessed as it relates to normal work practice using procedures, information and resources typical of a workplace. This should include:</w:t>
            </w:r>
          </w:p>
          <w:p w:rsidR="00000000" w:rsidRPr="00315D5D" w:rsidP="00315D5D">
            <w:pPr>
              <w:pStyle w:val="ListBullet"/>
            </w:pPr>
            <w:r w:rsidRPr="00315D5D">
              <w:t>OHS policy and work procedures and instructions.</w:t>
            </w:r>
          </w:p>
          <w:p w:rsidR="00000000" w:rsidRPr="00315D5D" w:rsidP="00315D5D">
            <w:pPr>
              <w:pStyle w:val="ListBullet"/>
            </w:pPr>
            <w:r w:rsidRPr="00315D5D">
              <w:t>Suitable work environment, facilities, equipment and materials to undertake actual work as prescribed by this Unit.</w:t>
            </w:r>
          </w:p>
          <w:p w:rsidR="00000000" w:rsidRPr="00315D5D" w:rsidP="00315D5D">
            <w:pPr>
              <w:pStyle w:val="ListBullet"/>
            </w:pPr>
            <w:r w:rsidRPr="00315D5D">
              <w:t>Appropriate environmental regulation and work practices.</w:t>
            </w:r>
          </w:p>
          <w:p w:rsidR="00000000" w:rsidRPr="00315D5D" w:rsidP="00315D5D">
            <w:pPr>
              <w:pStyle w:val="ListBullet"/>
            </w:pPr>
            <w:r w:rsidRPr="00315D5D">
              <w:t>Appropriate organisational requirements.</w:t>
            </w:r>
          </w:p>
          <w:p w:rsidR="00000000" w:rsidP="00315D5D">
            <w:pPr>
              <w:pStyle w:val="ListBullet"/>
              <w:rPr>
                <w:lang w:val="en-NZ"/>
              </w:rPr>
            </w:pPr>
            <w:r w:rsidRPr="00315D5D">
              <w:t>Appropriate work environment, equipment an</w:t>
            </w:r>
            <w:r w:rsidRPr="00315D5D">
              <w:t>d tools.</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In addition to the resources listed above, in Context of and specific resources for assessment, evidence should show demonstrated competency in supervising technical operations for gas distribution/transmission.</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Assessment of this comp</w:t>
            </w:r>
            <w:r w:rsidRPr="00315D5D">
              <w:t>etency must also be undertaken in either an actual workplace or under a simulated work environment. Assessment must also integrate the key competencies.</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8</w:t>
            </w:r>
            <w:r w:rsidRPr="00315D5D">
              <w:t>.</w:t>
            </w:r>
            <w:r w:rsidRPr="00315D5D">
              <w:rPr>
                <w:rStyle w:val="SpecialBold"/>
              </w:rPr>
              <w:t>4</w:t>
            </w:r>
            <w:r w:rsidRPr="00315D5D">
              <w:t xml:space="preserve">) </w:t>
            </w:r>
          </w:p>
          <w:p w:rsidR="00000000" w:rsidRPr="00315D5D" w:rsidP="00315D5D">
            <w:pPr>
              <w:pStyle w:val="BodyText"/>
            </w:pPr>
            <w:r w:rsidRPr="00315D5D">
              <w:t>This Unit shall be assessed by methods given in Volume 1, Part 3 'Assessment Guidelines'.</w:t>
            </w:r>
          </w:p>
          <w:p w:rsidR="00000000" w:rsidP="00315D5D">
            <w:pPr>
              <w:pStyle w:val="BodyText"/>
              <w:rPr>
                <w:lang w:val="en-NZ"/>
              </w:rPr>
            </w:pPr>
            <w:r w:rsidRPr="00315D5D">
              <w:t>Note:</w:t>
            </w:r>
            <w:r w:rsidRPr="00315D5D">
              <w:br/>
              <w:t>Competent performance with inherent safe working practices is expected in the Industry to which this Unit applies. This requires that the specified Essential Kn</w:t>
            </w:r>
            <w:r w:rsidRPr="00315D5D">
              <w:t>owledge and Associated Skills are assessed in a structured environment which is primarily intended for learning/assessment and incorporates all necessary equipment and facilities for learners to develop and demonstrate the Essential Knowledge and Associate</w:t>
            </w:r>
            <w:r w:rsidRPr="00315D5D">
              <w:t>d Skills described in this unit.</w:t>
            </w:r>
          </w:p>
        </w:tc>
      </w:tr>
      <w:tr w:rsidTr="00306A1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Concurrent 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8</w:t>
            </w:r>
            <w:r w:rsidRPr="00315D5D">
              <w:t>.</w:t>
            </w:r>
            <w:r w:rsidRPr="00315D5D">
              <w:rPr>
                <w:rStyle w:val="SpecialBold"/>
              </w:rPr>
              <w:t>5</w:t>
            </w:r>
            <w:r w:rsidRPr="00315D5D">
              <w:t xml:space="preserve">) </w:t>
            </w:r>
          </w:p>
        </w:tc>
      </w:tr>
      <w:tr w:rsidTr="00306A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 xml:space="preserve">There are no recommended concurrent assessments with this unit, however in some cases efficiencies may be gained in terms of learning and assessment </w:t>
            </w:r>
            <w:r w:rsidRPr="00315D5D">
              <w:t>effort being concurrently managed with allied Units where listed.</w:t>
            </w:r>
          </w:p>
        </w:tc>
      </w:tr>
      <w:tr w:rsidTr="00306A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BSBFLM405A</w:t>
            </w:r>
          </w:p>
        </w:tc>
        <w:tc>
          <w:tcPr>
            <w:tcW w:w="4500" w:type="dxa"/>
            <w:gridSpan w:val="2"/>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Implement operational plans</w:t>
            </w:r>
          </w:p>
        </w:tc>
      </w:tr>
      <w:tr w:rsidTr="00306A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BSBCMN411A</w:t>
            </w:r>
          </w:p>
        </w:tc>
        <w:tc>
          <w:tcPr>
            <w:tcW w:w="4500" w:type="dxa"/>
            <w:gridSpan w:val="2"/>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t>Monitor a safe workplace</w:t>
            </w:r>
          </w:p>
        </w:tc>
      </w:tr>
    </w:tbl>
    <w:p w:rsidR="00000000" w:rsidRPr="00315D5D" w:rsidP="00315D5D">
      <w:pPr>
        <w:pStyle w:val="BodyText"/>
      </w:pPr>
    </w:p>
    <w:tbl>
      <w:tblPr>
        <w:tblW w:w="0" w:type="auto"/>
        <w:tblLayout w:type="fixed"/>
        <w:tblCellMar>
          <w:left w:w="62" w:type="dxa"/>
          <w:right w:w="62" w:type="dxa"/>
        </w:tblCellMar>
        <w:tblLook w:val="0000"/>
      </w:tblPr>
      <w:tblGrid>
        <w:gridCol w:w="2160"/>
        <w:gridCol w:w="4737"/>
        <w:gridCol w:w="1563"/>
      </w:tblGrid>
      <w:tr w:rsidTr="00306A1A">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15D5D" w:rsidP="00315D5D">
            <w:pPr>
              <w:pStyle w:val="BodyText"/>
            </w:pPr>
            <w:r w:rsidRPr="00315D5D">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8</w:t>
            </w:r>
            <w:r w:rsidRPr="00315D5D">
              <w:t>.</w:t>
            </w:r>
            <w:r w:rsidRPr="00315D5D">
              <w:rPr>
                <w:rStyle w:val="SpecialBold"/>
              </w:rPr>
              <w:t>6</w:t>
            </w:r>
            <w:r w:rsidRPr="00315D5D">
              <w:t xml:space="preserve">) </w:t>
            </w:r>
          </w:p>
          <w:p w:rsidR="00000000" w:rsidP="00315D5D">
            <w:pPr>
              <w:pStyle w:val="BodyText"/>
              <w:rPr>
                <w:lang w:val="en-NZ"/>
              </w:rPr>
            </w:pPr>
            <w:r w:rsidRPr="00315D5D">
              <w:t>Evidence that particular key competencies have been achieved within this Unit is in the context of the following Performance Criteria of evidence. See Volume 2, Part 4 for an explanation of Key Competencies and levels of this Training Package.</w:t>
            </w:r>
          </w:p>
        </w:tc>
      </w:tr>
      <w:tr w:rsidTr="00306A1A">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rPr>
                <w:rStyle w:val="SpecialBold"/>
              </w:rPr>
              <w:t>Performance Level</w:t>
            </w:r>
          </w:p>
        </w:tc>
      </w:tr>
      <w:tr w:rsidTr="00306A1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 xml:space="preserve">How are ideas and information </w:t>
            </w:r>
            <w:r w:rsidRPr="00315D5D">
              <w:t>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p>
          <w:p w:rsidR="00000000" w:rsidP="00315D5D">
            <w:pPr>
              <w:pStyle w:val="BodyText"/>
              <w:rPr>
                <w:lang w:val="en-NZ"/>
              </w:rPr>
            </w:pPr>
            <w:r w:rsidRPr="00315D5D">
              <w:t>3</w:t>
            </w:r>
          </w:p>
        </w:tc>
      </w:tr>
      <w:tr w:rsidTr="00306A1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p>
        </w:tc>
      </w:tr>
      <w:tr w:rsidTr="00306A1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p>
          <w:p w:rsidR="00000000" w:rsidP="00315D5D">
            <w:pPr>
              <w:pStyle w:val="BodyText"/>
              <w:rPr>
                <w:lang w:val="en-NZ"/>
              </w:rPr>
            </w:pPr>
            <w:r w:rsidRPr="00315D5D">
              <w:t>2</w:t>
            </w:r>
          </w:p>
        </w:tc>
      </w:tr>
      <w:tr w:rsidTr="00306A1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p>
        </w:tc>
      </w:tr>
      <w:tr w:rsidTr="00306A1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p>
          <w:p w:rsidR="00000000" w:rsidP="00315D5D">
            <w:pPr>
              <w:pStyle w:val="BodyText"/>
              <w:rPr>
                <w:lang w:val="en-NZ"/>
              </w:rPr>
            </w:pPr>
            <w:r w:rsidRPr="00315D5D">
              <w:t>2</w:t>
            </w:r>
          </w:p>
        </w:tc>
      </w:tr>
      <w:tr w:rsidTr="00306A1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1.2; 1.7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p>
        </w:tc>
      </w:tr>
      <w:tr w:rsidTr="00306A1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p>
          <w:p w:rsidR="00000000" w:rsidP="00315D5D">
            <w:pPr>
              <w:pStyle w:val="BodyText"/>
              <w:rPr>
                <w:lang w:val="en-NZ"/>
              </w:rPr>
            </w:pPr>
            <w:r w:rsidRPr="00315D5D">
              <w:t>2</w:t>
            </w:r>
          </w:p>
        </w:tc>
      </w:tr>
      <w:tr w:rsidTr="00306A1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p>
        </w:tc>
      </w:tr>
      <w:tr w:rsidTr="00306A1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p>
          <w:p w:rsidR="00000000" w:rsidP="00315D5D">
            <w:pPr>
              <w:pStyle w:val="BodyText"/>
              <w:rPr>
                <w:lang w:val="en-NZ"/>
              </w:rPr>
            </w:pPr>
            <w:r w:rsidRPr="00315D5D">
              <w:t>N/A</w:t>
            </w:r>
          </w:p>
        </w:tc>
      </w:tr>
      <w:tr w:rsidTr="00306A1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p>
        </w:tc>
      </w:tr>
      <w:tr w:rsidTr="00306A1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p>
          <w:p w:rsidR="00000000" w:rsidP="00315D5D">
            <w:pPr>
              <w:pStyle w:val="BodyText"/>
              <w:rPr>
                <w:lang w:val="en-NZ"/>
              </w:rPr>
            </w:pPr>
            <w:r w:rsidRPr="00315D5D">
              <w:t>2</w:t>
            </w:r>
          </w:p>
        </w:tc>
      </w:tr>
      <w:tr w:rsidTr="00306A1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p>
        </w:tc>
      </w:tr>
      <w:tr w:rsidTr="00306A1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p>
          <w:p w:rsidR="00000000" w:rsidP="00315D5D">
            <w:pPr>
              <w:pStyle w:val="BodyText"/>
              <w:rPr>
                <w:lang w:val="en-NZ"/>
              </w:rPr>
            </w:pPr>
            <w:r w:rsidRPr="00315D5D">
              <w:t>2</w:t>
            </w:r>
          </w:p>
        </w:tc>
      </w:tr>
      <w:tr w:rsidTr="00306A1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p>
        </w:tc>
      </w:tr>
    </w:tbl>
    <w:p w:rsidR="00000000" w:rsidRPr="00315D5D" w:rsidP="00315D5D">
      <w:pPr>
        <w:pStyle w:val="BodyText"/>
      </w:pPr>
    </w:p>
    <w:tbl>
      <w:tblPr>
        <w:tblW w:w="0" w:type="auto"/>
        <w:tblLayout w:type="fixed"/>
        <w:tblCellMar>
          <w:left w:w="62" w:type="dxa"/>
          <w:right w:w="62" w:type="dxa"/>
        </w:tblCellMar>
        <w:tblLook w:val="0000"/>
      </w:tblPr>
      <w:tblGrid>
        <w:gridCol w:w="326"/>
        <w:gridCol w:w="1834"/>
        <w:gridCol w:w="6300"/>
      </w:tblGrid>
      <w:tr w:rsidTr="00306A1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15D5D" w:rsidP="00315D5D">
            <w:pPr>
              <w:pStyle w:val="BodyText"/>
            </w:pPr>
            <w:r w:rsidRPr="00315D5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315D5D" w:rsidP="00315D5D">
            <w:pPr>
              <w:pStyle w:val="BodyText"/>
            </w:pPr>
            <w:r w:rsidRPr="00315D5D">
              <w:rPr>
                <w:rStyle w:val="SpecialBold"/>
              </w:rPr>
              <w:t>8</w:t>
            </w:r>
            <w:r w:rsidRPr="00315D5D">
              <w:t>.</w:t>
            </w:r>
            <w:r w:rsidRPr="00315D5D">
              <w:rPr>
                <w:rStyle w:val="SpecialBold"/>
              </w:rPr>
              <w:t>7</w:t>
            </w:r>
            <w:r w:rsidRPr="00315D5D">
              <w:t xml:space="preserve">) </w:t>
            </w:r>
          </w:p>
          <w:p w:rsidR="00000000" w:rsidP="00315D5D">
            <w:pPr>
              <w:pStyle w:val="BodyText"/>
              <w:rPr>
                <w:lang w:val="en-NZ"/>
              </w:rPr>
            </w:pPr>
            <w:r w:rsidRPr="00315D5D">
              <w:t>Evidence that competency in this unit incorporates skills enabling employment is in the context of the following performance.</w:t>
            </w:r>
          </w:p>
        </w:tc>
      </w:tr>
      <w:tr w:rsidTr="00306A1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rPr>
                <w:rStyle w:val="SpecialBold"/>
              </w:rPr>
              <w:t>Example of Application</w:t>
            </w:r>
          </w:p>
        </w:tc>
      </w:tr>
      <w:tr w:rsidTr="00306A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examples of application:</w:t>
            </w:r>
          </w:p>
        </w:tc>
      </w:tr>
      <w:tr w:rsidTr="00306A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All</w:t>
            </w:r>
          </w:p>
        </w:tc>
      </w:tr>
      <w:tr w:rsidTr="00306A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examples of application:</w:t>
            </w:r>
          </w:p>
        </w:tc>
      </w:tr>
      <w:tr w:rsidTr="00306A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1.2; 1.3; 2.7</w:t>
            </w:r>
          </w:p>
        </w:tc>
      </w:tr>
      <w:tr w:rsidTr="00306A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Reflecting on the outcome and process of w</w:t>
            </w:r>
            <w:r w:rsidRPr="00315D5D">
              <w:t>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examples of application:</w:t>
            </w:r>
          </w:p>
        </w:tc>
      </w:tr>
      <w:tr w:rsidTr="00306A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3.6</w:t>
            </w:r>
          </w:p>
        </w:tc>
      </w:tr>
      <w:tr w:rsidTr="00306A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 xml:space="preserve">Interacting and understanding of </w:t>
            </w:r>
            <w:r w:rsidRPr="00315D5D">
              <w:t>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examples of application:</w:t>
            </w:r>
          </w:p>
        </w:tc>
      </w:tr>
      <w:tr w:rsidTr="00306A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1.2; 1.4; 2.7</w:t>
            </w:r>
          </w:p>
        </w:tc>
      </w:tr>
      <w:tr w:rsidTr="00306A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examples of application:</w:t>
            </w:r>
          </w:p>
        </w:tc>
      </w:tr>
      <w:tr w:rsidTr="00306A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1.2; 1.3</w:t>
            </w:r>
          </w:p>
        </w:tc>
      </w:tr>
      <w:tr w:rsidTr="00306A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D5D">
            <w:pPr>
              <w:pStyle w:val="BodyText"/>
              <w:rPr>
                <w:lang w:val="en-NZ"/>
              </w:rPr>
            </w:pPr>
            <w:r w:rsidRPr="00315D5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D5D">
            <w:pPr>
              <w:pStyle w:val="BodyText"/>
              <w:rPr>
                <w:lang w:val="en-NZ"/>
              </w:rPr>
            </w:pPr>
            <w:r w:rsidRPr="00315D5D">
              <w:t>Refer to the following Performance Criteria for exampl</w:t>
            </w:r>
            <w:r w:rsidRPr="00315D5D">
              <w:t>es of application:</w:t>
            </w:r>
          </w:p>
        </w:tc>
      </w:tr>
      <w:tr w:rsidTr="00306A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15D5D" w:rsidP="00315D5D">
            <w:pPr>
              <w:pStyle w:val="BodyText"/>
            </w:pPr>
            <w:r w:rsidRPr="00315D5D">
              <w:t>2.7</w:t>
            </w:r>
          </w:p>
        </w:tc>
      </w:tr>
    </w:tbl>
    <w:p w:rsidR="00306A1A" w:rsidP="00315D5D">
      <w:pPr>
        <w:pStyle w:val="BodyText"/>
      </w:pPr>
    </w:p>
    <w:p w:rsidR="00306A1A" w:rsidP="00315D5D">
      <w:pPr>
        <w:pStyle w:val="BodyText"/>
      </w:pPr>
    </w:p>
    <w:p w:rsidR="00000000" w:rsidRPr="00315D5D" w:rsidP="00315D5D">
      <w:pPr>
        <w:pStyle w:val="Heading1"/>
      </w:pPr>
      <w:bookmarkStart w:id="11" w:name="O_255763"/>
      <w:bookmarkEnd w:id="11"/>
      <w:r w:rsidRPr="00315D5D">
        <w:t>Range Statement</w:t>
      </w:r>
    </w:p>
    <w:tbl>
      <w:tblPr>
        <w:tblW w:w="0" w:type="auto"/>
        <w:tblLayout w:type="fixed"/>
        <w:tblCellMar>
          <w:left w:w="62" w:type="dxa"/>
          <w:right w:w="62" w:type="dxa"/>
        </w:tblCellMar>
        <w:tblLook w:val="0000"/>
      </w:tblPr>
      <w:tblGrid>
        <w:gridCol w:w="8460"/>
      </w:tblGrid>
      <w:tr w:rsidTr="00306A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RANGE STATEMENT</w:t>
            </w:r>
          </w:p>
        </w:tc>
      </w:tr>
      <w:tr w:rsidTr="00306A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7</w:t>
            </w:r>
            <w:r w:rsidRPr="00315D5D">
              <w:t xml:space="preserve">) This relates to the competency standard unit as a whole providing the range of contexts and conditions </w:t>
            </w:r>
            <w:r w:rsidRPr="00315D5D">
              <w:t>to which the Performance Criteria apply. It allows for different work environments and situations that will affect performance.</w:t>
            </w:r>
          </w:p>
        </w:tc>
      </w:tr>
      <w:tr w:rsidTr="00306A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t>This Unit shall/may be demonstrated in relation to supervising technical operations for gas distribution/transmission.</w:t>
            </w:r>
          </w:p>
          <w:p w:rsidR="00000000" w:rsidRPr="00315D5D" w:rsidP="00315D5D">
            <w:pPr>
              <w:pStyle w:val="BodyText"/>
            </w:pPr>
            <w:r w:rsidRPr="00315D5D">
              <w:t>The foll</w:t>
            </w:r>
            <w:r w:rsidRPr="00315D5D">
              <w:t>owing constants and variables included in the element/Performance Criteria in this unit are fully described in the Definitions Section of this volume and form an integral part of the Range Statement of this unit:</w:t>
            </w:r>
          </w:p>
          <w:p w:rsidR="00000000" w:rsidRPr="00315D5D" w:rsidP="00315D5D">
            <w:pPr>
              <w:pStyle w:val="BodyText"/>
            </w:pPr>
            <w:r w:rsidRPr="00315D5D">
              <w:t>Resources</w:t>
            </w:r>
          </w:p>
          <w:p w:rsidR="00000000" w:rsidRPr="00315D5D" w:rsidP="00315D5D">
            <w:pPr>
              <w:pStyle w:val="BodyText"/>
            </w:pPr>
            <w:r w:rsidRPr="00315D5D">
              <w:t xml:space="preserve">Operational </w:t>
            </w:r>
          </w:p>
          <w:p w:rsidR="00000000" w:rsidRPr="00315D5D" w:rsidP="00315D5D">
            <w:pPr>
              <w:pStyle w:val="BodyText"/>
            </w:pPr>
            <w:r w:rsidRPr="00315D5D">
              <w:t>Monitoring</w:t>
            </w:r>
          </w:p>
          <w:p w:rsidR="00000000" w:rsidRPr="00315D5D" w:rsidP="00315D5D">
            <w:pPr>
              <w:pStyle w:val="BodyText"/>
            </w:pPr>
            <w:r w:rsidRPr="00315D5D">
              <w:t xml:space="preserve">Relevant </w:t>
            </w:r>
            <w:r w:rsidRPr="00315D5D">
              <w:t>personnel</w:t>
            </w:r>
          </w:p>
          <w:p w:rsidR="00000000" w:rsidRPr="00315D5D" w:rsidP="00315D5D">
            <w:pPr>
              <w:pStyle w:val="BodyText"/>
            </w:pPr>
            <w:r w:rsidRPr="00315D5D">
              <w:t>Types of faults</w:t>
            </w:r>
          </w:p>
          <w:p w:rsidR="00000000" w:rsidRPr="00315D5D" w:rsidP="00315D5D">
            <w:pPr>
              <w:pStyle w:val="BodyText"/>
            </w:pPr>
            <w:r w:rsidRPr="00315D5D">
              <w:t>Reports (5)</w:t>
            </w:r>
          </w:p>
        </w:tc>
      </w:tr>
    </w:tbl>
    <w:p w:rsidR="00306A1A" w:rsidP="00315D5D">
      <w:pPr>
        <w:pStyle w:val="BodyText"/>
      </w:pPr>
    </w:p>
    <w:p w:rsidR="00306A1A" w:rsidP="00315D5D">
      <w:pPr>
        <w:pStyle w:val="BodyText"/>
      </w:pPr>
    </w:p>
    <w:p w:rsidR="00000000" w:rsidRPr="00315D5D" w:rsidP="00315D5D">
      <w:pPr>
        <w:pStyle w:val="Heading1"/>
      </w:pPr>
      <w:bookmarkStart w:id="12" w:name="O_296776"/>
      <w:bookmarkEnd w:id="12"/>
      <w:r w:rsidRPr="00315D5D">
        <w:t>Unit Sector(s)</w:t>
      </w:r>
    </w:p>
    <w:p w:rsidR="00000000" w:rsidRPr="00315D5D" w:rsidP="00315D5D">
      <w:pPr>
        <w:pStyle w:val="BodyText"/>
      </w:pPr>
      <w:r w:rsidRPr="00315D5D">
        <w:t>Not Applicable</w:t>
      </w:r>
    </w:p>
    <w:p w:rsidR="00000000" w:rsidRPr="00315D5D" w:rsidP="00315D5D">
      <w:pPr>
        <w:pStyle w:val="AllowPageBreak"/>
      </w:pPr>
    </w:p>
    <w:p w:rsidR="00000000" w:rsidRPr="00315D5D" w:rsidP="00315D5D">
      <w:pPr>
        <w:pStyle w:val="Heading1"/>
      </w:pPr>
      <w:bookmarkStart w:id="13" w:name="O_229318"/>
      <w:bookmarkEnd w:id="13"/>
      <w:r w:rsidRPr="00315D5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06A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2</w:t>
            </w:r>
            <w:r w:rsidRPr="00315D5D">
              <w:t>.</w:t>
            </w:r>
            <w:r w:rsidRPr="00315D5D">
              <w:rPr>
                <w:rStyle w:val="SpecialBold"/>
              </w:rPr>
              <w:t>2</w:t>
            </w:r>
            <w:r w:rsidRPr="00315D5D">
              <w:t xml:space="preserve">) </w:t>
            </w:r>
          </w:p>
          <w:p w:rsidR="00000000" w:rsidP="00315D5D">
            <w:pPr>
              <w:pStyle w:val="BodyText"/>
              <w:rPr>
                <w:lang w:val="en-NZ"/>
              </w:rPr>
            </w:pPr>
            <w:r w:rsidRPr="00315D5D">
              <w:t>Participants are best equipped to achieve this unit if they have reading, writing and numeracy skills indicated by the following scales. Description of each scale is given in Volume 2, Part 3 'Literacy and Numeracy'</w:t>
            </w:r>
          </w:p>
        </w:tc>
      </w:tr>
      <w:tr w:rsidTr="00306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Reading</w:t>
            </w:r>
          </w:p>
        </w:tc>
        <w:tc>
          <w:tcPr>
            <w:tcW w:w="805"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4</w:t>
            </w:r>
          </w:p>
        </w:tc>
        <w:tc>
          <w:tcPr>
            <w:tcW w:w="1184"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Writing</w:t>
            </w:r>
          </w:p>
        </w:tc>
        <w:tc>
          <w:tcPr>
            <w:tcW w:w="805"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4</w:t>
            </w:r>
          </w:p>
        </w:tc>
        <w:tc>
          <w:tcPr>
            <w:tcW w:w="1172"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t>Numeracy</w:t>
            </w:r>
          </w:p>
        </w:tc>
        <w:tc>
          <w:tcPr>
            <w:tcW w:w="805"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t>4</w:t>
            </w:r>
          </w:p>
        </w:tc>
      </w:tr>
    </w:tbl>
    <w:p w:rsidR="00306A1A" w:rsidP="00315D5D">
      <w:pPr>
        <w:pStyle w:val="BodyText"/>
      </w:pPr>
    </w:p>
    <w:p w:rsidR="00306A1A" w:rsidP="00315D5D">
      <w:pPr>
        <w:pStyle w:val="BodyText"/>
      </w:pPr>
    </w:p>
    <w:p w:rsidR="00000000" w:rsidRPr="00315D5D" w:rsidP="00315D5D">
      <w:pPr>
        <w:pStyle w:val="Heading1"/>
      </w:pPr>
      <w:bookmarkStart w:id="14" w:name="O_229321"/>
      <w:bookmarkEnd w:id="14"/>
      <w:r w:rsidRPr="00315D5D">
        <w:t>Competency Field</w:t>
      </w:r>
    </w:p>
    <w:tbl>
      <w:tblPr>
        <w:tblW w:w="0" w:type="auto"/>
        <w:tblLayout w:type="fixed"/>
        <w:tblCellMar>
          <w:left w:w="62" w:type="dxa"/>
          <w:right w:w="62" w:type="dxa"/>
        </w:tblCellMar>
        <w:tblLook w:val="0000"/>
      </w:tblPr>
      <w:tblGrid>
        <w:gridCol w:w="2700"/>
        <w:gridCol w:w="5760"/>
      </w:tblGrid>
      <w:tr w:rsidTr="00306A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15D5D">
            <w:pPr>
              <w:pStyle w:val="BodyText"/>
              <w:rPr>
                <w:lang w:val="en-NZ"/>
              </w:rPr>
            </w:pPr>
            <w:r w:rsidRPr="00315D5D">
              <w:rPr>
                <w:rStyle w:val="SpecialBold"/>
              </w:rPr>
              <w:t>4</w:t>
            </w:r>
            <w:r w:rsidRPr="00315D5D">
              <w:t xml:space="preserve">) </w:t>
            </w:r>
          </w:p>
        </w:tc>
      </w:tr>
      <w:tr w:rsidTr="00306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5D5D" w:rsidP="00315D5D">
            <w:pPr>
              <w:pStyle w:val="BodyText"/>
            </w:pPr>
            <w:r w:rsidRPr="00315D5D">
              <w:t>Cross discipline.</w:t>
            </w:r>
          </w:p>
        </w:tc>
      </w:tr>
    </w:tbl>
    <w:p w:rsidR="00306A1A" w:rsidP="00315D5D">
      <w:pPr>
        <w:pStyle w:val="BodyText"/>
      </w:pPr>
    </w:p>
    <w:p w:rsidR="00306A1A" w:rsidP="00315D5D">
      <w:pPr>
        <w:pStyle w:val="BodyText"/>
      </w:pPr>
    </w:p>
    <w:p w:rsidR="00000000" w:rsidRPr="00315D5D" w:rsidP="00315D5D"/>
    <w:sectPr w:rsidSect="00315D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A1A" w:rsidP="00306A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A1A" w:rsidP="00315D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06A1A" w:rsidP="00315D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06A1A" w:rsidP="00315D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5D" w:rsidRPr="00306A1A" w:rsidP="00306A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A1A" w:rsidRPr="002D2AF8" w:rsidP="00315D5D">
    <w:pPr>
      <w:pStyle w:val="Header"/>
      <w:framePr w:wrap="around"/>
    </w:pPr>
    <w:r>
      <w:fldChar w:fldCharType="begin"/>
    </w:r>
    <w:r>
      <w:instrText xml:space="preserve"> TITLE   \* MERGEFORMAT </w:instrText>
    </w:r>
    <w:r>
      <w:fldChar w:fldCharType="separate"/>
    </w:r>
    <w:r>
      <w:t>UEGNSG110A Supervise technical operations for gas distribution/transmission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06A1A" w:rsidP="00315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089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5A3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447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D5D"/>
    <w:pPr>
      <w:spacing w:before="360" w:after="60"/>
      <w:outlineLvl w:val="0"/>
    </w:pPr>
    <w:rPr>
      <w:sz w:val="32"/>
    </w:rPr>
  </w:style>
  <w:style w:type="paragraph" w:styleId="Heading2">
    <w:name w:val="heading 2"/>
    <w:basedOn w:val="HeadingBase"/>
    <w:next w:val="BodyText"/>
    <w:link w:val="Heading2Char"/>
    <w:qFormat/>
    <w:rsid w:val="00315D5D"/>
    <w:pPr>
      <w:keepLines/>
      <w:spacing w:before="240" w:after="120"/>
      <w:outlineLvl w:val="1"/>
    </w:pPr>
    <w:rPr>
      <w:sz w:val="28"/>
      <w:szCs w:val="40"/>
    </w:rPr>
  </w:style>
  <w:style w:type="paragraph" w:styleId="Heading3">
    <w:name w:val="heading 3"/>
    <w:basedOn w:val="HeadingBase"/>
    <w:next w:val="BodyText"/>
    <w:link w:val="Heading3Char"/>
    <w:qFormat/>
    <w:rsid w:val="00315D5D"/>
    <w:pPr>
      <w:spacing w:before="180" w:after="120"/>
      <w:outlineLvl w:val="2"/>
    </w:pPr>
    <w:rPr>
      <w:spacing w:val="-10"/>
      <w:kern w:val="32"/>
    </w:rPr>
  </w:style>
  <w:style w:type="paragraph" w:styleId="Heading4">
    <w:name w:val="heading 4"/>
    <w:basedOn w:val="HeadingBase"/>
    <w:next w:val="BodyText"/>
    <w:link w:val="Heading4Char"/>
    <w:qFormat/>
    <w:rsid w:val="00315D5D"/>
    <w:pPr>
      <w:spacing w:before="160" w:after="120"/>
      <w:outlineLvl w:val="3"/>
    </w:pPr>
    <w:rPr>
      <w:sz w:val="22"/>
    </w:rPr>
  </w:style>
  <w:style w:type="paragraph" w:styleId="Heading5">
    <w:name w:val="heading 5"/>
    <w:basedOn w:val="HeadingBase"/>
    <w:next w:val="Normal"/>
    <w:link w:val="Heading5Char"/>
    <w:qFormat/>
    <w:rsid w:val="00315D5D"/>
    <w:pPr>
      <w:spacing w:before="80"/>
      <w:outlineLvl w:val="4"/>
    </w:pPr>
    <w:rPr>
      <w:color w:val="918585"/>
      <w:sz w:val="20"/>
    </w:rPr>
  </w:style>
  <w:style w:type="paragraph" w:styleId="Heading6">
    <w:name w:val="heading 6"/>
    <w:basedOn w:val="HeadingBase"/>
    <w:next w:val="Normal"/>
    <w:link w:val="Heading6Char"/>
    <w:qFormat/>
    <w:rsid w:val="00315D5D"/>
    <w:pPr>
      <w:spacing w:before="60"/>
      <w:outlineLvl w:val="5"/>
    </w:pPr>
    <w:rPr>
      <w:color w:val="918585"/>
      <w:sz w:val="20"/>
    </w:rPr>
  </w:style>
  <w:style w:type="paragraph" w:styleId="Heading7">
    <w:name w:val="heading 7"/>
    <w:basedOn w:val="Normal"/>
    <w:next w:val="Normal"/>
    <w:link w:val="Heading7Char"/>
    <w:qFormat/>
    <w:rsid w:val="00315D5D"/>
    <w:pPr>
      <w:ind w:left="720"/>
      <w:outlineLvl w:val="6"/>
    </w:pPr>
    <w:rPr>
      <w:i/>
    </w:rPr>
  </w:style>
  <w:style w:type="paragraph" w:styleId="Heading8">
    <w:name w:val="heading 8"/>
    <w:basedOn w:val="Normal"/>
    <w:next w:val="Normal"/>
    <w:link w:val="Heading8Char"/>
    <w:qFormat/>
    <w:rsid w:val="00315D5D"/>
    <w:pPr>
      <w:ind w:left="720"/>
      <w:outlineLvl w:val="7"/>
    </w:pPr>
    <w:rPr>
      <w:i/>
    </w:rPr>
  </w:style>
  <w:style w:type="paragraph" w:styleId="Heading9">
    <w:name w:val="heading 9"/>
    <w:basedOn w:val="Normal"/>
    <w:next w:val="Normal"/>
    <w:link w:val="Heading9Char"/>
    <w:qFormat/>
    <w:rsid w:val="00315D5D"/>
    <w:pPr>
      <w:ind w:left="720"/>
      <w:outlineLvl w:val="8"/>
    </w:pPr>
    <w:rPr>
      <w:i/>
    </w:rPr>
  </w:style>
  <w:style w:type="character" w:default="1" w:styleId="DefaultParagraphFont">
    <w:name w:val="Default Paragraph Font"/>
    <w:uiPriority w:val="1"/>
    <w:unhideWhenUsed/>
    <w:rsid w:val="00315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D5D"/>
  </w:style>
  <w:style w:type="character" w:customStyle="1" w:styleId="Heading1Char">
    <w:name w:val="Heading 1 Char"/>
    <w:basedOn w:val="DefaultParagraphFont"/>
    <w:link w:val="Heading1"/>
    <w:rsid w:val="00315D5D"/>
    <w:rPr>
      <w:rFonts w:ascii="Times New Roman" w:eastAsia="Times New Roman" w:hAnsi="Times New Roman" w:cs="Times New Roman"/>
      <w:b/>
      <w:sz w:val="32"/>
      <w:szCs w:val="20"/>
      <w:lang w:eastAsia="en-US"/>
    </w:rPr>
  </w:style>
  <w:style w:type="paragraph" w:styleId="BodyText">
    <w:name w:val="Body Text"/>
    <w:basedOn w:val="Normal"/>
    <w:link w:val="BodyTextChar"/>
    <w:rsid w:val="00315D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5D5D"/>
    <w:rPr>
      <w:rFonts w:ascii="Times New Roman" w:eastAsia="Times New Roman" w:hAnsi="Times New Roman" w:cs="Times New Roman"/>
      <w:sz w:val="24"/>
      <w:lang w:eastAsia="en-US"/>
    </w:rPr>
  </w:style>
  <w:style w:type="paragraph" w:styleId="Footer">
    <w:name w:val="footer"/>
    <w:basedOn w:val="Normal"/>
    <w:link w:val="FooterChar"/>
    <w:rsid w:val="00315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D5D"/>
    <w:rPr>
      <w:rFonts w:ascii="Times New Roman" w:eastAsia="Times New Roman" w:hAnsi="Times New Roman" w:cs="Times New Roman"/>
      <w:sz w:val="16"/>
      <w:lang w:eastAsia="en-US"/>
    </w:rPr>
  </w:style>
  <w:style w:type="paragraph" w:styleId="ListBullet">
    <w:name w:val="List Bullet"/>
    <w:basedOn w:val="List"/>
    <w:rsid w:val="00315D5D"/>
    <w:pPr>
      <w:numPr>
        <w:numId w:val="13"/>
      </w:numPr>
      <w:tabs>
        <w:tab w:val="clear" w:pos="340"/>
      </w:tabs>
      <w:spacing w:before="40" w:after="40"/>
    </w:pPr>
  </w:style>
  <w:style w:type="character" w:customStyle="1" w:styleId="SpecialBold">
    <w:name w:val="Special Bold"/>
    <w:basedOn w:val="DefaultParagraphFont"/>
    <w:rsid w:val="00315D5D"/>
    <w:rPr>
      <w:b/>
      <w:spacing w:val="0"/>
    </w:rPr>
  </w:style>
  <w:style w:type="paragraph" w:styleId="ListBullet2">
    <w:name w:val="List Bullet 2"/>
    <w:basedOn w:val="List2"/>
    <w:rsid w:val="00315D5D"/>
    <w:pPr>
      <w:numPr>
        <w:numId w:val="14"/>
      </w:numPr>
      <w:tabs>
        <w:tab w:val="clear" w:pos="680"/>
      </w:tabs>
    </w:pPr>
  </w:style>
  <w:style w:type="paragraph" w:customStyle="1" w:styleId="SuperHeading">
    <w:name w:val="SuperHeading"/>
    <w:basedOn w:val="Normal"/>
    <w:rsid w:val="00315D5D"/>
    <w:pPr>
      <w:spacing w:before="240" w:after="120"/>
      <w:outlineLvl w:val="0"/>
    </w:pPr>
    <w:rPr>
      <w:rFonts w:ascii="Times New Roman" w:hAnsi="Times New Roman"/>
      <w:b/>
      <w:sz w:val="28"/>
    </w:rPr>
  </w:style>
  <w:style w:type="paragraph" w:customStyle="1" w:styleId="AllowPageBreak">
    <w:name w:val="AllowPageBreak"/>
    <w:rsid w:val="00315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D5D"/>
    <w:rPr>
      <w:rFonts w:ascii="Courier New" w:eastAsia="Times New Roman" w:hAnsi="Courier New" w:cs="Times New Roman"/>
      <w:i/>
      <w:szCs w:val="20"/>
      <w:lang w:eastAsia="en-US"/>
    </w:rPr>
  </w:style>
  <w:style w:type="paragraph" w:customStyle="1" w:styleId="HeadingBase">
    <w:name w:val="Heading Base"/>
    <w:rsid w:val="00315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D5D"/>
    <w:pPr>
      <w:tabs>
        <w:tab w:val="right" w:leader="dot" w:pos="9072"/>
      </w:tabs>
      <w:ind w:left="567"/>
    </w:pPr>
    <w:rPr>
      <w:szCs w:val="22"/>
    </w:rPr>
  </w:style>
  <w:style w:type="paragraph" w:customStyle="1" w:styleId="TOCBase">
    <w:name w:val="TOC Base"/>
    <w:rsid w:val="00315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D5D"/>
    <w:pPr>
      <w:tabs>
        <w:tab w:val="right" w:leader="dot" w:pos="9072"/>
      </w:tabs>
      <w:spacing w:before="40" w:after="40"/>
      <w:ind w:left="284"/>
    </w:pPr>
    <w:rPr>
      <w:rFonts w:ascii="Times New Roman" w:hAnsi="Times New Roman"/>
    </w:rPr>
  </w:style>
  <w:style w:type="paragraph" w:styleId="TOC1">
    <w:name w:val="toc 1"/>
    <w:basedOn w:val="TOCBase"/>
    <w:next w:val="Normal"/>
    <w:rsid w:val="00315D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5D5D"/>
    <w:pPr>
      <w:spacing w:before="5040"/>
      <w:jc w:val="center"/>
    </w:pPr>
    <w:rPr>
      <w:sz w:val="48"/>
      <w:szCs w:val="72"/>
      <w:lang w:val="en-US"/>
    </w:rPr>
  </w:style>
  <w:style w:type="character" w:customStyle="1" w:styleId="TitleChar">
    <w:name w:val="Title Char"/>
    <w:basedOn w:val="DefaultParagraphFont"/>
    <w:link w:val="Title"/>
    <w:rsid w:val="00315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D5D"/>
    <w:pPr>
      <w:tabs>
        <w:tab w:val="left" w:pos="3600"/>
        <w:tab w:val="left" w:pos="3958"/>
      </w:tabs>
    </w:pPr>
  </w:style>
  <w:style w:type="paragraph" w:styleId="List">
    <w:name w:val="List"/>
    <w:basedOn w:val="BodyText"/>
    <w:next w:val="BodyText"/>
    <w:rsid w:val="00315D5D"/>
    <w:pPr>
      <w:tabs>
        <w:tab w:val="left" w:pos="340"/>
      </w:tabs>
      <w:spacing w:before="60" w:after="60"/>
      <w:ind w:left="340" w:hanging="340"/>
    </w:pPr>
  </w:style>
  <w:style w:type="paragraph" w:customStyle="1" w:styleId="Note">
    <w:name w:val="Note"/>
    <w:basedOn w:val="BodyText"/>
    <w:rsid w:val="00315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D5D"/>
    <w:pPr>
      <w:framePr w:wrap="auto" w:hAnchor="text" w:y="6049"/>
    </w:pPr>
    <w:rPr>
      <w:color w:val="000000"/>
      <w:sz w:val="40"/>
    </w:rPr>
  </w:style>
  <w:style w:type="paragraph" w:customStyle="1" w:styleId="TOCTitle">
    <w:name w:val="TOCTitle"/>
    <w:basedOn w:val="Heading1"/>
    <w:rsid w:val="00315D5D"/>
    <w:pPr>
      <w:spacing w:after="240"/>
      <w:jc w:val="center"/>
      <w:outlineLvl w:val="9"/>
    </w:pPr>
    <w:rPr>
      <w:caps/>
    </w:rPr>
  </w:style>
  <w:style w:type="paragraph" w:customStyle="1" w:styleId="Version">
    <w:name w:val="Version"/>
    <w:rsid w:val="00315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D5D"/>
    <w:pPr>
      <w:keepNext w:val="0"/>
      <w:tabs>
        <w:tab w:val="right" w:pos="4176"/>
      </w:tabs>
      <w:ind w:left="198" w:hanging="198"/>
    </w:pPr>
    <w:rPr>
      <w:rFonts w:ascii="Garamond" w:hAnsi="Garamond"/>
    </w:rPr>
  </w:style>
  <w:style w:type="paragraph" w:styleId="IndexHeading">
    <w:name w:val="index heading"/>
    <w:basedOn w:val="Normal"/>
    <w:next w:val="Index1"/>
    <w:semiHidden/>
    <w:rsid w:val="00315D5D"/>
    <w:pPr>
      <w:spacing w:before="120" w:after="120"/>
    </w:pPr>
    <w:rPr>
      <w:rFonts w:ascii="Arial" w:hAnsi="Arial"/>
      <w:b/>
      <w:color w:val="918585"/>
      <w:sz w:val="24"/>
    </w:rPr>
  </w:style>
  <w:style w:type="paragraph" w:styleId="Header">
    <w:name w:val="header"/>
    <w:basedOn w:val="Normal"/>
    <w:link w:val="HeaderChar"/>
    <w:rsid w:val="00315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D5D"/>
    <w:rPr>
      <w:rFonts w:ascii="Times New Roman" w:eastAsia="Times New Roman" w:hAnsi="Times New Roman" w:cs="Times New Roman"/>
      <w:sz w:val="16"/>
      <w:szCs w:val="20"/>
      <w:lang w:val="en-GB" w:eastAsia="en-US"/>
    </w:rPr>
  </w:style>
  <w:style w:type="paragraph" w:customStyle="1" w:styleId="Chapter">
    <w:name w:val="Chapter"/>
    <w:basedOn w:val="Normal"/>
    <w:rsid w:val="00315D5D"/>
    <w:pPr>
      <w:spacing w:before="240"/>
    </w:pPr>
    <w:rPr>
      <w:rFonts w:ascii="Times New Roman" w:hAnsi="Times New Roman"/>
      <w:smallCaps/>
      <w:spacing w:val="80"/>
      <w:sz w:val="28"/>
    </w:rPr>
  </w:style>
  <w:style w:type="paragraph" w:customStyle="1" w:styleId="InChapter">
    <w:name w:val="InChapter"/>
    <w:basedOn w:val="Heading3"/>
    <w:rsid w:val="00315D5D"/>
    <w:pPr>
      <w:spacing w:after="240"/>
      <w:outlineLvl w:val="9"/>
    </w:pPr>
    <w:rPr>
      <w:noProof/>
    </w:rPr>
  </w:style>
  <w:style w:type="paragraph" w:styleId="Index2">
    <w:name w:val="index 2"/>
    <w:basedOn w:val="Normal"/>
    <w:next w:val="Normal"/>
    <w:semiHidden/>
    <w:rsid w:val="00315D5D"/>
    <w:pPr>
      <w:tabs>
        <w:tab w:val="right" w:pos="4176"/>
      </w:tabs>
      <w:ind w:left="568" w:hanging="284"/>
    </w:pPr>
    <w:rPr>
      <w:rFonts w:ascii="Garamond" w:hAnsi="Garamond"/>
    </w:rPr>
  </w:style>
  <w:style w:type="paragraph" w:customStyle="1" w:styleId="Byline">
    <w:name w:val="Byline"/>
    <w:rsid w:val="00315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D5D"/>
    <w:pPr>
      <w:tabs>
        <w:tab w:val="clear" w:pos="3600"/>
        <w:tab w:val="clear" w:pos="3958"/>
      </w:tabs>
      <w:jc w:val="right"/>
    </w:pPr>
  </w:style>
  <w:style w:type="character" w:styleId="Emphasis">
    <w:name w:val="Emphasis"/>
    <w:basedOn w:val="DefaultParagraphFont"/>
    <w:qFormat/>
    <w:rsid w:val="00315D5D"/>
    <w:rPr>
      <w:i/>
    </w:rPr>
  </w:style>
  <w:style w:type="paragraph" w:styleId="Caption">
    <w:name w:val="caption"/>
    <w:basedOn w:val="BodyText"/>
    <w:next w:val="Normal"/>
    <w:qFormat/>
    <w:rsid w:val="00315D5D"/>
    <w:pPr>
      <w:framePr w:w="2268" w:hSpace="181" w:vSpace="181" w:wrap="around" w:vAnchor="text" w:hAnchor="page" w:x="1135" w:y="285" w:anchorLock="1"/>
    </w:pPr>
    <w:rPr>
      <w:i/>
    </w:rPr>
  </w:style>
  <w:style w:type="paragraph" w:customStyle="1" w:styleId="MiniTOCTitle">
    <w:name w:val="MiniTOCTitle"/>
    <w:basedOn w:val="Heading4"/>
    <w:rsid w:val="00315D5D"/>
    <w:pPr>
      <w:spacing w:before="240"/>
      <w:outlineLvl w:val="9"/>
    </w:pPr>
    <w:rPr>
      <w:noProof/>
      <w:sz w:val="24"/>
    </w:rPr>
  </w:style>
  <w:style w:type="paragraph" w:customStyle="1" w:styleId="MiniTOCItem">
    <w:name w:val="MiniTOCItem"/>
    <w:basedOn w:val="ListBullet"/>
    <w:rsid w:val="00315D5D"/>
    <w:pPr>
      <w:numPr>
        <w:numId w:val="0"/>
      </w:numPr>
      <w:tabs>
        <w:tab w:val="right" w:leader="dot" w:pos="6521"/>
      </w:tabs>
      <w:spacing w:before="0" w:after="0"/>
    </w:pPr>
  </w:style>
  <w:style w:type="paragraph" w:customStyle="1" w:styleId="TOFTitle">
    <w:name w:val="TOFTitle"/>
    <w:basedOn w:val="TOCTitle"/>
    <w:rsid w:val="00315D5D"/>
  </w:style>
  <w:style w:type="paragraph" w:styleId="TableofFigures">
    <w:name w:val="table of figures"/>
    <w:basedOn w:val="Normal"/>
    <w:next w:val="Normal"/>
    <w:semiHidden/>
    <w:rsid w:val="00315D5D"/>
    <w:pPr>
      <w:tabs>
        <w:tab w:val="right" w:leader="dot" w:pos="9072"/>
      </w:tabs>
      <w:ind w:left="970" w:hanging="403"/>
    </w:pPr>
    <w:rPr>
      <w:rFonts w:ascii="Times New Roman" w:hAnsi="Times New Roman"/>
      <w:b/>
    </w:rPr>
  </w:style>
  <w:style w:type="paragraph" w:styleId="ListNumber">
    <w:name w:val="List Number"/>
    <w:basedOn w:val="List"/>
    <w:rsid w:val="00315D5D"/>
    <w:pPr>
      <w:numPr>
        <w:numId w:val="11"/>
      </w:numPr>
    </w:pPr>
  </w:style>
  <w:style w:type="character" w:customStyle="1" w:styleId="WingdingSymbols">
    <w:name w:val="Wingding Symbols"/>
    <w:rsid w:val="00315D5D"/>
    <w:rPr>
      <w:rFonts w:ascii="Wingdings" w:hAnsi="Wingdings"/>
    </w:rPr>
  </w:style>
  <w:style w:type="paragraph" w:customStyle="1" w:styleId="TableHeading">
    <w:name w:val="Table Heading"/>
    <w:basedOn w:val="HeadingBase"/>
    <w:rsid w:val="00315D5D"/>
    <w:pPr>
      <w:keepLines/>
      <w:pBdr>
        <w:bottom w:val="single" w:sz="6" w:space="1" w:color="918585"/>
      </w:pBdr>
      <w:spacing w:before="240"/>
    </w:pPr>
  </w:style>
  <w:style w:type="character" w:customStyle="1" w:styleId="HotSpot">
    <w:name w:val="HotSpot"/>
    <w:rsid w:val="00315D5D"/>
    <w:rPr>
      <w:color w:val="0033CC"/>
      <w:u w:val="none"/>
    </w:rPr>
  </w:style>
  <w:style w:type="paragraph" w:customStyle="1" w:styleId="BodyTextRight">
    <w:name w:val="Body Text Right"/>
    <w:basedOn w:val="BodyText"/>
    <w:rsid w:val="00315D5D"/>
    <w:pPr>
      <w:spacing w:before="0" w:after="0"/>
      <w:jc w:val="right"/>
    </w:pPr>
  </w:style>
  <w:style w:type="paragraph" w:styleId="Index3">
    <w:name w:val="index 3"/>
    <w:basedOn w:val="ListNumber2"/>
    <w:next w:val="Normal"/>
    <w:semiHidden/>
    <w:rsid w:val="00315D5D"/>
    <w:pPr>
      <w:numPr>
        <w:numId w:val="0"/>
      </w:numPr>
      <w:tabs>
        <w:tab w:val="right" w:leader="dot" w:pos="4176"/>
      </w:tabs>
    </w:pPr>
  </w:style>
  <w:style w:type="paragraph" w:styleId="ListNumber2">
    <w:name w:val="List Number 2"/>
    <w:basedOn w:val="List2"/>
    <w:rsid w:val="00315D5D"/>
    <w:pPr>
      <w:numPr>
        <w:numId w:val="10"/>
      </w:numPr>
      <w:tabs>
        <w:tab w:val="clear" w:pos="1060"/>
      </w:tabs>
    </w:pPr>
  </w:style>
  <w:style w:type="paragraph" w:customStyle="1" w:styleId="MarginNote">
    <w:name w:val="Margin Note"/>
    <w:basedOn w:val="BodyText"/>
    <w:rsid w:val="00315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D5D"/>
    <w:rPr>
      <w:sz w:val="32"/>
    </w:rPr>
  </w:style>
  <w:style w:type="paragraph" w:customStyle="1" w:styleId="HeadingProcedure">
    <w:name w:val="Heading Procedure"/>
    <w:basedOn w:val="HeadingBase"/>
    <w:next w:val="Normal"/>
    <w:rsid w:val="00315D5D"/>
    <w:pPr>
      <w:tabs>
        <w:tab w:val="left" w:pos="0"/>
      </w:tabs>
      <w:spacing w:before="120" w:after="60"/>
    </w:pPr>
    <w:rPr>
      <w:i/>
      <w:color w:val="918585"/>
      <w:sz w:val="22"/>
    </w:rPr>
  </w:style>
  <w:style w:type="paragraph" w:customStyle="1" w:styleId="TableBodyText">
    <w:name w:val="Table Body Text"/>
    <w:basedOn w:val="BodyText"/>
    <w:rsid w:val="00315D5D"/>
    <w:pPr>
      <w:spacing w:before="60" w:after="60"/>
    </w:pPr>
  </w:style>
  <w:style w:type="paragraph" w:styleId="ListContinue">
    <w:name w:val="List Continue"/>
    <w:basedOn w:val="List"/>
    <w:rsid w:val="00315D5D"/>
    <w:pPr>
      <w:ind w:firstLine="0"/>
    </w:pPr>
  </w:style>
  <w:style w:type="paragraph" w:customStyle="1" w:styleId="ListNote">
    <w:name w:val="List Note"/>
    <w:basedOn w:val="List"/>
    <w:rsid w:val="00315D5D"/>
    <w:pPr>
      <w:pBdr>
        <w:top w:val="single" w:sz="6" w:space="2" w:color="918585"/>
        <w:bottom w:val="single" w:sz="6" w:space="2" w:color="918585"/>
      </w:pBdr>
      <w:tabs>
        <w:tab w:val="left" w:pos="1021"/>
      </w:tabs>
      <w:ind w:firstLine="0"/>
    </w:pPr>
  </w:style>
  <w:style w:type="paragraph" w:customStyle="1" w:styleId="Warning">
    <w:name w:val="Warning"/>
    <w:basedOn w:val="BodyText"/>
    <w:rsid w:val="00315D5D"/>
    <w:pPr>
      <w:shd w:val="clear" w:color="auto" w:fill="D9D9D9"/>
      <w:tabs>
        <w:tab w:val="left" w:pos="992"/>
      </w:tabs>
      <w:ind w:left="119" w:right="119"/>
    </w:pPr>
    <w:rPr>
      <w:sz w:val="20"/>
    </w:rPr>
  </w:style>
  <w:style w:type="paragraph" w:customStyle="1" w:styleId="MarginIcons">
    <w:name w:val="Margin Icons"/>
    <w:basedOn w:val="BodyText"/>
    <w:rsid w:val="00315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D5D"/>
    <w:rPr>
      <w:rFonts w:ascii="Courier New" w:hAnsi="Courier New"/>
    </w:rPr>
  </w:style>
  <w:style w:type="paragraph" w:customStyle="1" w:styleId="NoteBullet">
    <w:name w:val="Note Bullet"/>
    <w:basedOn w:val="Note"/>
    <w:rsid w:val="00315D5D"/>
    <w:pPr>
      <w:tabs>
        <w:tab w:val="clear" w:pos="680"/>
      </w:tabs>
      <w:spacing w:before="60" w:after="60"/>
    </w:pPr>
  </w:style>
  <w:style w:type="paragraph" w:customStyle="1" w:styleId="SubHeading2">
    <w:name w:val="SubHeading2"/>
    <w:basedOn w:val="HeadingBase"/>
    <w:rsid w:val="00315D5D"/>
    <w:pPr>
      <w:spacing w:before="240" w:after="60"/>
    </w:pPr>
    <w:rPr>
      <w:sz w:val="20"/>
    </w:rPr>
  </w:style>
  <w:style w:type="paragraph" w:customStyle="1" w:styleId="SubHeading1">
    <w:name w:val="SubHeading1"/>
    <w:basedOn w:val="HeadingBase"/>
    <w:rsid w:val="00315D5D"/>
    <w:pPr>
      <w:spacing w:before="240" w:after="60"/>
    </w:pPr>
    <w:rPr>
      <w:color w:val="918585"/>
      <w:sz w:val="22"/>
    </w:rPr>
  </w:style>
  <w:style w:type="paragraph" w:customStyle="1" w:styleId="SideHeading">
    <w:name w:val="Side Heading"/>
    <w:basedOn w:val="HeadingBase"/>
    <w:rsid w:val="00315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D5D"/>
    <w:pPr>
      <w:numPr>
        <w:numId w:val="12"/>
      </w:numPr>
    </w:pPr>
  </w:style>
  <w:style w:type="paragraph" w:styleId="PlainText">
    <w:name w:val="Plain Text"/>
    <w:basedOn w:val="Normal"/>
    <w:link w:val="PlainTextChar"/>
    <w:rsid w:val="00315D5D"/>
    <w:rPr>
      <w:sz w:val="20"/>
    </w:rPr>
  </w:style>
  <w:style w:type="character" w:customStyle="1" w:styleId="PlainTextChar">
    <w:name w:val="Plain Text Char"/>
    <w:basedOn w:val="DefaultParagraphFont"/>
    <w:link w:val="PlainText"/>
    <w:rsid w:val="00315D5D"/>
    <w:rPr>
      <w:rFonts w:ascii="Courier New" w:eastAsia="Times New Roman" w:hAnsi="Courier New" w:cs="Times New Roman"/>
      <w:sz w:val="20"/>
      <w:szCs w:val="20"/>
      <w:lang w:eastAsia="en-US"/>
    </w:rPr>
  </w:style>
  <w:style w:type="character" w:customStyle="1" w:styleId="MenuOption">
    <w:name w:val="Menu Option"/>
    <w:basedOn w:val="DefaultParagraphFont"/>
    <w:rsid w:val="00315D5D"/>
    <w:rPr>
      <w:b/>
      <w:smallCaps/>
    </w:rPr>
  </w:style>
  <w:style w:type="paragraph" w:customStyle="1" w:styleId="TableListNumber">
    <w:name w:val="Table List Number"/>
    <w:basedOn w:val="ListNumber"/>
    <w:rsid w:val="00315D5D"/>
    <w:pPr>
      <w:numPr>
        <w:numId w:val="0"/>
      </w:numPr>
    </w:pPr>
  </w:style>
  <w:style w:type="paragraph" w:styleId="TOC4">
    <w:name w:val="toc 4"/>
    <w:basedOn w:val="TOCBase"/>
    <w:next w:val="Normal"/>
    <w:semiHidden/>
    <w:rsid w:val="00315D5D"/>
    <w:pPr>
      <w:tabs>
        <w:tab w:val="right" w:leader="dot" w:pos="9071"/>
      </w:tabs>
      <w:ind w:left="1701"/>
    </w:pPr>
  </w:style>
  <w:style w:type="paragraph" w:customStyle="1" w:styleId="ListAlpha">
    <w:name w:val="List Alpha"/>
    <w:basedOn w:val="List"/>
    <w:rsid w:val="00315D5D"/>
    <w:pPr>
      <w:numPr>
        <w:numId w:val="9"/>
      </w:numPr>
    </w:pPr>
  </w:style>
  <w:style w:type="paragraph" w:customStyle="1" w:styleId="ListAlpha2">
    <w:name w:val="List Alpha 2"/>
    <w:basedOn w:val="List2"/>
    <w:rsid w:val="00315D5D"/>
    <w:pPr>
      <w:numPr>
        <w:numId w:val="8"/>
      </w:numPr>
    </w:pPr>
  </w:style>
  <w:style w:type="paragraph" w:styleId="List2">
    <w:name w:val="List 2"/>
    <w:basedOn w:val="BodyText"/>
    <w:rsid w:val="00315D5D"/>
    <w:pPr>
      <w:tabs>
        <w:tab w:val="left" w:pos="680"/>
      </w:tabs>
      <w:spacing w:before="60" w:after="60"/>
      <w:ind w:left="680" w:hanging="340"/>
    </w:pPr>
  </w:style>
  <w:style w:type="paragraph" w:styleId="List3">
    <w:name w:val="List 3"/>
    <w:basedOn w:val="BodyText"/>
    <w:rsid w:val="00315D5D"/>
    <w:pPr>
      <w:tabs>
        <w:tab w:val="left" w:pos="1021"/>
      </w:tabs>
      <w:spacing w:before="60" w:after="60"/>
      <w:ind w:left="1020" w:hanging="340"/>
    </w:pPr>
  </w:style>
  <w:style w:type="paragraph" w:styleId="List4">
    <w:name w:val="List 4"/>
    <w:basedOn w:val="BodyText"/>
    <w:rsid w:val="00315D5D"/>
    <w:pPr>
      <w:tabs>
        <w:tab w:val="left" w:pos="1361"/>
      </w:tabs>
      <w:spacing w:before="60" w:after="60"/>
      <w:ind w:left="1361" w:hanging="340"/>
    </w:pPr>
  </w:style>
  <w:style w:type="paragraph" w:styleId="List5">
    <w:name w:val="List 5"/>
    <w:basedOn w:val="BodyText"/>
    <w:rsid w:val="00315D5D"/>
    <w:pPr>
      <w:tabs>
        <w:tab w:val="left" w:pos="1701"/>
      </w:tabs>
      <w:spacing w:before="60" w:after="60"/>
      <w:ind w:left="1701" w:hanging="340"/>
    </w:pPr>
  </w:style>
  <w:style w:type="paragraph" w:styleId="ListBullet3">
    <w:name w:val="List Bullet 3"/>
    <w:basedOn w:val="List3"/>
    <w:rsid w:val="00315D5D"/>
    <w:pPr>
      <w:numPr>
        <w:numId w:val="15"/>
      </w:numPr>
      <w:tabs>
        <w:tab w:val="clear" w:pos="1021"/>
      </w:tabs>
      <w:ind w:left="1037" w:hanging="357"/>
    </w:pPr>
  </w:style>
  <w:style w:type="paragraph" w:styleId="ListBullet4">
    <w:name w:val="List Bullet 4"/>
    <w:basedOn w:val="List4"/>
    <w:rsid w:val="00315D5D"/>
    <w:pPr>
      <w:numPr>
        <w:numId w:val="3"/>
      </w:numPr>
    </w:pPr>
  </w:style>
  <w:style w:type="paragraph" w:styleId="ListBullet5">
    <w:name w:val="List Bullet 5"/>
    <w:basedOn w:val="List5"/>
    <w:rsid w:val="00315D5D"/>
    <w:pPr>
      <w:numPr>
        <w:numId w:val="4"/>
      </w:numPr>
    </w:pPr>
  </w:style>
  <w:style w:type="paragraph" w:styleId="ListContinue2">
    <w:name w:val="List Continue 2"/>
    <w:basedOn w:val="List2"/>
    <w:rsid w:val="00315D5D"/>
    <w:pPr>
      <w:ind w:firstLine="0"/>
    </w:pPr>
  </w:style>
  <w:style w:type="paragraph" w:styleId="ListContinue3">
    <w:name w:val="List Continue 3"/>
    <w:basedOn w:val="List3"/>
    <w:rsid w:val="00315D5D"/>
    <w:pPr>
      <w:ind w:left="1021" w:firstLine="0"/>
    </w:pPr>
  </w:style>
  <w:style w:type="paragraph" w:styleId="ListContinue4">
    <w:name w:val="List Continue 4"/>
    <w:basedOn w:val="List4"/>
    <w:rsid w:val="00315D5D"/>
    <w:pPr>
      <w:ind w:firstLine="0"/>
    </w:pPr>
  </w:style>
  <w:style w:type="paragraph" w:styleId="ListContinue5">
    <w:name w:val="List Continue 5"/>
    <w:basedOn w:val="List5"/>
    <w:rsid w:val="00315D5D"/>
    <w:pPr>
      <w:ind w:firstLine="0"/>
    </w:pPr>
  </w:style>
  <w:style w:type="paragraph" w:styleId="ListNumber3">
    <w:name w:val="List Number 3"/>
    <w:basedOn w:val="List3"/>
    <w:rsid w:val="00315D5D"/>
    <w:pPr>
      <w:numPr>
        <w:numId w:val="5"/>
      </w:numPr>
    </w:pPr>
  </w:style>
  <w:style w:type="paragraph" w:styleId="ListNumber4">
    <w:name w:val="List Number 4"/>
    <w:basedOn w:val="List4"/>
    <w:rsid w:val="00315D5D"/>
    <w:pPr>
      <w:numPr>
        <w:numId w:val="6"/>
      </w:numPr>
    </w:pPr>
  </w:style>
  <w:style w:type="paragraph" w:styleId="ListNumber5">
    <w:name w:val="List Number 5"/>
    <w:basedOn w:val="List5"/>
    <w:rsid w:val="00315D5D"/>
    <w:pPr>
      <w:numPr>
        <w:numId w:val="7"/>
      </w:numPr>
    </w:pPr>
  </w:style>
  <w:style w:type="paragraph" w:styleId="BlockText">
    <w:name w:val="Block Text"/>
    <w:basedOn w:val="Normal"/>
    <w:rsid w:val="00315D5D"/>
    <w:pPr>
      <w:spacing w:after="120"/>
      <w:ind w:left="1440" w:right="1440"/>
    </w:pPr>
  </w:style>
  <w:style w:type="character" w:customStyle="1" w:styleId="Subscript">
    <w:name w:val="Subscript"/>
    <w:basedOn w:val="DefaultParagraphFont"/>
    <w:rsid w:val="00315D5D"/>
    <w:rPr>
      <w:sz w:val="16"/>
      <w:vertAlign w:val="subscript"/>
    </w:rPr>
  </w:style>
  <w:style w:type="character" w:customStyle="1" w:styleId="Superscript">
    <w:name w:val="Superscript"/>
    <w:basedOn w:val="DefaultParagraphFont"/>
    <w:rsid w:val="00315D5D"/>
    <w:rPr>
      <w:sz w:val="16"/>
      <w:vertAlign w:val="superscript"/>
    </w:rPr>
  </w:style>
  <w:style w:type="character" w:customStyle="1" w:styleId="Symbols">
    <w:name w:val="Symbols"/>
    <w:basedOn w:val="DefaultParagraphFont"/>
    <w:rsid w:val="00315D5D"/>
    <w:rPr>
      <w:rFonts w:ascii="Symbol" w:hAnsi="Symbol"/>
    </w:rPr>
  </w:style>
  <w:style w:type="character" w:customStyle="1" w:styleId="MenuOptions">
    <w:name w:val="Menu Options"/>
    <w:basedOn w:val="DefaultParagraphFont"/>
    <w:rsid w:val="00315D5D"/>
    <w:rPr>
      <w:rFonts w:ascii="Arial Narrow" w:hAnsi="Arial Narrow"/>
      <w:smallCaps/>
    </w:rPr>
  </w:style>
  <w:style w:type="character" w:customStyle="1" w:styleId="Buttons">
    <w:name w:val="Buttons"/>
    <w:basedOn w:val="DefaultParagraphFont"/>
    <w:rsid w:val="00315D5D"/>
    <w:rPr>
      <w:b/>
    </w:rPr>
  </w:style>
  <w:style w:type="character" w:customStyle="1" w:styleId="Underlined">
    <w:name w:val="Underlined"/>
    <w:basedOn w:val="DefaultParagraphFont"/>
    <w:rsid w:val="00315D5D"/>
    <w:rPr>
      <w:u w:val="single"/>
    </w:rPr>
  </w:style>
  <w:style w:type="paragraph" w:customStyle="1" w:styleId="TableBodyTextRight">
    <w:name w:val="Table Body Text Right"/>
    <w:basedOn w:val="TableBodyText"/>
    <w:rsid w:val="00315D5D"/>
    <w:pPr>
      <w:widowControl w:val="0"/>
      <w:autoSpaceDE w:val="0"/>
      <w:autoSpaceDN w:val="0"/>
      <w:adjustRightInd w:val="0"/>
      <w:jc w:val="right"/>
    </w:pPr>
    <w:rPr>
      <w:rFonts w:cs="Arial"/>
      <w:szCs w:val="18"/>
    </w:rPr>
  </w:style>
  <w:style w:type="paragraph" w:customStyle="1" w:styleId="CopyrightText">
    <w:name w:val="Copyright Text"/>
    <w:basedOn w:val="BodyText"/>
    <w:rsid w:val="00315D5D"/>
    <w:rPr>
      <w:sz w:val="18"/>
    </w:rPr>
  </w:style>
  <w:style w:type="paragraph" w:customStyle="1" w:styleId="BodySmallRight">
    <w:name w:val="Body Small Right"/>
    <w:basedOn w:val="BodyTextRight"/>
    <w:rsid w:val="00315D5D"/>
    <w:rPr>
      <w:sz w:val="18"/>
      <w:szCs w:val="18"/>
    </w:rPr>
  </w:style>
  <w:style w:type="paragraph" w:customStyle="1" w:styleId="MarginEdition">
    <w:name w:val="Margin Edition"/>
    <w:basedOn w:val="MarginNote"/>
    <w:rsid w:val="00315D5D"/>
    <w:pPr>
      <w:spacing w:before="0" w:after="0"/>
    </w:pPr>
    <w:rPr>
      <w:rFonts w:ascii="Times New Roman" w:hAnsi="Times New Roman"/>
      <w:color w:val="999999"/>
    </w:rPr>
  </w:style>
  <w:style w:type="paragraph" w:customStyle="1" w:styleId="Spacer">
    <w:name w:val="Spacer"/>
    <w:basedOn w:val="Normal"/>
    <w:rsid w:val="00315D5D"/>
    <w:rPr>
      <w:sz w:val="2"/>
      <w:szCs w:val="2"/>
    </w:rPr>
  </w:style>
  <w:style w:type="character" w:customStyle="1" w:styleId="Small">
    <w:name w:val="Small"/>
    <w:basedOn w:val="DefaultParagraphFont"/>
    <w:rsid w:val="00315D5D"/>
    <w:rPr>
      <w:sz w:val="16"/>
    </w:rPr>
  </w:style>
  <w:style w:type="paragraph" w:customStyle="1" w:styleId="WideTable">
    <w:name w:val="Wide Table"/>
    <w:basedOn w:val="Normal"/>
    <w:rsid w:val="00315D5D"/>
    <w:pPr>
      <w:ind w:left="-1418"/>
    </w:pPr>
    <w:rPr>
      <w:sz w:val="2"/>
      <w:szCs w:val="2"/>
    </w:rPr>
  </w:style>
  <w:style w:type="character" w:styleId="PageNumber">
    <w:name w:val="page number"/>
    <w:basedOn w:val="DefaultParagraphFont"/>
    <w:rsid w:val="00315D5D"/>
  </w:style>
  <w:style w:type="paragraph" w:styleId="Quote">
    <w:name w:val="Quote"/>
    <w:basedOn w:val="Heading1"/>
    <w:link w:val="QuoteChar"/>
    <w:qFormat/>
    <w:rsid w:val="00315D5D"/>
    <w:rPr>
      <w:b w:val="0"/>
      <w:sz w:val="72"/>
      <w:szCs w:val="72"/>
      <w:lang w:val="en-NZ"/>
    </w:rPr>
  </w:style>
  <w:style w:type="character" w:customStyle="1" w:styleId="QuoteChar">
    <w:name w:val="Quote Char"/>
    <w:basedOn w:val="DefaultParagraphFont"/>
    <w:link w:val="Quote"/>
    <w:rsid w:val="00315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D5D"/>
    <w:pPr>
      <w:pageBreakBefore/>
    </w:pPr>
  </w:style>
  <w:style w:type="paragraph" w:customStyle="1" w:styleId="Border">
    <w:name w:val="Border"/>
    <w:basedOn w:val="Normal"/>
    <w:qFormat/>
    <w:rsid w:val="00315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D5D"/>
    <w:rPr>
      <w:b/>
      <w:bCs/>
      <w:i/>
      <w:iCs/>
      <w:color w:val="auto"/>
    </w:rPr>
  </w:style>
  <w:style w:type="paragraph" w:styleId="IntenseQuote">
    <w:name w:val="Intense Quote"/>
    <w:basedOn w:val="Normal"/>
    <w:next w:val="Normal"/>
    <w:link w:val="IntenseQuoteChar"/>
    <w:uiPriority w:val="30"/>
    <w:qFormat/>
    <w:rsid w:val="00315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D5D"/>
    <w:rPr>
      <w:smallCaps/>
      <w:color w:val="auto"/>
      <w:u w:val="single"/>
    </w:rPr>
  </w:style>
  <w:style w:type="character" w:styleId="IntenseReference">
    <w:name w:val="Intense Reference"/>
    <w:basedOn w:val="DefaultParagraphFont"/>
    <w:uiPriority w:val="32"/>
    <w:qFormat/>
    <w:rsid w:val="00315D5D"/>
    <w:rPr>
      <w:b/>
      <w:bCs/>
      <w:smallCaps/>
      <w:color w:val="auto"/>
      <w:spacing w:val="5"/>
      <w:u w:val="single"/>
    </w:rPr>
  </w:style>
  <w:style w:type="paragraph" w:customStyle="1" w:styleId="2ColumnHeading">
    <w:name w:val="2Column Heading"/>
    <w:basedOn w:val="BodyText"/>
    <w:qFormat/>
    <w:rsid w:val="00315D5D"/>
    <w:pPr>
      <w:spacing w:after="60"/>
      <w:ind w:left="-2268"/>
    </w:pPr>
    <w:rPr>
      <w:b/>
    </w:rPr>
  </w:style>
  <w:style w:type="paragraph" w:customStyle="1" w:styleId="Heading1TOC">
    <w:name w:val="Heading1 TOC"/>
    <w:basedOn w:val="Normal"/>
    <w:qFormat/>
    <w:rsid w:val="00315D5D"/>
    <w:pPr>
      <w:spacing w:before="240" w:after="120"/>
    </w:pPr>
    <w:rPr>
      <w:rFonts w:ascii="Times New Roman" w:hAnsi="Times New Roman"/>
      <w:b/>
      <w:sz w:val="32"/>
    </w:rPr>
  </w:style>
  <w:style w:type="paragraph" w:customStyle="1" w:styleId="Heading2TOC">
    <w:name w:val="Heading2 TOC"/>
    <w:basedOn w:val="Normal"/>
    <w:qFormat/>
    <w:rsid w:val="00315D5D"/>
    <w:pPr>
      <w:spacing w:before="240" w:after="60"/>
    </w:pPr>
    <w:rPr>
      <w:rFonts w:ascii="Times New Roman" w:hAnsi="Times New Roman"/>
      <w:b/>
      <w:sz w:val="28"/>
    </w:rPr>
  </w:style>
  <w:style w:type="character" w:customStyle="1" w:styleId="Underline">
    <w:name w:val="Underline"/>
    <w:basedOn w:val="DefaultParagraphFont"/>
    <w:qFormat/>
    <w:rsid w:val="00315D5D"/>
    <w:rPr>
      <w:u w:val="single"/>
    </w:rPr>
  </w:style>
  <w:style w:type="character" w:customStyle="1" w:styleId="BoldandItalics">
    <w:name w:val="Bold and Italics"/>
    <w:qFormat/>
    <w:rsid w:val="00315D5D"/>
    <w:rPr>
      <w:b/>
      <w:i/>
      <w:u w:val="none"/>
    </w:rPr>
  </w:style>
  <w:style w:type="paragraph" w:styleId="BalloonText">
    <w:name w:val="Balloon Text"/>
    <w:basedOn w:val="Normal"/>
    <w:link w:val="BalloonTextChar"/>
    <w:rsid w:val="00315D5D"/>
    <w:rPr>
      <w:rFonts w:ascii="Tahoma" w:hAnsi="Tahoma" w:cs="Tahoma"/>
      <w:sz w:val="16"/>
      <w:szCs w:val="16"/>
    </w:rPr>
  </w:style>
  <w:style w:type="character" w:customStyle="1" w:styleId="BalloonTextChar">
    <w:name w:val="Balloon Text Char"/>
    <w:basedOn w:val="DefaultParagraphFont"/>
    <w:link w:val="BalloonText"/>
    <w:rsid w:val="00315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D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5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D5D"/>
    <w:rPr>
      <w:b/>
      <w:color w:val="660033"/>
      <w:spacing w:val="0"/>
    </w:rPr>
  </w:style>
  <w:style w:type="paragraph" w:customStyle="1" w:styleId="Nameditemlist">
    <w:name w:val="Named item list"/>
    <w:basedOn w:val="BodyText"/>
    <w:qFormat/>
    <w:rsid w:val="00315D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2493</Words>
  <Characters>15173</Characters>
  <Application>Microsoft Office Word</Application>
  <DocSecurity>0</DocSecurity>
  <Lines>752</Lines>
  <Paragraphs>313</Paragraphs>
  <ScaleCrop>false</ScaleCrop>
  <Company>Author-it Software Corporation Ltd.</Company>
  <LinksUpToDate>false</LinksUpToDate>
  <CharactersWithSpaces>17382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UEGNSG110A Supervise technical operations for gas distribution/transmission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2012-10-11T19:06:00Z</dcterms:created>
  <dcterms:modified xsi:type="dcterms:W3CDTF">2012-10-11T19:06:00Z</dcterms:modified>
</cp:coreProperties>
</file>