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F30" w:rsidP="004C4F30">
      <w:pPr>
        <w:pStyle w:val="Title"/>
      </w:pPr>
      <w:r>
        <w:fldChar w:fldCharType="begin"/>
      </w:r>
      <w:r>
        <w:instrText xml:space="preserve"> TITLE   \* MERGEFORMAT </w:instrText>
      </w:r>
      <w:r>
        <w:fldChar w:fldCharType="separate"/>
      </w:r>
      <w:r>
        <w:t>UEGNSG108A Operate and monitor pipeline control systems</w:t>
      </w:r>
      <w:r>
        <w:fldChar w:fldCharType="end"/>
      </w:r>
    </w:p>
    <w:p w:rsidR="004C4F30" w:rsidP="004C4F30">
      <w:pPr>
        <w:pStyle w:val="Version"/>
        <w:sectPr w:rsidSect="006D4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96F" w:rsidP="006D496F">
      <w:pPr>
        <w:pStyle w:val="SuperHeading"/>
      </w:pPr>
      <w:r w:rsidRPr="006D496F">
        <w:t>UEGNSG108A Operate and monitor pipeline control systems</w:t>
      </w:r>
    </w:p>
    <w:p w:rsidR="00000000" w:rsidRPr="006D496F" w:rsidP="006D496F">
      <w:pPr>
        <w:pStyle w:val="Heading1"/>
      </w:pPr>
      <w:bookmarkStart w:id="1" w:name="O_275080"/>
      <w:bookmarkEnd w:id="1"/>
      <w:r w:rsidRPr="006D496F">
        <w:t>Modification History</w:t>
      </w:r>
    </w:p>
    <w:p w:rsidR="00000000" w:rsidRPr="006D496F" w:rsidP="006D496F">
      <w:pPr>
        <w:pStyle w:val="BodyText"/>
      </w:pPr>
      <w:r w:rsidRPr="006D496F">
        <w:t>Not Applicable</w:t>
      </w:r>
    </w:p>
    <w:p w:rsidR="00000000" w:rsidRPr="006D496F" w:rsidP="006D496F">
      <w:pPr>
        <w:pStyle w:val="AllowPageBreak"/>
      </w:pPr>
    </w:p>
    <w:p w:rsidR="00000000" w:rsidRPr="006D496F" w:rsidP="006D496F">
      <w:pPr>
        <w:pStyle w:val="Heading1"/>
      </w:pPr>
      <w:bookmarkStart w:id="2" w:name="O_229304"/>
      <w:bookmarkEnd w:id="2"/>
      <w:r w:rsidRPr="006D496F">
        <w:t>Unit Descriptor</w:t>
      </w:r>
    </w:p>
    <w:tbl>
      <w:tblPr>
        <w:tblW w:w="0" w:type="auto"/>
        <w:tblLayout w:type="fixed"/>
        <w:tblCellMar>
          <w:left w:w="62" w:type="dxa"/>
          <w:right w:w="62" w:type="dxa"/>
        </w:tblCellMar>
        <w:tblLook w:val="0000"/>
      </w:tblPr>
      <w:tblGrid>
        <w:gridCol w:w="2700"/>
        <w:gridCol w:w="5760"/>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1</w:t>
            </w:r>
            <w:r w:rsidRPr="006D496F">
              <w:t>)</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This Unit covers operating and monitoring of pipeline systems (including valve systems, instrument and control systems prime movers, compression systems). This competency standard refers to Pipeline Control Systems; Prime Movers; Instrument and Control Sys</w:t>
            </w:r>
            <w:r w:rsidRPr="006D496F">
              <w:t>tems; Valve Systems; Emergency Response procedures; Relevant Persons; Tools, Equipment and Testing Devices; Types of Faults and Reports.</w:t>
            </w:r>
          </w:p>
        </w:tc>
      </w:tr>
    </w:tbl>
    <w:p w:rsidR="004C4F30" w:rsidP="006D496F">
      <w:pPr>
        <w:pStyle w:val="BodyText"/>
      </w:pPr>
    </w:p>
    <w:p w:rsidR="004C4F30" w:rsidP="006D496F">
      <w:pPr>
        <w:pStyle w:val="BodyText"/>
      </w:pPr>
    </w:p>
    <w:p w:rsidR="00000000" w:rsidRPr="006D496F" w:rsidP="006D496F">
      <w:pPr>
        <w:pStyle w:val="Heading1"/>
      </w:pPr>
      <w:bookmarkStart w:id="3" w:name="O_229307"/>
      <w:bookmarkEnd w:id="3"/>
      <w:r w:rsidRPr="006D496F">
        <w:t>Application of the Unit</w:t>
      </w:r>
    </w:p>
    <w:tbl>
      <w:tblPr>
        <w:tblW w:w="0" w:type="auto"/>
        <w:tblLayout w:type="fixed"/>
        <w:tblCellMar>
          <w:left w:w="62" w:type="dxa"/>
          <w:right w:w="62" w:type="dxa"/>
        </w:tblCellMar>
        <w:tblLook w:val="0000"/>
      </w:tblPr>
      <w:tblGrid>
        <w:gridCol w:w="2700"/>
        <w:gridCol w:w="5760"/>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3</w:t>
            </w:r>
            <w:r w:rsidRPr="006D496F">
              <w:t xml:space="preserve">) </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This competency standard shall apply to any b</w:t>
            </w:r>
            <w:r w:rsidRPr="006D496F">
              <w:t>asic and safe work site where Gas Industry operations occur. It could also apply, where applicable to other workplaces in the electricity supply industry (transmission and distribution and generation), the electrotechnology industry and the water industry,</w:t>
            </w:r>
            <w:r w:rsidRPr="006D496F">
              <w:t xml:space="preserve"> subject to all Occupational Health and Safety and duty of care requirements being met for the workplace.</w:t>
            </w:r>
          </w:p>
        </w:tc>
      </w:tr>
    </w:tbl>
    <w:p w:rsidR="004C4F30" w:rsidP="006D496F">
      <w:pPr>
        <w:pStyle w:val="BodyText"/>
      </w:pPr>
    </w:p>
    <w:p w:rsidR="004C4F30" w:rsidP="006D496F">
      <w:pPr>
        <w:pStyle w:val="BodyText"/>
      </w:pPr>
    </w:p>
    <w:p w:rsidR="00000000" w:rsidRPr="006D496F" w:rsidP="006D496F">
      <w:pPr>
        <w:pStyle w:val="Heading1"/>
      </w:pPr>
      <w:bookmarkStart w:id="4" w:name="O_229308"/>
      <w:bookmarkEnd w:id="4"/>
      <w:r w:rsidRPr="006D496F">
        <w:t>Licensing/Regulatory Information</w:t>
      </w:r>
    </w:p>
    <w:tbl>
      <w:tblPr>
        <w:tblW w:w="0" w:type="auto"/>
        <w:tblLayout w:type="fixed"/>
        <w:tblCellMar>
          <w:left w:w="62" w:type="dxa"/>
          <w:right w:w="62" w:type="dxa"/>
        </w:tblCellMar>
        <w:tblLook w:val="0000"/>
      </w:tblPr>
      <w:tblGrid>
        <w:gridCol w:w="2700"/>
        <w:gridCol w:w="5760"/>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3</w:t>
            </w:r>
            <w:r w:rsidRPr="006D496F">
              <w:t>.</w:t>
            </w:r>
            <w:r w:rsidRPr="006D496F">
              <w:rPr>
                <w:rStyle w:val="SpecialBold"/>
              </w:rPr>
              <w:t>1</w:t>
            </w:r>
            <w:r w:rsidRPr="006D496F">
              <w:t xml:space="preserve">) </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The skills and knowledge describe</w:t>
            </w:r>
            <w:r w:rsidRPr="006D496F">
              <w:t xml:space="preserve">d in this unit are not subject to licence regulation other than those directly related to Occupational Health and Safety, gas/electricity/water industry safety and compliance, </w:t>
            </w:r>
            <w:r w:rsidRPr="006D496F">
              <w:t>industrial relations, environmental protection, telecommunications, anti discrim</w:t>
            </w:r>
            <w:r w:rsidRPr="006D496F">
              <w:t>ination and training. Commonwealth, State/Territory or Local Government legislation and regulations may exist that limit the age at which a person can operate certain equipment.</w:t>
            </w:r>
          </w:p>
        </w:tc>
      </w:tr>
    </w:tbl>
    <w:p w:rsidR="004C4F30" w:rsidP="006D496F">
      <w:pPr>
        <w:pStyle w:val="BodyText"/>
      </w:pPr>
    </w:p>
    <w:p w:rsidR="004C4F30" w:rsidP="006D496F">
      <w:pPr>
        <w:pStyle w:val="BodyText"/>
      </w:pPr>
    </w:p>
    <w:p w:rsidR="00000000" w:rsidRPr="006D496F" w:rsidP="006D496F">
      <w:pPr>
        <w:pStyle w:val="Heading1"/>
      </w:pPr>
      <w:bookmarkStart w:id="5" w:name="O_229305"/>
      <w:bookmarkEnd w:id="5"/>
      <w:r w:rsidRPr="006D496F">
        <w:t>Pre-Requisites</w:t>
      </w:r>
    </w:p>
    <w:tbl>
      <w:tblPr>
        <w:tblW w:w="0" w:type="auto"/>
        <w:tblLayout w:type="fixed"/>
        <w:tblCellMar>
          <w:left w:w="62" w:type="dxa"/>
          <w:right w:w="62" w:type="dxa"/>
        </w:tblCellMar>
        <w:tblLook w:val="0000"/>
      </w:tblPr>
      <w:tblGrid>
        <w:gridCol w:w="2700"/>
        <w:gridCol w:w="1800"/>
        <w:gridCol w:w="3960"/>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Prerequisite Unit</w:t>
            </w:r>
            <w:r w:rsidRPr="006D496F">
              <w:t>(</w:t>
            </w:r>
            <w:r w:rsidRPr="006D496F">
              <w:rPr>
                <w:rStyle w:val="SpecialBold"/>
              </w:rPr>
              <w:t>s</w:t>
            </w:r>
            <w:r w:rsidRPr="006D496F">
              <w:t>)</w:t>
            </w:r>
          </w:p>
        </w:tc>
        <w:tc>
          <w:tcPr>
            <w:tcW w:w="5760" w:type="dxa"/>
            <w:gridSpan w:val="2"/>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2</w:t>
            </w:r>
            <w:r w:rsidRPr="006D496F">
              <w:t xml:space="preserve">) </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2</w:t>
            </w:r>
            <w:r w:rsidRPr="006D496F">
              <w:t>.</w:t>
            </w:r>
            <w:r w:rsidRPr="006D496F">
              <w:rPr>
                <w:rStyle w:val="SpecialBold"/>
              </w:rPr>
              <w:t>1</w:t>
            </w:r>
            <w:r w:rsidRPr="006D496F">
              <w:t xml:space="preserve">) </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Granting of competency in this unit shall be made only after competency in the following unit(s) has/have been confirmed:</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Nil</w:t>
            </w:r>
          </w:p>
        </w:tc>
        <w:tc>
          <w:tcPr>
            <w:tcW w:w="3960" w:type="dxa"/>
            <w:tcBorders>
              <w:top w:val="nil"/>
              <w:left w:val="nil"/>
              <w:bottom w:val="nil"/>
              <w:right w:val="nil"/>
            </w:tcBorders>
            <w:tcMar>
              <w:top w:w="0" w:type="dxa"/>
              <w:left w:w="62" w:type="dxa"/>
              <w:bottom w:w="0" w:type="dxa"/>
              <w:right w:w="62" w:type="dxa"/>
            </w:tcMar>
          </w:tcPr>
          <w:p w:rsidR="00000000" w:rsidRPr="006D496F" w:rsidP="006D496F">
            <w:pPr>
              <w:pStyle w:val="BodyText"/>
            </w:pPr>
          </w:p>
        </w:tc>
      </w:tr>
    </w:tbl>
    <w:p w:rsidR="004C4F30" w:rsidP="006D496F">
      <w:pPr>
        <w:pStyle w:val="BodyText"/>
      </w:pPr>
    </w:p>
    <w:p w:rsidR="004C4F30" w:rsidP="006D496F">
      <w:pPr>
        <w:pStyle w:val="BodyText"/>
      </w:pPr>
    </w:p>
    <w:p w:rsidR="00000000" w:rsidRPr="006D496F" w:rsidP="006D496F">
      <w:pPr>
        <w:pStyle w:val="Heading1"/>
      </w:pPr>
      <w:bookmarkStart w:id="6" w:name="O_285329"/>
      <w:bookmarkEnd w:id="6"/>
      <w:r w:rsidRPr="006D496F">
        <w:t>Employability Skills Information</w:t>
      </w:r>
    </w:p>
    <w:p w:rsidR="00000000" w:rsidRPr="006D496F" w:rsidP="006D496F">
      <w:pPr>
        <w:pStyle w:val="BodyText"/>
      </w:pPr>
      <w:r w:rsidRPr="006D496F">
        <w:t>Refer to the Evidence Guide</w:t>
      </w:r>
    </w:p>
    <w:p w:rsidR="00000000" w:rsidRPr="006D496F" w:rsidP="006D496F">
      <w:pPr>
        <w:pStyle w:val="AllowPageBreak"/>
      </w:pPr>
    </w:p>
    <w:p w:rsidR="00000000" w:rsidRPr="006D496F" w:rsidP="006D496F">
      <w:pPr>
        <w:pStyle w:val="Heading1"/>
      </w:pPr>
      <w:bookmarkStart w:id="7" w:name="O_293126"/>
      <w:bookmarkEnd w:id="7"/>
      <w:r w:rsidRPr="006D496F">
        <w:t>Elements and Performance Criteria Pre-Content</w:t>
      </w:r>
    </w:p>
    <w:tbl>
      <w:tblPr>
        <w:tblW w:w="0" w:type="auto"/>
        <w:tblLayout w:type="fixed"/>
        <w:tblCellMar>
          <w:left w:w="62" w:type="dxa"/>
          <w:right w:w="62" w:type="dxa"/>
        </w:tblCellMar>
        <w:tblLook w:val="0000"/>
      </w:tblPr>
      <w:tblGrid>
        <w:gridCol w:w="2700"/>
        <w:gridCol w:w="5760"/>
      </w:tblGrid>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5</w:t>
            </w:r>
            <w:r w:rsidRPr="006D496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Performance Criteria describe the required performance needed to demonstrate achievement of the element. Assessment of performance is to</w:t>
            </w:r>
            <w:r w:rsidRPr="006D496F">
              <w:t xml:space="preserve"> be consistent with the evidence guide.</w:t>
            </w:r>
          </w:p>
        </w:tc>
      </w:tr>
    </w:tbl>
    <w:p w:rsidR="00000000" w:rsidRPr="006D496F" w:rsidP="006D496F">
      <w:pPr>
        <w:pStyle w:val="BodyText"/>
      </w:pPr>
    </w:p>
    <w:p w:rsidR="00000000" w:rsidRPr="006D496F" w:rsidP="006D496F">
      <w:pPr>
        <w:pStyle w:val="AllowPageBreak"/>
      </w:pPr>
    </w:p>
    <w:p w:rsidR="00000000" w:rsidRPr="006D496F" w:rsidP="006D496F">
      <w:pPr>
        <w:pStyle w:val="Heading1"/>
      </w:pPr>
      <w:bookmarkStart w:id="8" w:name="O_239794"/>
      <w:bookmarkEnd w:id="8"/>
      <w:r w:rsidRPr="006D496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C4F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PERFORMANCE CRITERIA</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w:t>
            </w:r>
          </w:p>
        </w:tc>
        <w:tc>
          <w:tcPr>
            <w:tcW w:w="2296" w:type="dxa"/>
            <w:vMerge w:val="restart"/>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Plan for operation</w:t>
            </w: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1.1</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Operational area is checked for hazards and the works schedule(s), incl</w:t>
            </w:r>
            <w:r w:rsidRPr="006D496F">
              <w:t>uding drawings, plans, requirements, established procedures and material lists are detailed, analysed if necessary by site inspection and the extent of the preparation of the work determined for planning and coordination</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1.2</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Work is prioritised and sequ</w:t>
            </w:r>
            <w:r w:rsidRPr="006D496F">
              <w:t>enced for the most efficient and effective outcome following consultation with others for completion within acceptable timeframes to a quality standard and in accordance with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1.3</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Risk control measures are identified, prioritised and evaluated against the work schedule</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1.4</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Relevant requirements and established procedures for the work are communicated to all persons and identified for all work sites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1.5</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OHS, environmental and s</w:t>
            </w:r>
            <w:r w:rsidRPr="006D496F">
              <w:t>ustainable energy policies and procedures related to the work are identified to ensure safe systems of work are followed</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1.6</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Relevant work permits are secured to coordinate the performance of work according to requirements and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1.7</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Resources including persons, equipment, tools and personal protective equipment required for the job are identified, scheduled, coordinated and confirmed in a safe and technical working order</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1.8</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Clients are provided with possible solutions and opti</w:t>
            </w:r>
            <w:r w:rsidRPr="006D496F">
              <w:t>ons within the scope, acceptable cost and requirements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1.9</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Liaison and communication issues with authorised persons, authorities, clients and land owners are resolved and activities coordinated to carry out work</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1.10</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Persons participating in the work, including plant operators and contractors are fully briefed and respective responsibilities coordinated and authorised where applicable in accordance with establish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1.11</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Status of the system is sought throug</w:t>
            </w:r>
            <w:r w:rsidRPr="006D496F">
              <w:t>h communication with pipeline control centre in accordance with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w:t>
            </w:r>
          </w:p>
        </w:tc>
        <w:tc>
          <w:tcPr>
            <w:tcW w:w="2296" w:type="dxa"/>
            <w:vMerge w:val="restart"/>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Operate and monitor system</w:t>
            </w: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2.1</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OHS policies and procedures and safe work practices are followed to eliminate or minimise incidents and hazards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2.2</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First Aid and other related work procedures are performed according to requirements and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2.3</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Lifting, climbing, working in confined spaces and aloft, use of power tools, techniques and practices are safely exercised according to re</w:t>
            </w:r>
            <w:r w:rsidRPr="006D496F">
              <w:t>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2.4</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Equipment faults are identified through inspection and testing of operational equipment in accordance with a work schedule and to requirements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2.5</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Hazard warnings and safety signs are recognised and hazards assessed and OHS risks are reported to the immediate authorised persons for directions according to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2.6</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Operating conditions of equipment are monitored through gauge leve</w:t>
            </w:r>
            <w:r w:rsidRPr="006D496F">
              <w:t>ls, temperatures, flow indicators in order to determine performance of equipment and system</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2.7</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Information concerning the operation of the pipeline system is monitored and conveyed to relevant persons to ensure safe and efficient operation of the pipel</w:t>
            </w:r>
            <w:r w:rsidRPr="006D496F">
              <w:t>ine system</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2.8</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Fault finding and troubleshooting techniques are applied to operational systems and equipment to identify any repairs or maintenance that is required according to requirements and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2.9</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Essential Knowledge and Asso</w:t>
            </w:r>
            <w:r w:rsidRPr="006D496F">
              <w:t>ciated Skills are applied to ensure completion in an agreed timeframe and to quality standards with a minimum of waste according to requirements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2.10</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Solutions to non-routine</w:t>
            </w:r>
            <w:r w:rsidRPr="006D496F">
              <w:t xml:space="preserve"> problems are identified and actioned using acquired Essential Knowledge and Associated Skills according to requirements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2.11</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Ongoing checks of quality of the work are undertaken in accordance with requirements and established procedures to ensure a qua</w:t>
            </w:r>
            <w:r w:rsidRPr="006D496F">
              <w:t>lity like outcome is achieved for the client and to a community and industry standard</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w:t>
            </w:r>
          </w:p>
        </w:tc>
        <w:tc>
          <w:tcPr>
            <w:tcW w:w="2296" w:type="dxa"/>
            <w:vMerge w:val="restart"/>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Shutdown system and equipment</w:t>
            </w: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3.1</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Work undertaken is checked against works schedule for conformance with requirements and anomalies which are reported and solutions id</w:t>
            </w:r>
            <w:r w:rsidRPr="006D496F">
              <w:t>entified in accordance with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3.2</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Accidents and injuries are reported and followed up in accordance with requirements and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3.3</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Work site is rehabilitated/cleaned up and confirmed safe and in accordance with established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3.4</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Tools, equipment and any surplus resources and materials are where appropriate, cleaned, checked and returned to storage in accordance with establ</w:t>
            </w:r>
            <w:r w:rsidRPr="006D496F">
              <w:t>ished procedures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3.5</w:t>
            </w:r>
          </w:p>
        </w:tc>
        <w:tc>
          <w:tcPr>
            <w:tcW w:w="48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Relevant work permit(s) are signed off accordance with requirements</w:t>
            </w:r>
          </w:p>
        </w:tc>
      </w:tr>
      <w:tr w:rsidTr="004C4F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3.6</w:t>
            </w:r>
          </w:p>
        </w:tc>
        <w:tc>
          <w:tcPr>
            <w:tcW w:w="48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 xml:space="preserve">Works completion records, reports as installed/modified drawing(s) and documentation and information is confirmed, processed and the appropriate </w:t>
            </w:r>
            <w:r w:rsidRPr="006D496F">
              <w:t>persons notified</w:t>
            </w:r>
          </w:p>
        </w:tc>
      </w:tr>
    </w:tbl>
    <w:p w:rsidR="004C4F30" w:rsidP="006D496F">
      <w:pPr>
        <w:pStyle w:val="BodyText"/>
      </w:pPr>
    </w:p>
    <w:p w:rsidR="004C4F30" w:rsidP="006D496F">
      <w:pPr>
        <w:pStyle w:val="BodyText"/>
      </w:pPr>
    </w:p>
    <w:p w:rsidR="00000000" w:rsidRPr="006D496F" w:rsidP="006D496F">
      <w:pPr>
        <w:pStyle w:val="Heading1"/>
      </w:pPr>
      <w:bookmarkStart w:id="9" w:name="O_263585"/>
      <w:bookmarkEnd w:id="9"/>
      <w:r w:rsidRPr="006D496F">
        <w:t>Required Skills and Knowledge</w:t>
      </w:r>
    </w:p>
    <w:tbl>
      <w:tblPr>
        <w:tblW w:w="0" w:type="auto"/>
        <w:tblLayout w:type="fixed"/>
        <w:tblCellMar>
          <w:left w:w="62" w:type="dxa"/>
          <w:right w:w="62" w:type="dxa"/>
        </w:tblCellMar>
        <w:tblLook w:val="0000"/>
      </w:tblPr>
      <w:tblGrid>
        <w:gridCol w:w="2700"/>
        <w:gridCol w:w="1080"/>
        <w:gridCol w:w="4680"/>
      </w:tblGrid>
      <w:tr w:rsidTr="004C4F3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REQUIRED SKILLS AND KNOWLEDGE</w:t>
            </w:r>
          </w:p>
        </w:tc>
      </w:tr>
      <w:tr w:rsidTr="004C4F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6</w:t>
            </w:r>
            <w:r w:rsidRPr="006D496F">
              <w:t>) This describes the essential skills and knowledge and their level, required for this unit.</w:t>
            </w:r>
          </w:p>
        </w:tc>
      </w:tr>
      <w:tr w:rsidTr="004C4F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Evidence shall show that knowledge has been acquired of</w:t>
            </w:r>
            <w:r w:rsidRPr="006D496F">
              <w:t xml:space="preserve"> safe working practices for operating and monitoring pipeline control systems. The extent of the essential knowledge and associated skills (EKAS) required is given in Volume 2 - Part 2.2 EKAS.  It forms an integral part of this unit.</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 4.1.1</w:t>
            </w:r>
          </w:p>
        </w:tc>
        <w:tc>
          <w:tcPr>
            <w:tcW w:w="46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 xml:space="preserve">Operating </w:t>
            </w:r>
            <w:r w:rsidRPr="006D496F">
              <w:t>and supervising in the Gas Industry</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 4.1.2</w:t>
            </w:r>
          </w:p>
        </w:tc>
        <w:tc>
          <w:tcPr>
            <w:tcW w:w="46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Understand the effective operation of Gas Industry plant and equipment and materials</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 4.1.3</w:t>
            </w:r>
          </w:p>
        </w:tc>
        <w:tc>
          <w:tcPr>
            <w:tcW w:w="46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Communicating in the Gas Industry at a supervisory level</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 4.1.4</w:t>
            </w:r>
          </w:p>
        </w:tc>
        <w:tc>
          <w:tcPr>
            <w:tcW w:w="46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Gas Industry products and services</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G 4.1.5</w:t>
            </w:r>
          </w:p>
        </w:tc>
        <w:tc>
          <w:tcPr>
            <w:tcW w:w="468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Interpreting Gas Industry drawings</w:t>
            </w:r>
          </w:p>
        </w:tc>
      </w:tr>
    </w:tbl>
    <w:p w:rsidR="004C4F30" w:rsidP="006D496F">
      <w:pPr>
        <w:pStyle w:val="BodyText"/>
      </w:pPr>
    </w:p>
    <w:p w:rsidR="004C4F30" w:rsidP="006D496F">
      <w:pPr>
        <w:pStyle w:val="BodyText"/>
      </w:pPr>
    </w:p>
    <w:p w:rsidR="00000000" w:rsidRPr="006D496F" w:rsidP="006D496F">
      <w:pPr>
        <w:pStyle w:val="Heading1"/>
      </w:pPr>
      <w:bookmarkStart w:id="10" w:name="O_247777"/>
      <w:bookmarkEnd w:id="10"/>
      <w:r w:rsidRPr="006D496F">
        <w:t>Evidence Guide</w:t>
      </w:r>
    </w:p>
    <w:tbl>
      <w:tblPr>
        <w:tblW w:w="0" w:type="auto"/>
        <w:tblLayout w:type="fixed"/>
        <w:tblCellMar>
          <w:left w:w="62" w:type="dxa"/>
          <w:right w:w="62" w:type="dxa"/>
        </w:tblCellMar>
        <w:tblLook w:val="0000"/>
      </w:tblPr>
      <w:tblGrid>
        <w:gridCol w:w="326"/>
        <w:gridCol w:w="1834"/>
        <w:gridCol w:w="360"/>
        <w:gridCol w:w="900"/>
        <w:gridCol w:w="540"/>
        <w:gridCol w:w="1080"/>
        <w:gridCol w:w="1857"/>
        <w:gridCol w:w="1563"/>
      </w:tblGrid>
      <w:tr w:rsidTr="004C4F30">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EVIDENCE GUIDE</w:t>
            </w:r>
          </w:p>
        </w:tc>
      </w:tr>
      <w:tr w:rsidTr="004C4F30">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8</w:t>
            </w:r>
            <w:r w:rsidRPr="006D496F">
              <w:t xml:space="preserve">) The Evidence Guide forms an integral part of this Unit and shall be used in conjunction with </w:t>
            </w:r>
            <w:r w:rsidRPr="006D496F">
              <w:t>all components parts of this unit and performed in accordance with the Assessment Guidelines of this Training Package.</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1</w:t>
            </w:r>
            <w:r w:rsidRPr="006D496F">
              <w:t xml:space="preserve">) </w:t>
            </w:r>
          </w:p>
          <w:p w:rsidR="00000000" w:rsidRPr="006D496F" w:rsidP="006D496F">
            <w:pPr>
              <w:pStyle w:val="BodyText"/>
            </w:pPr>
            <w:r w:rsidRPr="006D496F">
              <w:t>Longitudinal competency development approaches to assessment, such as Profiling, require data to be reliably gathered in a form that can be consistently interpreted over time. This approach is best utilised in Apprenticeship programs and reduces assessment</w:t>
            </w:r>
            <w:r w:rsidRPr="006D496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D496F">
              <w:t>tency in a realistically simulated work environment. It is recognised that, in some circumstances, assessment in part or full can occur outside the workplace. However, it must be in accord with industry and regulatory policy in this regard.</w:t>
            </w:r>
          </w:p>
          <w:p w:rsidR="00000000" w:rsidRPr="006D496F" w:rsidP="006D496F">
            <w:pPr>
              <w:pStyle w:val="BodyText"/>
            </w:pPr>
            <w:r w:rsidRPr="006D496F">
              <w:t xml:space="preserve">Methods chosen </w:t>
            </w:r>
            <w:r w:rsidRPr="006D496F">
              <w:t>for a particular assessment will be influenced by various factors. These include the extent of the assessment, the most effective locations for the assessment activities to take place, access to physical resources, additional safety measures that may be re</w:t>
            </w:r>
            <w:r w:rsidRPr="006D496F">
              <w:t>quired and the critical nature of the competencies being assessed.</w:t>
            </w:r>
          </w:p>
          <w:p w:rsidR="00000000" w:rsidRPr="006D496F" w:rsidP="006D496F">
            <w:pPr>
              <w:pStyle w:val="BodyText"/>
            </w:pPr>
            <w:r w:rsidRPr="006D496F">
              <w:t>The critical safety nature of working with electricity, electrical equipment, gas or any other hazardous substance/material carries risk in deeming a person competent. Hence, sources of evi</w:t>
            </w:r>
            <w:r w:rsidRPr="006D496F">
              <w:t>dence need to be 'rich' in nature so as to minimise error in judgment.</w:t>
            </w:r>
          </w:p>
          <w:p w:rsidR="00000000" w:rsidP="006D496F">
            <w:pPr>
              <w:pStyle w:val="BodyText"/>
              <w:rPr>
                <w:lang w:val="en-NZ"/>
              </w:rPr>
            </w:pPr>
            <w:r w:rsidRPr="006D496F">
              <w:t>Activities associated with normal every day work have a bearing on the decision as to how much and how detailed the data gathered will contribute to its 'richness'. Some skills are more</w:t>
            </w:r>
            <w:r w:rsidRPr="006D496F">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6D496F">
              <w:t>nt instruments are included in the Assessment Guidelines of this Training Package.</w:t>
            </w:r>
          </w:p>
        </w:tc>
      </w:tr>
      <w:tr w:rsidTr="004C4F3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2</w:t>
            </w:r>
            <w:r w:rsidRPr="006D496F">
              <w:t xml:space="preserve">) </w:t>
            </w:r>
          </w:p>
          <w:p w:rsidR="00000000" w:rsidP="006D496F">
            <w:pPr>
              <w:pStyle w:val="BodyText"/>
              <w:rPr>
                <w:lang w:val="en-NZ"/>
              </w:rPr>
            </w:pPr>
            <w:r w:rsidRPr="006D496F">
              <w:t>Before the critical aspects of evidence are considered all prerequisites shall be met.</w:t>
            </w:r>
          </w:p>
        </w:tc>
      </w:tr>
      <w:tr w:rsidTr="004C4F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Evidence for competence in this unit shall be considered holistically. Each element and associated Performance Criteria shall be demonstrated on at least two occ</w:t>
            </w:r>
            <w:r w:rsidRPr="006D496F">
              <w:t xml:space="preserve">asions in accordance with the 'Assessment Guidelines  UEG06'. Evidence shall also comprise: </w:t>
            </w:r>
          </w:p>
          <w:p w:rsidR="00000000" w:rsidP="006D496F">
            <w:pPr>
              <w:pStyle w:val="ListBullet"/>
              <w:rPr>
                <w:lang w:val="en-NZ"/>
              </w:rPr>
            </w:pPr>
            <w:r w:rsidRPr="006D496F">
              <w:t>A representative body of Performance Criteria demonstrated within the timeframes typically expected of the discipline, work function and industrial environment. I</w:t>
            </w:r>
            <w:r w:rsidRPr="006D496F">
              <w:t>n particular this shall incorporate evidence that shows a candidate is able to:</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ListBullet2"/>
            </w:pPr>
            <w:r w:rsidRPr="006D496F">
              <w:t xml:space="preserve">Implement Occupational Health and Safety workplace procedures and practices including </w:t>
            </w:r>
            <w:r w:rsidRPr="006D496F">
              <w:t>the use of risk control measures as specified in the Performance Criteria and range</w:t>
            </w:r>
          </w:p>
          <w:p w:rsidR="00000000" w:rsidRPr="006D496F" w:rsidP="006D496F">
            <w:pPr>
              <w:pStyle w:val="ListBullet2"/>
            </w:pPr>
            <w:r w:rsidRPr="006D496F">
              <w:t>Apply sustainable energy principles and practices as specified in the Performance Criteria and range</w:t>
            </w:r>
          </w:p>
          <w:p w:rsidR="00000000" w:rsidRPr="006D496F" w:rsidP="006D496F">
            <w:pPr>
              <w:pStyle w:val="ListBullet2"/>
            </w:pPr>
            <w:r w:rsidRPr="006D496F">
              <w:t>Demonstrate an understanding of the essential knowledge and associated skills as described in this unit to such an extent that the learner's performance outcome is reported in accordance with the preferred approach; namely a percentile graded result, where</w:t>
            </w:r>
            <w:r w:rsidRPr="006D496F">
              <w:t xml:space="preserve"> required by the regulated environment</w:t>
            </w:r>
          </w:p>
          <w:p w:rsidR="00000000" w:rsidRPr="006D496F" w:rsidP="006D496F">
            <w:pPr>
              <w:pStyle w:val="ListBullet2"/>
            </w:pPr>
            <w:r w:rsidRPr="006D496F">
              <w:t>Demonstrate an appropriate level of skills enabling employment</w:t>
            </w:r>
          </w:p>
          <w:p w:rsidR="00000000" w:rsidP="006D496F">
            <w:pPr>
              <w:pStyle w:val="ListBullet2"/>
              <w:rPr>
                <w:lang w:val="en-NZ"/>
              </w:rPr>
            </w:pPr>
            <w:r w:rsidRPr="006D496F">
              <w:t>Conduct work observing the relevant Anti discrimination legislation, regulations, polices and workplace procedures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D496F">
            <w:pPr>
              <w:pStyle w:val="ListBullet2"/>
              <w:rPr>
                <w:lang w:val="en-NZ"/>
              </w:rPr>
            </w:pPr>
            <w:r w:rsidRPr="006D496F">
              <w:t>Demonstrate performance across a representative range of contexts from the prescribed items below:</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D496F">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rPr>
                <w:rStyle w:val="SpecialBold"/>
              </w:rPr>
              <w:t>Range of tools</w:t>
            </w:r>
            <w:r w:rsidRPr="006D496F">
              <w:t>/</w:t>
            </w:r>
            <w:r w:rsidRPr="006D496F">
              <w:rPr>
                <w:rStyle w:val="SpecialBold"/>
              </w:rPr>
              <w:t>equipment</w:t>
            </w:r>
            <w:r w:rsidRPr="006D496F">
              <w:t>/</w:t>
            </w:r>
            <w:r w:rsidRPr="006D496F">
              <w:rPr>
                <w:rStyle w:val="SpecialBold"/>
              </w:rPr>
              <w:t>materials</w:t>
            </w:r>
            <w:r w:rsidRPr="006D496F">
              <w:t>/</w:t>
            </w:r>
            <w:r w:rsidRPr="006D496F">
              <w:rPr>
                <w:rStyle w:val="SpecialBold"/>
              </w:rPr>
              <w:t>procedures</w:t>
            </w:r>
            <w:r w:rsidRPr="006D496F">
              <w:t>/</w:t>
            </w:r>
            <w:r w:rsidRPr="006D496F">
              <w:br/>
            </w:r>
            <w:r w:rsidRPr="006D496F">
              <w:rPr>
                <w:rStyle w:val="SpecialBold"/>
              </w:rPr>
              <w:t>workplaces</w:t>
            </w:r>
            <w:r w:rsidRPr="006D496F">
              <w:t>/</w:t>
            </w:r>
            <w:r w:rsidRPr="006D496F">
              <w:rPr>
                <w:rStyle w:val="SpecialBold"/>
              </w:rPr>
              <w:t>other variables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D496F">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rPr>
                <w:rStyle w:val="SpecialBold"/>
              </w:rPr>
              <w:t>The minimum number of items on which skill is to be demonstrated</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rPr>
                <w:rStyle w:val="SpecialBold"/>
              </w:rPr>
              <w:t>Item List</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All</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Interpret technical drawings and symbols</w:t>
            </w:r>
          </w:p>
          <w:p w:rsidR="00000000" w:rsidRPr="006D496F" w:rsidP="006D496F">
            <w:pPr>
              <w:pStyle w:val="BodyText"/>
            </w:pPr>
            <w:r w:rsidRPr="006D496F">
              <w:t>Ensure emergency response procedures are in place</w:t>
            </w:r>
          </w:p>
          <w:p w:rsidR="00000000" w:rsidRPr="006D496F" w:rsidP="006D496F">
            <w:pPr>
              <w:pStyle w:val="BodyText"/>
            </w:pPr>
            <w:r w:rsidRPr="006D496F">
              <w:t>Communicate with other authorities and stakeholders</w:t>
            </w:r>
          </w:p>
          <w:p w:rsidR="00000000" w:rsidRPr="006D496F" w:rsidP="006D496F">
            <w:pPr>
              <w:pStyle w:val="BodyText"/>
            </w:pPr>
            <w:r w:rsidRPr="006D496F">
              <w:t>Communicate schedules/coordinate to persons</w:t>
            </w:r>
          </w:p>
          <w:p w:rsidR="00000000" w:rsidRPr="006D496F" w:rsidP="006D496F">
            <w:pPr>
              <w:pStyle w:val="BodyText"/>
            </w:pPr>
            <w:r w:rsidRPr="006D496F">
              <w:t>Ensure practical application of AS2865</w:t>
            </w:r>
          </w:p>
          <w:p w:rsidR="00000000" w:rsidRPr="006D496F" w:rsidP="006D496F">
            <w:pPr>
              <w:pStyle w:val="BodyText"/>
            </w:pPr>
            <w:r w:rsidRPr="006D496F">
              <w:t>Interpret MSDSs</w:t>
            </w:r>
          </w:p>
          <w:p w:rsidR="00000000" w:rsidRPr="006D496F" w:rsidP="006D496F">
            <w:pPr>
              <w:pStyle w:val="BodyText"/>
            </w:pPr>
            <w:r w:rsidRPr="006D496F">
              <w:t>Carry out job safety analysis</w:t>
            </w:r>
          </w:p>
          <w:p w:rsidR="00000000" w:rsidRPr="006D496F" w:rsidP="006D496F">
            <w:pPr>
              <w:pStyle w:val="BodyText"/>
            </w:pPr>
            <w:r w:rsidRPr="006D496F">
              <w:t>Obtain work permit</w:t>
            </w:r>
          </w:p>
          <w:p w:rsidR="00000000" w:rsidP="006D496F">
            <w:pPr>
              <w:pStyle w:val="BodyText"/>
              <w:rPr>
                <w:lang w:val="en-NZ"/>
              </w:rPr>
            </w:pPr>
            <w:r w:rsidRPr="006D496F">
              <w:t>Use and interpret dial before you dig or its equivalent report</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3</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Excavation</w:t>
            </w:r>
          </w:p>
          <w:p w:rsidR="00000000" w:rsidRPr="006D496F" w:rsidP="006D496F">
            <w:pPr>
              <w:pStyle w:val="BodyText"/>
            </w:pPr>
            <w:r w:rsidRPr="006D496F">
              <w:t>Trenching</w:t>
            </w:r>
          </w:p>
          <w:p w:rsidR="00000000" w:rsidRPr="006D496F" w:rsidP="006D496F">
            <w:pPr>
              <w:pStyle w:val="BodyText"/>
            </w:pPr>
            <w:r w:rsidRPr="006D496F">
              <w:t>Shoring</w:t>
            </w:r>
          </w:p>
          <w:p w:rsidR="00000000" w:rsidRPr="006D496F" w:rsidP="006D496F">
            <w:pPr>
              <w:pStyle w:val="BodyText"/>
            </w:pPr>
            <w:r w:rsidRPr="006D496F">
              <w:t>Stitch bore</w:t>
            </w:r>
          </w:p>
          <w:p w:rsidR="00000000" w:rsidRPr="006D496F" w:rsidP="006D496F">
            <w:pPr>
              <w:pStyle w:val="BodyText"/>
            </w:pPr>
            <w:r w:rsidRPr="006D496F">
              <w:t>Horizontal drilling</w:t>
            </w:r>
          </w:p>
          <w:p w:rsidR="00000000" w:rsidP="006D496F">
            <w:pPr>
              <w:pStyle w:val="BodyText"/>
              <w:rPr>
                <w:lang w:val="en-NZ"/>
              </w:rPr>
            </w:pPr>
            <w:r w:rsidRPr="006D496F">
              <w:t>Directional drilling</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3</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Nylon (polymide) pipeline laying techniques</w:t>
            </w:r>
          </w:p>
          <w:p w:rsidR="00000000" w:rsidRPr="006D496F" w:rsidP="006D496F">
            <w:pPr>
              <w:pStyle w:val="BodyText"/>
            </w:pPr>
            <w:r w:rsidRPr="006D496F">
              <w:t>Nylon gluing/stop off</w:t>
            </w:r>
          </w:p>
          <w:p w:rsidR="00000000" w:rsidRPr="006D496F" w:rsidP="006D496F">
            <w:pPr>
              <w:pStyle w:val="BodyText"/>
            </w:pPr>
            <w:r w:rsidRPr="006D496F">
              <w:t>Horizontal drilling</w:t>
            </w:r>
          </w:p>
          <w:p w:rsidR="00000000" w:rsidP="006D496F">
            <w:pPr>
              <w:pStyle w:val="BodyText"/>
              <w:rPr>
                <w:lang w:val="en-NZ"/>
              </w:rPr>
            </w:pPr>
            <w:r w:rsidRPr="006D496F">
              <w:t>Directional drilling</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5</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PE pipeline laying techniques</w:t>
            </w:r>
          </w:p>
          <w:p w:rsidR="00000000" w:rsidRPr="006D496F" w:rsidP="006D496F">
            <w:pPr>
              <w:pStyle w:val="BodyText"/>
            </w:pPr>
            <w:r w:rsidRPr="006D496F">
              <w:t>Large diameter PE</w:t>
            </w:r>
          </w:p>
          <w:p w:rsidR="00000000" w:rsidRPr="006D496F" w:rsidP="006D496F">
            <w:pPr>
              <w:pStyle w:val="BodyText"/>
            </w:pPr>
            <w:r w:rsidRPr="006D496F">
              <w:t>PE electro fusion</w:t>
            </w:r>
          </w:p>
          <w:p w:rsidR="00000000" w:rsidRPr="006D496F" w:rsidP="006D496F">
            <w:pPr>
              <w:pStyle w:val="BodyText"/>
            </w:pPr>
            <w:r w:rsidRPr="006D496F">
              <w:t>PE butt fusion</w:t>
            </w:r>
          </w:p>
          <w:p w:rsidR="00000000" w:rsidRPr="006D496F" w:rsidP="006D496F">
            <w:pPr>
              <w:pStyle w:val="BodyText"/>
            </w:pPr>
            <w:r w:rsidRPr="006D496F">
              <w:t>Saddle fusion</w:t>
            </w:r>
          </w:p>
          <w:p w:rsidR="00000000" w:rsidRPr="006D496F" w:rsidP="006D496F">
            <w:pPr>
              <w:pStyle w:val="BodyText"/>
            </w:pPr>
            <w:r w:rsidRPr="006D496F">
              <w:t>Socket fusion</w:t>
            </w:r>
          </w:p>
          <w:p w:rsidR="00000000" w:rsidRPr="006D496F" w:rsidP="006D496F">
            <w:pPr>
              <w:pStyle w:val="BodyText"/>
            </w:pPr>
            <w:r w:rsidRPr="006D496F">
              <w:t>PE stop off</w:t>
            </w:r>
          </w:p>
          <w:p w:rsidR="00000000" w:rsidRPr="006D496F" w:rsidP="006D496F">
            <w:pPr>
              <w:pStyle w:val="BodyText"/>
            </w:pPr>
            <w:r w:rsidRPr="006D496F">
              <w:t>Compression couplings or flanges</w:t>
            </w:r>
          </w:p>
          <w:p w:rsidR="00000000" w:rsidRPr="006D496F" w:rsidP="006D496F">
            <w:pPr>
              <w:pStyle w:val="BodyText"/>
            </w:pPr>
            <w:r w:rsidRPr="006D496F">
              <w:t>Connection of PE to nylon</w:t>
            </w:r>
          </w:p>
          <w:p w:rsidR="00000000" w:rsidP="006D496F">
            <w:pPr>
              <w:pStyle w:val="BodyText"/>
              <w:rPr>
                <w:lang w:val="en-NZ"/>
              </w:rPr>
            </w:pPr>
            <w:r w:rsidRPr="006D496F">
              <w:t>Practical application of AS3723 Installation and Maintenance of plastic pipe systems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4</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UPVC pipeline laying techniques</w:t>
            </w:r>
          </w:p>
          <w:p w:rsidR="00000000" w:rsidRPr="006D496F" w:rsidP="006D496F">
            <w:pPr>
              <w:pStyle w:val="BodyText"/>
            </w:pPr>
            <w:r w:rsidRPr="006D496F">
              <w:t>UPVC solvent cemented joints</w:t>
            </w:r>
          </w:p>
          <w:p w:rsidR="00000000" w:rsidRPr="006D496F" w:rsidP="006D496F">
            <w:pPr>
              <w:pStyle w:val="BodyText"/>
            </w:pPr>
            <w:r w:rsidRPr="006D496F">
              <w:t>UPVC moulded joints</w:t>
            </w:r>
          </w:p>
          <w:p w:rsidR="00000000" w:rsidRPr="006D496F" w:rsidP="006D496F">
            <w:pPr>
              <w:pStyle w:val="BodyText"/>
            </w:pPr>
            <w:r w:rsidRPr="006D496F">
              <w:t>UPVC stop off</w:t>
            </w:r>
          </w:p>
          <w:p w:rsidR="00000000" w:rsidRPr="006D496F" w:rsidP="006D496F">
            <w:pPr>
              <w:pStyle w:val="BodyText"/>
            </w:pPr>
            <w:r w:rsidRPr="006D496F">
              <w:t>UPVC couplings or flanges</w:t>
            </w:r>
          </w:p>
          <w:p w:rsidR="00000000" w:rsidRPr="006D496F" w:rsidP="006D496F">
            <w:pPr>
              <w:pStyle w:val="BodyText"/>
            </w:pPr>
            <w:r w:rsidRPr="006D496F">
              <w:t>Connection of UPVC to steel</w:t>
            </w:r>
          </w:p>
          <w:p w:rsidR="00000000" w:rsidP="006D496F">
            <w:pPr>
              <w:pStyle w:val="BodyText"/>
              <w:rPr>
                <w:lang w:val="en-NZ"/>
              </w:rPr>
            </w:pPr>
            <w:r w:rsidRPr="006D496F">
              <w:t>Practical application of AS3723 Installation and maintenance of plastic pipe systems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2</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Steel pipeline coating repair</w:t>
            </w:r>
          </w:p>
          <w:p w:rsidR="00000000" w:rsidRPr="006D496F" w:rsidP="006D496F">
            <w:pPr>
              <w:pStyle w:val="BodyText"/>
            </w:pPr>
            <w:r w:rsidRPr="006D496F">
              <w:t>Steel pipeline coating testing (Jeeper)</w:t>
            </w:r>
          </w:p>
          <w:p w:rsidR="00000000" w:rsidP="006D496F">
            <w:pPr>
              <w:pStyle w:val="BodyText"/>
              <w:rPr>
                <w:lang w:val="en-NZ"/>
              </w:rPr>
            </w:pPr>
            <w:r w:rsidRPr="006D496F">
              <w:t>Steel, field joint coating</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3</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Connection of PE to steel mains</w:t>
            </w:r>
          </w:p>
          <w:p w:rsidR="00000000" w:rsidRPr="006D496F" w:rsidP="006D496F">
            <w:pPr>
              <w:pStyle w:val="BodyText"/>
            </w:pPr>
            <w:r w:rsidRPr="006D496F">
              <w:t>Steel mains welding</w:t>
            </w:r>
          </w:p>
          <w:p w:rsidR="00000000" w:rsidRPr="006D496F" w:rsidP="006D496F">
            <w:pPr>
              <w:pStyle w:val="BodyText"/>
            </w:pPr>
            <w:r w:rsidRPr="006D496F">
              <w:t>Steel mains repair</w:t>
            </w:r>
          </w:p>
          <w:p w:rsidR="00000000" w:rsidRPr="006D496F" w:rsidP="006D496F">
            <w:pPr>
              <w:pStyle w:val="BodyText"/>
            </w:pPr>
            <w:r w:rsidRPr="006D496F">
              <w:t>Sleeve application</w:t>
            </w:r>
          </w:p>
          <w:p w:rsidR="00000000" w:rsidRPr="006D496F" w:rsidP="006D496F">
            <w:pPr>
              <w:pStyle w:val="BodyText"/>
            </w:pPr>
            <w:r w:rsidRPr="006D496F">
              <w:t>Clamp application</w:t>
            </w:r>
          </w:p>
          <w:p w:rsidR="00000000" w:rsidP="006D496F">
            <w:pPr>
              <w:pStyle w:val="BodyText"/>
              <w:rPr>
                <w:lang w:val="en-NZ"/>
              </w:rPr>
            </w:pPr>
            <w:r w:rsidRPr="006D496F">
              <w:t>Hot tap and stopple</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All</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 xml:space="preserve">Isolate, vent and purge gas pipeline systems </w:t>
            </w:r>
          </w:p>
          <w:p w:rsidR="00000000" w:rsidRPr="006D496F" w:rsidP="006D496F">
            <w:pPr>
              <w:pStyle w:val="BodyText"/>
            </w:pPr>
            <w:r w:rsidRPr="006D496F">
              <w:t>Operation of gas detector</w:t>
            </w:r>
          </w:p>
          <w:p w:rsidR="00000000" w:rsidRPr="006D496F" w:rsidP="006D496F">
            <w:pPr>
              <w:pStyle w:val="BodyText"/>
            </w:pPr>
            <w:r w:rsidRPr="006D496F">
              <w:t>Operate service locator</w:t>
            </w:r>
          </w:p>
          <w:p w:rsidR="00000000" w:rsidP="006D496F">
            <w:pPr>
              <w:pStyle w:val="BodyText"/>
              <w:rPr>
                <w:lang w:val="en-NZ"/>
              </w:rPr>
            </w:pPr>
            <w:r w:rsidRPr="006D496F">
              <w:t>Where relevant, calculate nitrogen volume needed</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2</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High pressure stop off</w:t>
            </w:r>
          </w:p>
          <w:p w:rsidR="00000000" w:rsidRPr="006D496F" w:rsidP="006D496F">
            <w:pPr>
              <w:pStyle w:val="BodyText"/>
            </w:pPr>
            <w:r w:rsidRPr="006D496F">
              <w:t>312</w:t>
            </w:r>
          </w:p>
          <w:p w:rsidR="00000000" w:rsidRPr="006D496F" w:rsidP="006D496F">
            <w:pPr>
              <w:pStyle w:val="BodyText"/>
            </w:pPr>
            <w:r w:rsidRPr="006D496F">
              <w:t>Bagtube</w:t>
            </w:r>
          </w:p>
          <w:p w:rsidR="00000000" w:rsidP="006D496F">
            <w:pPr>
              <w:pStyle w:val="BodyText"/>
              <w:rPr>
                <w:lang w:val="en-NZ"/>
              </w:rPr>
            </w:pPr>
            <w:r w:rsidRPr="006D496F">
              <w:t>Squash off jacks/squash off pliers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J</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At least one occasion</w:t>
            </w:r>
          </w:p>
        </w:tc>
        <w:tc>
          <w:tcPr>
            <w:tcW w:w="34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 xml:space="preserve">Deal with an unplanned event by drawing on essential knowledge and associated skills to provide appropriate solutions incorporated in the holistic assessment with the above listed items </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Context of and specific resources for assess</w:t>
            </w:r>
            <w:r w:rsidRPr="006D496F">
              <w:rPr>
                <w:rStyle w:val="SpecialBold"/>
              </w:rPr>
              <w:t>ment</w:t>
            </w: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3</w:t>
            </w:r>
            <w:r w:rsidRPr="006D496F">
              <w:t xml:space="preserve">) </w:t>
            </w:r>
          </w:p>
          <w:p w:rsidR="00000000" w:rsidRPr="006D496F" w:rsidP="006D496F">
            <w:pPr>
              <w:pStyle w:val="BodyText"/>
            </w:pPr>
            <w:r w:rsidRPr="006D496F">
              <w:t>This unit should be assessed as it relates to normal work practice using procedures, information and resources typical of a workplace. This should include:</w:t>
            </w:r>
          </w:p>
          <w:p w:rsidR="00000000" w:rsidRPr="006D496F" w:rsidP="006D496F">
            <w:pPr>
              <w:pStyle w:val="ListBullet"/>
            </w:pPr>
            <w:r w:rsidRPr="006D496F">
              <w:t>OHS policy and work procedures and instructions.</w:t>
            </w:r>
          </w:p>
          <w:p w:rsidR="00000000" w:rsidRPr="006D496F" w:rsidP="006D496F">
            <w:pPr>
              <w:pStyle w:val="ListBullet"/>
            </w:pPr>
            <w:r w:rsidRPr="006D496F">
              <w:t>Suitable work environment, facilities, equipment and materials to undertake actual work as prescribed by this Unit</w:t>
            </w:r>
          </w:p>
          <w:p w:rsidR="00000000" w:rsidRPr="006D496F" w:rsidP="006D496F">
            <w:pPr>
              <w:pStyle w:val="ListBullet"/>
            </w:pPr>
            <w:r w:rsidRPr="006D496F">
              <w:t>Appropriate environmental regulation and work practices.</w:t>
            </w:r>
          </w:p>
          <w:p w:rsidR="00000000" w:rsidRPr="006D496F" w:rsidP="006D496F">
            <w:pPr>
              <w:pStyle w:val="ListBullet"/>
            </w:pPr>
            <w:r w:rsidRPr="006D496F">
              <w:t>Appropriate organisational requirements.</w:t>
            </w:r>
          </w:p>
          <w:p w:rsidR="00000000" w:rsidP="006D496F">
            <w:pPr>
              <w:pStyle w:val="ListBullet"/>
              <w:rPr>
                <w:lang w:val="en-NZ"/>
              </w:rPr>
            </w:pPr>
            <w:r w:rsidRPr="006D496F">
              <w:t>Appropriate work environment, equipment and</w:t>
            </w:r>
            <w:r w:rsidRPr="006D496F">
              <w:t xml:space="preserve"> tools.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In addition to the resources listed above, in Context of and specific resources for assessment, evidence should show demonstrated competency in operating and monitoring pipeline control systems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Assessment of this competency must also be undertaken in either an actual workplace or under a simulated work environment. Assessment must also integrate the key competencies in section 8.6 of this competency standard.</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4</w:t>
            </w:r>
            <w:r w:rsidRPr="006D496F">
              <w:t xml:space="preserve">) </w:t>
            </w:r>
          </w:p>
          <w:p w:rsidR="00000000" w:rsidRPr="006D496F" w:rsidP="006D496F">
            <w:pPr>
              <w:pStyle w:val="BodyText"/>
            </w:pPr>
            <w:r w:rsidRPr="006D496F">
              <w:t>This Unit shall be assessed by methods given in Volume 1, Part 3 'Assessment Guidelines'.</w:t>
            </w:r>
          </w:p>
          <w:p w:rsidR="00000000" w:rsidP="006D496F">
            <w:pPr>
              <w:pStyle w:val="BodyText"/>
              <w:rPr>
                <w:lang w:val="en-NZ"/>
              </w:rPr>
            </w:pPr>
            <w:r w:rsidRPr="006D496F">
              <w:t>Note:</w:t>
            </w:r>
            <w:r w:rsidRPr="006D496F">
              <w:br/>
              <w:t>Competent performance with inherent safe working practices is expected in the Industry to which this Unit applies. This requires that the specified Essential Kn</w:t>
            </w:r>
            <w:r w:rsidRPr="006D496F">
              <w:t>owledge and Associated Skills are assessed in a structured environment which is primarily intended for learning/assessment and incorporates all necessary equipment and facilities for learners to develop and demonstrate the Essential Knowledge and Associate</w:t>
            </w:r>
            <w:r w:rsidRPr="006D496F">
              <w:t>d Skills described in this unit.</w:t>
            </w:r>
          </w:p>
        </w:tc>
      </w:tr>
      <w:tr w:rsidTr="004C4F3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8</w:t>
            </w:r>
            <w:r w:rsidRPr="006D496F">
              <w:t>.</w:t>
            </w:r>
            <w:r w:rsidRPr="006D496F">
              <w:rPr>
                <w:rStyle w:val="SpecialBold"/>
              </w:rPr>
              <w:t>5</w:t>
            </w:r>
            <w:r w:rsidRPr="006D496F">
              <w:t xml:space="preserve">) </w:t>
            </w:r>
          </w:p>
        </w:tc>
      </w:tr>
      <w:tr w:rsidTr="004C4F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There are no recommen</w:t>
            </w:r>
            <w:r w:rsidRPr="006D496F">
              <w:t>ded concurrent assessments with this unit, however in some cases efficiencies may be gained in terms of learning and assessment effort being concurrently managed with allied Units where listed.</w:t>
            </w:r>
          </w:p>
        </w:tc>
      </w:tr>
      <w:tr w:rsidTr="004C4F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BSBFLM405A</w:t>
            </w:r>
          </w:p>
        </w:tc>
        <w:tc>
          <w:tcPr>
            <w:tcW w:w="450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Implement operational plans</w:t>
            </w:r>
          </w:p>
        </w:tc>
      </w:tr>
      <w:tr w:rsidTr="004C4F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BSBCMN411A</w:t>
            </w:r>
          </w:p>
        </w:tc>
        <w:tc>
          <w:tcPr>
            <w:tcW w:w="4500" w:type="dxa"/>
            <w:gridSpan w:val="3"/>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Monitor a safe workplace</w:t>
            </w:r>
          </w:p>
        </w:tc>
      </w:tr>
      <w:tr w:rsidTr="004C4F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D496F" w:rsidP="006D496F">
            <w:pPr>
              <w:pStyle w:val="BodyText"/>
            </w:pPr>
            <w:r w:rsidRPr="006D496F">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6</w:t>
            </w:r>
            <w:r w:rsidRPr="006D496F">
              <w:t xml:space="preserve">) </w:t>
            </w:r>
          </w:p>
          <w:p w:rsidR="00000000" w:rsidP="006D496F">
            <w:pPr>
              <w:pStyle w:val="BodyText"/>
              <w:rPr>
                <w:lang w:val="en-NZ"/>
              </w:rPr>
            </w:pPr>
            <w:r w:rsidRPr="006D496F">
              <w:t xml:space="preserve">Evidence that particular Key Competencies have been achieved within this Unit is in the context of the following Performance Criteria of evidence. </w:t>
            </w:r>
          </w:p>
        </w:tc>
      </w:tr>
      <w:tr w:rsidTr="004C4F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rPr>
                <w:rStyle w:val="SpecialBold"/>
              </w:rPr>
              <w:t>Performance Level</w:t>
            </w: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3</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2</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2</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2</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N/A</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2</w:t>
            </w:r>
          </w:p>
        </w:tc>
      </w:tr>
      <w:tr w:rsidTr="004C4F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p>
        </w:tc>
      </w:tr>
      <w:tr w:rsidTr="004C4F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p>
          <w:p w:rsidR="00000000" w:rsidP="006D496F">
            <w:pPr>
              <w:pStyle w:val="BodyText"/>
              <w:rPr>
                <w:lang w:val="en-NZ"/>
              </w:rPr>
            </w:pPr>
            <w:r w:rsidRPr="006D496F">
              <w:t>2</w:t>
            </w:r>
          </w:p>
        </w:tc>
      </w:tr>
      <w:tr w:rsidTr="004C4F30">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3.6</w:t>
            </w:r>
          </w:p>
        </w:tc>
      </w:tr>
      <w:tr w:rsidTr="004C4F3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F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D496F" w:rsidP="006D496F">
            <w:pPr>
              <w:pStyle w:val="BodyText"/>
            </w:pPr>
            <w:r w:rsidRPr="006D496F">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6D496F" w:rsidP="006D496F">
            <w:pPr>
              <w:pStyle w:val="BodyText"/>
            </w:pPr>
            <w:r w:rsidRPr="006D496F">
              <w:rPr>
                <w:rStyle w:val="SpecialBold"/>
              </w:rPr>
              <w:t>8</w:t>
            </w:r>
            <w:r w:rsidRPr="006D496F">
              <w:t>.</w:t>
            </w:r>
            <w:r w:rsidRPr="006D496F">
              <w:rPr>
                <w:rStyle w:val="SpecialBold"/>
              </w:rPr>
              <w:t>7</w:t>
            </w:r>
            <w:r w:rsidRPr="006D496F">
              <w:t xml:space="preserve">) </w:t>
            </w:r>
          </w:p>
          <w:p w:rsidR="00000000" w:rsidP="006D496F">
            <w:pPr>
              <w:pStyle w:val="BodyText"/>
              <w:rPr>
                <w:lang w:val="en-NZ"/>
              </w:rPr>
            </w:pPr>
            <w:r w:rsidRPr="006D496F">
              <w:t>Evidence that competency in this unit incorporates skills enabling employment is in the context of the following performance.</w:t>
            </w:r>
          </w:p>
        </w:tc>
      </w:tr>
      <w:tr w:rsidTr="004C4F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rPr>
                <w:rStyle w:val="SpecialBold"/>
              </w:rPr>
              <w:t>Example of Application</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All</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1.3; 2.10</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3.6</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1.4; 1.9; 2.10</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1.3</w:t>
            </w:r>
          </w:p>
        </w:tc>
      </w:tr>
      <w:tr w:rsidTr="004C4F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6F">
            <w:pPr>
              <w:pStyle w:val="BodyText"/>
              <w:rPr>
                <w:lang w:val="en-NZ"/>
              </w:rPr>
            </w:pPr>
            <w:r w:rsidRPr="006D496F">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6F">
            <w:pPr>
              <w:pStyle w:val="BodyText"/>
              <w:rPr>
                <w:lang w:val="en-NZ"/>
              </w:rPr>
            </w:pPr>
            <w:r w:rsidRPr="006D496F">
              <w:t>Refer to the following Performance Criteria for examples of application:</w:t>
            </w:r>
          </w:p>
        </w:tc>
      </w:tr>
      <w:tr w:rsidTr="004C4F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D496F" w:rsidP="006D496F">
            <w:pPr>
              <w:pStyle w:val="BodyText"/>
            </w:pPr>
            <w:r w:rsidRPr="006D496F">
              <w:t>2.10</w:t>
            </w:r>
          </w:p>
        </w:tc>
      </w:tr>
    </w:tbl>
    <w:p w:rsidR="004C4F30" w:rsidP="006D496F">
      <w:pPr>
        <w:pStyle w:val="BodyText"/>
      </w:pPr>
    </w:p>
    <w:p w:rsidR="004C4F30" w:rsidP="006D496F">
      <w:pPr>
        <w:pStyle w:val="BodyText"/>
      </w:pPr>
    </w:p>
    <w:p w:rsidR="00000000" w:rsidRPr="006D496F" w:rsidP="006D496F">
      <w:pPr>
        <w:pStyle w:val="Heading1"/>
      </w:pPr>
      <w:bookmarkStart w:id="11" w:name="O_255761"/>
      <w:bookmarkEnd w:id="11"/>
      <w:r w:rsidRPr="006D496F">
        <w:t>Range Statement</w:t>
      </w:r>
    </w:p>
    <w:tbl>
      <w:tblPr>
        <w:tblW w:w="0" w:type="auto"/>
        <w:tblLayout w:type="fixed"/>
        <w:tblCellMar>
          <w:left w:w="62" w:type="dxa"/>
          <w:right w:w="62" w:type="dxa"/>
        </w:tblCellMar>
        <w:tblLook w:val="0000"/>
      </w:tblPr>
      <w:tblGrid>
        <w:gridCol w:w="8460"/>
      </w:tblGrid>
      <w:tr w:rsidTr="004C4F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RANGE STATEMENT</w:t>
            </w:r>
          </w:p>
        </w:tc>
      </w:tr>
      <w:tr w:rsidTr="004C4F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7</w:t>
            </w:r>
            <w:r w:rsidRPr="006D496F">
              <w:t>) This relates to th</w:t>
            </w:r>
            <w:r w:rsidRPr="006D496F">
              <w:t>e competency standard unit as a whole providing the range of contexts and conditions to which the Performance Criteria apply. It allows for different work environments and situations that will affect performance.</w:t>
            </w:r>
          </w:p>
        </w:tc>
      </w:tr>
      <w:tr w:rsidTr="004C4F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This Unit shall/may be demonstrated in rel</w:t>
            </w:r>
            <w:r w:rsidRPr="006D496F">
              <w:t>ation to operating and monitoring pipeline control systems. The following constants and variables included in the element/Performance Criteria in this unit are fully described in the Definitions Section of this volume and form an integral part of the Range</w:t>
            </w:r>
            <w:r w:rsidRPr="006D496F">
              <w:t xml:space="preserve"> Statement of this unit:</w:t>
            </w:r>
          </w:p>
          <w:p w:rsidR="00000000" w:rsidRPr="006D496F" w:rsidP="006D496F">
            <w:pPr>
              <w:pStyle w:val="BodyText"/>
            </w:pPr>
            <w:r w:rsidRPr="006D496F">
              <w:tab/>
              <w:t>Pipeline control systems</w:t>
            </w:r>
          </w:p>
          <w:p w:rsidR="00000000" w:rsidRPr="006D496F" w:rsidP="006D496F">
            <w:pPr>
              <w:pStyle w:val="BodyText"/>
            </w:pPr>
            <w:r w:rsidRPr="006D496F">
              <w:tab/>
              <w:t>Prime movers</w:t>
            </w:r>
          </w:p>
          <w:p w:rsidR="00000000" w:rsidRPr="006D496F" w:rsidP="006D496F">
            <w:pPr>
              <w:pStyle w:val="BodyText"/>
            </w:pPr>
            <w:r w:rsidRPr="006D496F">
              <w:tab/>
              <w:t>Instrument and control system</w:t>
            </w:r>
          </w:p>
          <w:p w:rsidR="00000000" w:rsidRPr="006D496F" w:rsidP="006D496F">
            <w:pPr>
              <w:pStyle w:val="BodyText"/>
            </w:pPr>
            <w:r w:rsidRPr="006D496F">
              <w:tab/>
              <w:t>Valve system</w:t>
            </w:r>
          </w:p>
          <w:p w:rsidR="00000000" w:rsidRPr="006D496F" w:rsidP="006D496F">
            <w:pPr>
              <w:pStyle w:val="BodyText"/>
            </w:pPr>
            <w:r w:rsidRPr="006D496F">
              <w:tab/>
              <w:t>Emergency responses</w:t>
            </w:r>
          </w:p>
          <w:p w:rsidR="00000000" w:rsidRPr="006D496F" w:rsidP="006D496F">
            <w:pPr>
              <w:pStyle w:val="BodyText"/>
            </w:pPr>
            <w:r w:rsidRPr="006D496F">
              <w:tab/>
              <w:t>Relevant persons</w:t>
            </w:r>
          </w:p>
          <w:p w:rsidR="00000000" w:rsidRPr="006D496F" w:rsidP="006D496F">
            <w:pPr>
              <w:pStyle w:val="BodyText"/>
            </w:pPr>
            <w:r w:rsidRPr="006D496F">
              <w:tab/>
              <w:t>Tools, equipment and testing devices</w:t>
            </w:r>
          </w:p>
          <w:p w:rsidR="00000000" w:rsidRPr="006D496F" w:rsidP="006D496F">
            <w:pPr>
              <w:pStyle w:val="BodyText"/>
            </w:pPr>
            <w:r w:rsidRPr="006D496F">
              <w:tab/>
              <w:t>Types of faults</w:t>
            </w:r>
          </w:p>
          <w:p w:rsidR="00000000" w:rsidRPr="006D496F" w:rsidP="006D496F">
            <w:pPr>
              <w:pStyle w:val="BodyText"/>
            </w:pPr>
            <w:r w:rsidRPr="006D496F">
              <w:tab/>
              <w:t xml:space="preserve">Reports </w:t>
            </w:r>
          </w:p>
        </w:tc>
      </w:tr>
    </w:tbl>
    <w:p w:rsidR="004C4F30" w:rsidP="006D496F">
      <w:pPr>
        <w:pStyle w:val="BodyText"/>
      </w:pPr>
    </w:p>
    <w:p w:rsidR="004C4F30" w:rsidP="006D496F">
      <w:pPr>
        <w:pStyle w:val="BodyText"/>
      </w:pPr>
    </w:p>
    <w:p w:rsidR="00000000" w:rsidRPr="006D496F" w:rsidP="006D496F">
      <w:pPr>
        <w:pStyle w:val="Heading1"/>
      </w:pPr>
      <w:bookmarkStart w:id="12" w:name="O_296774"/>
      <w:bookmarkEnd w:id="12"/>
      <w:r w:rsidRPr="006D496F">
        <w:t>Unit Sector(s)</w:t>
      </w:r>
    </w:p>
    <w:p w:rsidR="00000000" w:rsidRPr="006D496F" w:rsidP="006D496F">
      <w:pPr>
        <w:pStyle w:val="BodyText"/>
      </w:pPr>
      <w:r w:rsidRPr="006D496F">
        <w:t>Not Applicable</w:t>
      </w:r>
    </w:p>
    <w:p w:rsidR="00000000" w:rsidRPr="006D496F" w:rsidP="006D496F">
      <w:pPr>
        <w:pStyle w:val="AllowPageBreak"/>
      </w:pPr>
    </w:p>
    <w:p w:rsidR="00000000" w:rsidRPr="006D496F" w:rsidP="006D496F">
      <w:pPr>
        <w:pStyle w:val="Heading1"/>
      </w:pPr>
      <w:bookmarkStart w:id="13" w:name="O_229306"/>
      <w:bookmarkEnd w:id="13"/>
      <w:r w:rsidRPr="006D496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2</w:t>
            </w:r>
            <w:r w:rsidRPr="006D496F">
              <w:t>.</w:t>
            </w:r>
            <w:r w:rsidRPr="006D496F">
              <w:rPr>
                <w:rStyle w:val="SpecialBold"/>
              </w:rPr>
              <w:t>2</w:t>
            </w:r>
            <w:r w:rsidRPr="006D496F">
              <w:t xml:space="preserve">) </w:t>
            </w:r>
          </w:p>
          <w:p w:rsidR="00000000" w:rsidP="006D496F">
            <w:pPr>
              <w:pStyle w:val="BodyText"/>
              <w:rPr>
                <w:lang w:val="en-NZ"/>
              </w:rPr>
            </w:pPr>
            <w:r w:rsidRPr="006D496F">
              <w:t>Participants are best equipped to achieve this unit if they have reading, writing and numeracy skills indicated by the following scales. Description of each scale is given in Volume 2, Part 3 'Literacy and Numeracy'</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Reading</w:t>
            </w:r>
          </w:p>
        </w:tc>
        <w:tc>
          <w:tcPr>
            <w:tcW w:w="805"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4</w:t>
            </w:r>
          </w:p>
        </w:tc>
        <w:tc>
          <w:tcPr>
            <w:tcW w:w="1184"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Writing</w:t>
            </w:r>
          </w:p>
        </w:tc>
        <w:tc>
          <w:tcPr>
            <w:tcW w:w="805"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4</w:t>
            </w:r>
          </w:p>
        </w:tc>
        <w:tc>
          <w:tcPr>
            <w:tcW w:w="1172"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t>Numeracy</w:t>
            </w:r>
          </w:p>
        </w:tc>
        <w:tc>
          <w:tcPr>
            <w:tcW w:w="805"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4</w:t>
            </w:r>
          </w:p>
        </w:tc>
      </w:tr>
    </w:tbl>
    <w:p w:rsidR="004C4F30" w:rsidP="006D496F">
      <w:pPr>
        <w:pStyle w:val="BodyText"/>
      </w:pPr>
    </w:p>
    <w:p w:rsidR="004C4F30" w:rsidP="006D496F">
      <w:pPr>
        <w:pStyle w:val="BodyText"/>
      </w:pPr>
    </w:p>
    <w:p w:rsidR="00000000" w:rsidRPr="006D496F" w:rsidP="006D496F">
      <w:pPr>
        <w:pStyle w:val="Heading1"/>
      </w:pPr>
      <w:bookmarkStart w:id="14" w:name="O_229309"/>
      <w:bookmarkEnd w:id="14"/>
      <w:r w:rsidRPr="006D496F">
        <w:t>Competency Field</w:t>
      </w:r>
    </w:p>
    <w:tbl>
      <w:tblPr>
        <w:tblW w:w="0" w:type="auto"/>
        <w:tblLayout w:type="fixed"/>
        <w:tblCellMar>
          <w:left w:w="62" w:type="dxa"/>
          <w:right w:w="62" w:type="dxa"/>
        </w:tblCellMar>
        <w:tblLook w:val="0000"/>
      </w:tblPr>
      <w:tblGrid>
        <w:gridCol w:w="2700"/>
        <w:gridCol w:w="5760"/>
      </w:tblGrid>
      <w:tr w:rsidTr="004C4F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496F">
            <w:pPr>
              <w:pStyle w:val="BodyText"/>
              <w:rPr>
                <w:lang w:val="en-NZ"/>
              </w:rPr>
            </w:pPr>
            <w:r w:rsidRPr="006D496F">
              <w:rPr>
                <w:rStyle w:val="SpecialBold"/>
              </w:rPr>
              <w:t>4</w:t>
            </w:r>
            <w:r w:rsidRPr="006D496F">
              <w:t xml:space="preserve">) </w:t>
            </w:r>
          </w:p>
        </w:tc>
      </w:tr>
      <w:tr w:rsidTr="004C4F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96F" w:rsidP="006D496F">
            <w:pPr>
              <w:pStyle w:val="BodyText"/>
            </w:pPr>
            <w:r w:rsidRPr="006D496F">
              <w:t>Cross discipline.</w:t>
            </w:r>
          </w:p>
        </w:tc>
      </w:tr>
    </w:tbl>
    <w:p w:rsidR="004C4F30" w:rsidP="006D496F">
      <w:pPr>
        <w:pStyle w:val="BodyText"/>
      </w:pPr>
    </w:p>
    <w:p w:rsidR="004C4F30" w:rsidP="006D496F">
      <w:pPr>
        <w:pStyle w:val="BodyText"/>
      </w:pPr>
    </w:p>
    <w:p w:rsidR="00000000" w:rsidRPr="006D496F" w:rsidP="006D496F"/>
    <w:sectPr w:rsidSect="006D4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F30" w:rsidP="004C4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0" w:rsidP="006D4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C4F30" w:rsidP="006D49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4F30" w:rsidP="006D49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F30" w:rsidP="004C4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0" w:rsidP="006D496F">
    <w:pPr>
      <w:pStyle w:val="Header"/>
      <w:framePr w:wrap="around"/>
    </w:pPr>
    <w:r>
      <w:fldChar w:fldCharType="begin"/>
    </w:r>
    <w:r>
      <w:instrText xml:space="preserve"> TITLE   \* MERGEFORMAT </w:instrText>
    </w:r>
    <w:r>
      <w:fldChar w:fldCharType="separate"/>
    </w:r>
    <w:r>
      <w:t>UEGNSG108A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F30" w:rsidP="006D49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A27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E9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61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9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96F"/>
    <w:pPr>
      <w:spacing w:before="360" w:after="60"/>
      <w:outlineLvl w:val="0"/>
    </w:pPr>
    <w:rPr>
      <w:sz w:val="32"/>
    </w:rPr>
  </w:style>
  <w:style w:type="paragraph" w:styleId="Heading2">
    <w:name w:val="heading 2"/>
    <w:basedOn w:val="HeadingBase"/>
    <w:next w:val="BodyText"/>
    <w:link w:val="Heading2Char"/>
    <w:qFormat/>
    <w:rsid w:val="006D496F"/>
    <w:pPr>
      <w:keepLines/>
      <w:spacing w:before="240" w:after="120"/>
      <w:outlineLvl w:val="1"/>
    </w:pPr>
    <w:rPr>
      <w:sz w:val="28"/>
      <w:szCs w:val="40"/>
    </w:rPr>
  </w:style>
  <w:style w:type="paragraph" w:styleId="Heading3">
    <w:name w:val="heading 3"/>
    <w:basedOn w:val="HeadingBase"/>
    <w:next w:val="BodyText"/>
    <w:link w:val="Heading3Char"/>
    <w:qFormat/>
    <w:rsid w:val="006D496F"/>
    <w:pPr>
      <w:spacing w:before="180" w:after="120"/>
      <w:outlineLvl w:val="2"/>
    </w:pPr>
    <w:rPr>
      <w:spacing w:val="-10"/>
      <w:kern w:val="32"/>
    </w:rPr>
  </w:style>
  <w:style w:type="paragraph" w:styleId="Heading4">
    <w:name w:val="heading 4"/>
    <w:basedOn w:val="HeadingBase"/>
    <w:next w:val="BodyText"/>
    <w:link w:val="Heading4Char"/>
    <w:qFormat/>
    <w:rsid w:val="006D496F"/>
    <w:pPr>
      <w:spacing w:before="160" w:after="120"/>
      <w:outlineLvl w:val="3"/>
    </w:pPr>
    <w:rPr>
      <w:sz w:val="22"/>
    </w:rPr>
  </w:style>
  <w:style w:type="paragraph" w:styleId="Heading5">
    <w:name w:val="heading 5"/>
    <w:basedOn w:val="HeadingBase"/>
    <w:next w:val="Normal"/>
    <w:link w:val="Heading5Char"/>
    <w:qFormat/>
    <w:rsid w:val="006D496F"/>
    <w:pPr>
      <w:spacing w:before="80"/>
      <w:outlineLvl w:val="4"/>
    </w:pPr>
    <w:rPr>
      <w:color w:val="918585"/>
      <w:sz w:val="20"/>
    </w:rPr>
  </w:style>
  <w:style w:type="paragraph" w:styleId="Heading6">
    <w:name w:val="heading 6"/>
    <w:basedOn w:val="HeadingBase"/>
    <w:next w:val="Normal"/>
    <w:link w:val="Heading6Char"/>
    <w:qFormat/>
    <w:rsid w:val="006D496F"/>
    <w:pPr>
      <w:spacing w:before="60"/>
      <w:outlineLvl w:val="5"/>
    </w:pPr>
    <w:rPr>
      <w:color w:val="918585"/>
      <w:sz w:val="20"/>
    </w:rPr>
  </w:style>
  <w:style w:type="paragraph" w:styleId="Heading7">
    <w:name w:val="heading 7"/>
    <w:basedOn w:val="Normal"/>
    <w:next w:val="Normal"/>
    <w:link w:val="Heading7Char"/>
    <w:qFormat/>
    <w:rsid w:val="006D496F"/>
    <w:pPr>
      <w:ind w:left="720"/>
      <w:outlineLvl w:val="6"/>
    </w:pPr>
    <w:rPr>
      <w:i/>
    </w:rPr>
  </w:style>
  <w:style w:type="paragraph" w:styleId="Heading8">
    <w:name w:val="heading 8"/>
    <w:basedOn w:val="Normal"/>
    <w:next w:val="Normal"/>
    <w:link w:val="Heading8Char"/>
    <w:qFormat/>
    <w:rsid w:val="006D496F"/>
    <w:pPr>
      <w:ind w:left="720"/>
      <w:outlineLvl w:val="7"/>
    </w:pPr>
    <w:rPr>
      <w:i/>
    </w:rPr>
  </w:style>
  <w:style w:type="paragraph" w:styleId="Heading9">
    <w:name w:val="heading 9"/>
    <w:basedOn w:val="Normal"/>
    <w:next w:val="Normal"/>
    <w:link w:val="Heading9Char"/>
    <w:qFormat/>
    <w:rsid w:val="006D496F"/>
    <w:pPr>
      <w:ind w:left="720"/>
      <w:outlineLvl w:val="8"/>
    </w:pPr>
    <w:rPr>
      <w:i/>
    </w:rPr>
  </w:style>
  <w:style w:type="character" w:default="1" w:styleId="DefaultParagraphFont">
    <w:name w:val="Default Paragraph Font"/>
    <w:uiPriority w:val="1"/>
    <w:unhideWhenUsed/>
    <w:rsid w:val="006D4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96F"/>
  </w:style>
  <w:style w:type="character" w:customStyle="1" w:styleId="Heading1Char">
    <w:name w:val="Heading 1 Char"/>
    <w:basedOn w:val="DefaultParagraphFont"/>
    <w:link w:val="Heading1"/>
    <w:rsid w:val="006D496F"/>
    <w:rPr>
      <w:rFonts w:ascii="Times New Roman" w:eastAsia="Times New Roman" w:hAnsi="Times New Roman" w:cs="Times New Roman"/>
      <w:b/>
      <w:sz w:val="32"/>
      <w:szCs w:val="20"/>
      <w:lang w:eastAsia="en-US"/>
    </w:rPr>
  </w:style>
  <w:style w:type="paragraph" w:styleId="BodyText">
    <w:name w:val="Body Text"/>
    <w:basedOn w:val="Normal"/>
    <w:link w:val="BodyTextChar"/>
    <w:rsid w:val="006D4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96F"/>
    <w:rPr>
      <w:rFonts w:ascii="Times New Roman" w:eastAsia="Times New Roman" w:hAnsi="Times New Roman" w:cs="Times New Roman"/>
      <w:sz w:val="24"/>
      <w:lang w:val="en-US" w:eastAsia="en-US"/>
    </w:rPr>
  </w:style>
  <w:style w:type="paragraph" w:styleId="Footer">
    <w:name w:val="footer"/>
    <w:basedOn w:val="Normal"/>
    <w:link w:val="FooterChar"/>
    <w:rsid w:val="006D4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96F"/>
    <w:rPr>
      <w:rFonts w:ascii="Times New Roman" w:eastAsia="Times New Roman" w:hAnsi="Times New Roman" w:cs="Times New Roman"/>
      <w:sz w:val="16"/>
      <w:lang w:val="en-US" w:eastAsia="en-US"/>
    </w:rPr>
  </w:style>
  <w:style w:type="paragraph" w:styleId="ListBullet">
    <w:name w:val="List Bullet"/>
    <w:basedOn w:val="List"/>
    <w:rsid w:val="006D496F"/>
    <w:pPr>
      <w:numPr>
        <w:numId w:val="13"/>
      </w:numPr>
      <w:tabs>
        <w:tab w:val="clear" w:pos="340"/>
      </w:tabs>
      <w:spacing w:before="40" w:after="40"/>
    </w:pPr>
  </w:style>
  <w:style w:type="character" w:customStyle="1" w:styleId="SpecialBold">
    <w:name w:val="Special Bold"/>
    <w:basedOn w:val="DefaultParagraphFont"/>
    <w:rsid w:val="006D496F"/>
    <w:rPr>
      <w:b/>
      <w:spacing w:val="0"/>
    </w:rPr>
  </w:style>
  <w:style w:type="paragraph" w:styleId="ListBullet2">
    <w:name w:val="List Bullet 2"/>
    <w:basedOn w:val="List2"/>
    <w:rsid w:val="006D496F"/>
    <w:pPr>
      <w:numPr>
        <w:numId w:val="14"/>
      </w:numPr>
      <w:tabs>
        <w:tab w:val="clear" w:pos="680"/>
      </w:tabs>
    </w:pPr>
  </w:style>
  <w:style w:type="paragraph" w:styleId="Header">
    <w:name w:val="header"/>
    <w:basedOn w:val="Normal"/>
    <w:link w:val="HeaderChar"/>
    <w:rsid w:val="006D4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9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96F"/>
    <w:pPr>
      <w:spacing w:before="240" w:after="120"/>
      <w:outlineLvl w:val="0"/>
    </w:pPr>
    <w:rPr>
      <w:rFonts w:ascii="Times New Roman" w:hAnsi="Times New Roman"/>
      <w:b/>
      <w:sz w:val="28"/>
    </w:rPr>
  </w:style>
  <w:style w:type="paragraph" w:customStyle="1" w:styleId="AllowPageBreak">
    <w:name w:val="AllowPageBreak"/>
    <w:rsid w:val="006D4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9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9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96F"/>
    <w:rPr>
      <w:rFonts w:ascii="Courier New" w:eastAsia="Times New Roman" w:hAnsi="Courier New" w:cs="Times New Roman"/>
      <w:i/>
      <w:szCs w:val="20"/>
      <w:lang w:val="en-US" w:eastAsia="en-US"/>
    </w:rPr>
  </w:style>
  <w:style w:type="paragraph" w:customStyle="1" w:styleId="HeadingBase">
    <w:name w:val="Heading Base"/>
    <w:rsid w:val="006D4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96F"/>
    <w:pPr>
      <w:tabs>
        <w:tab w:val="right" w:leader="dot" w:pos="9072"/>
      </w:tabs>
      <w:ind w:left="567"/>
    </w:pPr>
    <w:rPr>
      <w:szCs w:val="22"/>
    </w:rPr>
  </w:style>
  <w:style w:type="paragraph" w:customStyle="1" w:styleId="TOCBase">
    <w:name w:val="TOC Base"/>
    <w:rsid w:val="006D4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96F"/>
    <w:pPr>
      <w:tabs>
        <w:tab w:val="right" w:leader="dot" w:pos="9072"/>
      </w:tabs>
      <w:spacing w:before="40" w:after="40"/>
      <w:ind w:left="284"/>
    </w:pPr>
    <w:rPr>
      <w:rFonts w:ascii="Times New Roman" w:hAnsi="Times New Roman"/>
    </w:rPr>
  </w:style>
  <w:style w:type="paragraph" w:styleId="TOC1">
    <w:name w:val="toc 1"/>
    <w:basedOn w:val="TOCBase"/>
    <w:next w:val="Normal"/>
    <w:rsid w:val="006D49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96F"/>
    <w:pPr>
      <w:spacing w:before="5040"/>
      <w:jc w:val="center"/>
    </w:pPr>
    <w:rPr>
      <w:sz w:val="48"/>
      <w:szCs w:val="72"/>
      <w:lang w:val="en-US"/>
    </w:rPr>
  </w:style>
  <w:style w:type="character" w:customStyle="1" w:styleId="TitleChar">
    <w:name w:val="Title Char"/>
    <w:basedOn w:val="DefaultParagraphFont"/>
    <w:link w:val="Title"/>
    <w:rsid w:val="006D4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96F"/>
    <w:pPr>
      <w:tabs>
        <w:tab w:val="left" w:pos="3600"/>
        <w:tab w:val="left" w:pos="3958"/>
      </w:tabs>
    </w:pPr>
  </w:style>
  <w:style w:type="paragraph" w:styleId="List">
    <w:name w:val="List"/>
    <w:basedOn w:val="BodyText"/>
    <w:next w:val="BodyText"/>
    <w:rsid w:val="006D496F"/>
    <w:pPr>
      <w:tabs>
        <w:tab w:val="left" w:pos="340"/>
      </w:tabs>
      <w:spacing w:before="60" w:after="60"/>
      <w:ind w:left="340" w:hanging="340"/>
    </w:pPr>
  </w:style>
  <w:style w:type="paragraph" w:customStyle="1" w:styleId="Note">
    <w:name w:val="Note"/>
    <w:basedOn w:val="BodyText"/>
    <w:rsid w:val="006D4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96F"/>
    <w:pPr>
      <w:framePr w:wrap="auto" w:hAnchor="text" w:y="6049"/>
    </w:pPr>
    <w:rPr>
      <w:color w:val="000000"/>
      <w:sz w:val="40"/>
    </w:rPr>
  </w:style>
  <w:style w:type="paragraph" w:customStyle="1" w:styleId="TOCTitle">
    <w:name w:val="TOCTitle"/>
    <w:basedOn w:val="Heading1"/>
    <w:rsid w:val="006D496F"/>
    <w:pPr>
      <w:spacing w:after="240"/>
      <w:jc w:val="center"/>
      <w:outlineLvl w:val="9"/>
    </w:pPr>
    <w:rPr>
      <w:caps/>
    </w:rPr>
  </w:style>
  <w:style w:type="paragraph" w:customStyle="1" w:styleId="Version">
    <w:name w:val="Version"/>
    <w:rsid w:val="006D4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96F"/>
    <w:pPr>
      <w:keepNext w:val="0"/>
      <w:tabs>
        <w:tab w:val="right" w:pos="4176"/>
      </w:tabs>
      <w:ind w:left="198" w:hanging="198"/>
    </w:pPr>
    <w:rPr>
      <w:rFonts w:ascii="Garamond" w:hAnsi="Garamond"/>
    </w:rPr>
  </w:style>
  <w:style w:type="paragraph" w:styleId="IndexHeading">
    <w:name w:val="index heading"/>
    <w:basedOn w:val="Normal"/>
    <w:next w:val="Index1"/>
    <w:semiHidden/>
    <w:rsid w:val="006D496F"/>
    <w:pPr>
      <w:spacing w:before="120" w:after="120"/>
    </w:pPr>
    <w:rPr>
      <w:rFonts w:ascii="Arial" w:hAnsi="Arial"/>
      <w:b/>
      <w:color w:val="918585"/>
      <w:sz w:val="24"/>
    </w:rPr>
  </w:style>
  <w:style w:type="paragraph" w:customStyle="1" w:styleId="Chapter">
    <w:name w:val="Chapter"/>
    <w:basedOn w:val="Normal"/>
    <w:rsid w:val="006D496F"/>
    <w:pPr>
      <w:spacing w:before="240"/>
    </w:pPr>
    <w:rPr>
      <w:rFonts w:ascii="Times New Roman" w:hAnsi="Times New Roman"/>
      <w:smallCaps/>
      <w:spacing w:val="80"/>
      <w:sz w:val="28"/>
    </w:rPr>
  </w:style>
  <w:style w:type="paragraph" w:customStyle="1" w:styleId="InChapter">
    <w:name w:val="InChapter"/>
    <w:basedOn w:val="Heading3"/>
    <w:rsid w:val="006D496F"/>
    <w:pPr>
      <w:spacing w:after="240"/>
      <w:outlineLvl w:val="9"/>
    </w:pPr>
    <w:rPr>
      <w:noProof/>
    </w:rPr>
  </w:style>
  <w:style w:type="paragraph" w:styleId="Index2">
    <w:name w:val="index 2"/>
    <w:basedOn w:val="Normal"/>
    <w:next w:val="Normal"/>
    <w:semiHidden/>
    <w:rsid w:val="006D496F"/>
    <w:pPr>
      <w:tabs>
        <w:tab w:val="right" w:pos="4176"/>
      </w:tabs>
      <w:ind w:left="568" w:hanging="284"/>
    </w:pPr>
    <w:rPr>
      <w:rFonts w:ascii="Garamond" w:hAnsi="Garamond"/>
    </w:rPr>
  </w:style>
  <w:style w:type="paragraph" w:customStyle="1" w:styleId="Byline">
    <w:name w:val="Byline"/>
    <w:rsid w:val="006D4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96F"/>
    <w:pPr>
      <w:tabs>
        <w:tab w:val="clear" w:pos="3600"/>
        <w:tab w:val="clear" w:pos="3958"/>
      </w:tabs>
      <w:jc w:val="right"/>
    </w:pPr>
  </w:style>
  <w:style w:type="character" w:styleId="Emphasis">
    <w:name w:val="Emphasis"/>
    <w:basedOn w:val="DefaultParagraphFont"/>
    <w:qFormat/>
    <w:rsid w:val="006D496F"/>
    <w:rPr>
      <w:i/>
    </w:rPr>
  </w:style>
  <w:style w:type="paragraph" w:styleId="Caption">
    <w:name w:val="caption"/>
    <w:basedOn w:val="BodyText"/>
    <w:next w:val="Normal"/>
    <w:qFormat/>
    <w:rsid w:val="006D496F"/>
    <w:pPr>
      <w:framePr w:w="2268" w:hSpace="181" w:vSpace="181" w:wrap="around" w:vAnchor="text" w:hAnchor="page" w:x="1135" w:y="285" w:anchorLock="1"/>
    </w:pPr>
    <w:rPr>
      <w:i/>
    </w:rPr>
  </w:style>
  <w:style w:type="paragraph" w:customStyle="1" w:styleId="MiniTOCTitle">
    <w:name w:val="MiniTOCTitle"/>
    <w:basedOn w:val="Heading4"/>
    <w:rsid w:val="006D496F"/>
    <w:pPr>
      <w:spacing w:before="240"/>
      <w:outlineLvl w:val="9"/>
    </w:pPr>
    <w:rPr>
      <w:noProof/>
      <w:sz w:val="24"/>
    </w:rPr>
  </w:style>
  <w:style w:type="paragraph" w:customStyle="1" w:styleId="MiniTOCItem">
    <w:name w:val="MiniTOCItem"/>
    <w:basedOn w:val="ListBullet"/>
    <w:rsid w:val="006D496F"/>
    <w:pPr>
      <w:numPr>
        <w:numId w:val="0"/>
      </w:numPr>
      <w:tabs>
        <w:tab w:val="right" w:leader="dot" w:pos="6521"/>
      </w:tabs>
      <w:spacing w:before="0" w:after="0"/>
    </w:pPr>
  </w:style>
  <w:style w:type="paragraph" w:customStyle="1" w:styleId="TOFTitle">
    <w:name w:val="TOFTitle"/>
    <w:basedOn w:val="TOCTitle"/>
    <w:rsid w:val="006D496F"/>
  </w:style>
  <w:style w:type="paragraph" w:styleId="TableofFigures">
    <w:name w:val="table of figures"/>
    <w:basedOn w:val="Normal"/>
    <w:next w:val="Normal"/>
    <w:semiHidden/>
    <w:rsid w:val="006D496F"/>
    <w:pPr>
      <w:tabs>
        <w:tab w:val="right" w:leader="dot" w:pos="9072"/>
      </w:tabs>
      <w:ind w:left="970" w:hanging="403"/>
    </w:pPr>
    <w:rPr>
      <w:rFonts w:ascii="Times New Roman" w:hAnsi="Times New Roman"/>
      <w:b/>
    </w:rPr>
  </w:style>
  <w:style w:type="paragraph" w:styleId="ListNumber">
    <w:name w:val="List Number"/>
    <w:basedOn w:val="List"/>
    <w:rsid w:val="006D496F"/>
    <w:pPr>
      <w:numPr>
        <w:numId w:val="11"/>
      </w:numPr>
    </w:pPr>
  </w:style>
  <w:style w:type="character" w:customStyle="1" w:styleId="WingdingSymbols">
    <w:name w:val="Wingding Symbols"/>
    <w:rsid w:val="006D496F"/>
    <w:rPr>
      <w:rFonts w:ascii="Wingdings" w:hAnsi="Wingdings"/>
    </w:rPr>
  </w:style>
  <w:style w:type="paragraph" w:customStyle="1" w:styleId="TableHeading">
    <w:name w:val="Table Heading"/>
    <w:basedOn w:val="HeadingBase"/>
    <w:rsid w:val="006D496F"/>
    <w:pPr>
      <w:keepLines/>
      <w:pBdr>
        <w:bottom w:val="single" w:sz="6" w:space="1" w:color="918585"/>
      </w:pBdr>
      <w:spacing w:before="240"/>
    </w:pPr>
  </w:style>
  <w:style w:type="character" w:customStyle="1" w:styleId="HotSpot">
    <w:name w:val="HotSpot"/>
    <w:rsid w:val="006D496F"/>
    <w:rPr>
      <w:color w:val="0033CC"/>
      <w:u w:val="none"/>
    </w:rPr>
  </w:style>
  <w:style w:type="paragraph" w:customStyle="1" w:styleId="BodyTextRight">
    <w:name w:val="Body Text Right"/>
    <w:basedOn w:val="BodyText"/>
    <w:rsid w:val="006D496F"/>
    <w:pPr>
      <w:spacing w:before="0" w:after="0"/>
      <w:jc w:val="right"/>
    </w:pPr>
  </w:style>
  <w:style w:type="paragraph" w:styleId="Index3">
    <w:name w:val="index 3"/>
    <w:basedOn w:val="ListNumber2"/>
    <w:next w:val="Normal"/>
    <w:semiHidden/>
    <w:rsid w:val="006D496F"/>
    <w:pPr>
      <w:numPr>
        <w:numId w:val="0"/>
      </w:numPr>
      <w:tabs>
        <w:tab w:val="right" w:leader="dot" w:pos="4176"/>
      </w:tabs>
    </w:pPr>
  </w:style>
  <w:style w:type="paragraph" w:styleId="ListNumber2">
    <w:name w:val="List Number 2"/>
    <w:basedOn w:val="List2"/>
    <w:rsid w:val="006D496F"/>
    <w:pPr>
      <w:numPr>
        <w:numId w:val="10"/>
      </w:numPr>
      <w:tabs>
        <w:tab w:val="clear" w:pos="1060"/>
      </w:tabs>
    </w:pPr>
  </w:style>
  <w:style w:type="paragraph" w:customStyle="1" w:styleId="MarginNote">
    <w:name w:val="Margin Note"/>
    <w:basedOn w:val="BodyText"/>
    <w:rsid w:val="006D4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9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96F"/>
    <w:rPr>
      <w:sz w:val="32"/>
    </w:rPr>
  </w:style>
  <w:style w:type="paragraph" w:customStyle="1" w:styleId="HeadingProcedure">
    <w:name w:val="Heading Procedure"/>
    <w:basedOn w:val="HeadingBase"/>
    <w:next w:val="Normal"/>
    <w:rsid w:val="006D496F"/>
    <w:pPr>
      <w:tabs>
        <w:tab w:val="left" w:pos="0"/>
      </w:tabs>
      <w:spacing w:before="120" w:after="60"/>
    </w:pPr>
    <w:rPr>
      <w:i/>
      <w:color w:val="918585"/>
      <w:sz w:val="22"/>
    </w:rPr>
  </w:style>
  <w:style w:type="paragraph" w:customStyle="1" w:styleId="TableBodyText">
    <w:name w:val="Table Body Text"/>
    <w:basedOn w:val="BodyText"/>
    <w:rsid w:val="006D496F"/>
    <w:pPr>
      <w:spacing w:before="60" w:after="60"/>
    </w:pPr>
  </w:style>
  <w:style w:type="paragraph" w:styleId="ListContinue">
    <w:name w:val="List Continue"/>
    <w:basedOn w:val="List"/>
    <w:rsid w:val="006D496F"/>
    <w:pPr>
      <w:ind w:firstLine="0"/>
    </w:pPr>
  </w:style>
  <w:style w:type="paragraph" w:customStyle="1" w:styleId="ListNote">
    <w:name w:val="List Note"/>
    <w:basedOn w:val="List"/>
    <w:rsid w:val="006D496F"/>
    <w:pPr>
      <w:pBdr>
        <w:top w:val="single" w:sz="6" w:space="2" w:color="918585"/>
        <w:bottom w:val="single" w:sz="6" w:space="2" w:color="918585"/>
      </w:pBdr>
      <w:tabs>
        <w:tab w:val="left" w:pos="1021"/>
      </w:tabs>
      <w:ind w:firstLine="0"/>
    </w:pPr>
  </w:style>
  <w:style w:type="paragraph" w:customStyle="1" w:styleId="Warning">
    <w:name w:val="Warning"/>
    <w:basedOn w:val="BodyText"/>
    <w:rsid w:val="006D496F"/>
    <w:pPr>
      <w:shd w:val="clear" w:color="auto" w:fill="D9D9D9"/>
      <w:tabs>
        <w:tab w:val="left" w:pos="992"/>
      </w:tabs>
      <w:ind w:left="119" w:right="119"/>
    </w:pPr>
    <w:rPr>
      <w:sz w:val="20"/>
    </w:rPr>
  </w:style>
  <w:style w:type="paragraph" w:customStyle="1" w:styleId="MarginIcons">
    <w:name w:val="Margin Icons"/>
    <w:basedOn w:val="BodyText"/>
    <w:rsid w:val="006D4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96F"/>
    <w:rPr>
      <w:rFonts w:ascii="Courier New" w:hAnsi="Courier New"/>
    </w:rPr>
  </w:style>
  <w:style w:type="paragraph" w:customStyle="1" w:styleId="NoteBullet">
    <w:name w:val="Note Bullet"/>
    <w:basedOn w:val="Note"/>
    <w:rsid w:val="006D496F"/>
    <w:pPr>
      <w:tabs>
        <w:tab w:val="clear" w:pos="680"/>
      </w:tabs>
      <w:spacing w:before="60" w:after="60"/>
    </w:pPr>
  </w:style>
  <w:style w:type="paragraph" w:customStyle="1" w:styleId="SubHeading2">
    <w:name w:val="SubHeading2"/>
    <w:basedOn w:val="HeadingBase"/>
    <w:rsid w:val="006D496F"/>
    <w:pPr>
      <w:spacing w:before="240" w:after="60"/>
    </w:pPr>
    <w:rPr>
      <w:sz w:val="20"/>
    </w:rPr>
  </w:style>
  <w:style w:type="paragraph" w:customStyle="1" w:styleId="SubHeading1">
    <w:name w:val="SubHeading1"/>
    <w:basedOn w:val="HeadingBase"/>
    <w:rsid w:val="006D496F"/>
    <w:pPr>
      <w:spacing w:before="240" w:after="60"/>
    </w:pPr>
    <w:rPr>
      <w:color w:val="918585"/>
      <w:sz w:val="22"/>
    </w:rPr>
  </w:style>
  <w:style w:type="paragraph" w:customStyle="1" w:styleId="SideHeading">
    <w:name w:val="Side Heading"/>
    <w:basedOn w:val="HeadingBase"/>
    <w:rsid w:val="006D4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96F"/>
    <w:pPr>
      <w:numPr>
        <w:numId w:val="12"/>
      </w:numPr>
    </w:pPr>
  </w:style>
  <w:style w:type="paragraph" w:styleId="PlainText">
    <w:name w:val="Plain Text"/>
    <w:basedOn w:val="Normal"/>
    <w:link w:val="PlainTextChar"/>
    <w:rsid w:val="006D496F"/>
    <w:rPr>
      <w:sz w:val="20"/>
    </w:rPr>
  </w:style>
  <w:style w:type="character" w:customStyle="1" w:styleId="PlainTextChar">
    <w:name w:val="Plain Text Char"/>
    <w:basedOn w:val="DefaultParagraphFont"/>
    <w:link w:val="PlainText"/>
    <w:rsid w:val="006D49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96F"/>
    <w:rPr>
      <w:b/>
      <w:smallCaps/>
    </w:rPr>
  </w:style>
  <w:style w:type="paragraph" w:customStyle="1" w:styleId="TableListNumber">
    <w:name w:val="Table List Number"/>
    <w:basedOn w:val="ListNumber"/>
    <w:rsid w:val="006D496F"/>
    <w:pPr>
      <w:numPr>
        <w:numId w:val="0"/>
      </w:numPr>
    </w:pPr>
  </w:style>
  <w:style w:type="paragraph" w:styleId="TOC4">
    <w:name w:val="toc 4"/>
    <w:basedOn w:val="TOCBase"/>
    <w:next w:val="Normal"/>
    <w:semiHidden/>
    <w:rsid w:val="006D496F"/>
    <w:pPr>
      <w:tabs>
        <w:tab w:val="right" w:leader="dot" w:pos="9071"/>
      </w:tabs>
      <w:ind w:left="1701"/>
    </w:pPr>
  </w:style>
  <w:style w:type="paragraph" w:customStyle="1" w:styleId="ListAlpha">
    <w:name w:val="List Alpha"/>
    <w:basedOn w:val="List"/>
    <w:rsid w:val="006D496F"/>
    <w:pPr>
      <w:numPr>
        <w:numId w:val="9"/>
      </w:numPr>
    </w:pPr>
  </w:style>
  <w:style w:type="paragraph" w:customStyle="1" w:styleId="ListAlpha2">
    <w:name w:val="List Alpha 2"/>
    <w:basedOn w:val="List2"/>
    <w:rsid w:val="006D496F"/>
    <w:pPr>
      <w:numPr>
        <w:numId w:val="8"/>
      </w:numPr>
    </w:pPr>
  </w:style>
  <w:style w:type="paragraph" w:styleId="List2">
    <w:name w:val="List 2"/>
    <w:basedOn w:val="BodyText"/>
    <w:rsid w:val="006D496F"/>
    <w:pPr>
      <w:tabs>
        <w:tab w:val="left" w:pos="680"/>
      </w:tabs>
      <w:spacing w:before="60" w:after="60"/>
      <w:ind w:left="680" w:hanging="340"/>
    </w:pPr>
  </w:style>
  <w:style w:type="paragraph" w:styleId="List3">
    <w:name w:val="List 3"/>
    <w:basedOn w:val="BodyText"/>
    <w:rsid w:val="006D496F"/>
    <w:pPr>
      <w:tabs>
        <w:tab w:val="left" w:pos="1021"/>
      </w:tabs>
      <w:spacing w:before="60" w:after="60"/>
      <w:ind w:left="1020" w:hanging="340"/>
    </w:pPr>
  </w:style>
  <w:style w:type="paragraph" w:styleId="List4">
    <w:name w:val="List 4"/>
    <w:basedOn w:val="BodyText"/>
    <w:rsid w:val="006D496F"/>
    <w:pPr>
      <w:tabs>
        <w:tab w:val="left" w:pos="1361"/>
      </w:tabs>
      <w:spacing w:before="60" w:after="60"/>
      <w:ind w:left="1361" w:hanging="340"/>
    </w:pPr>
  </w:style>
  <w:style w:type="paragraph" w:styleId="List5">
    <w:name w:val="List 5"/>
    <w:basedOn w:val="BodyText"/>
    <w:rsid w:val="006D496F"/>
    <w:pPr>
      <w:tabs>
        <w:tab w:val="left" w:pos="1701"/>
      </w:tabs>
      <w:spacing w:before="60" w:after="60"/>
      <w:ind w:left="1701" w:hanging="340"/>
    </w:pPr>
  </w:style>
  <w:style w:type="paragraph" w:styleId="ListBullet3">
    <w:name w:val="List Bullet 3"/>
    <w:basedOn w:val="List3"/>
    <w:rsid w:val="006D496F"/>
    <w:pPr>
      <w:numPr>
        <w:numId w:val="15"/>
      </w:numPr>
      <w:tabs>
        <w:tab w:val="clear" w:pos="1021"/>
      </w:tabs>
      <w:ind w:left="1037" w:hanging="357"/>
    </w:pPr>
  </w:style>
  <w:style w:type="paragraph" w:styleId="ListBullet4">
    <w:name w:val="List Bullet 4"/>
    <w:basedOn w:val="List4"/>
    <w:rsid w:val="006D496F"/>
    <w:pPr>
      <w:numPr>
        <w:numId w:val="3"/>
      </w:numPr>
    </w:pPr>
  </w:style>
  <w:style w:type="paragraph" w:styleId="ListBullet5">
    <w:name w:val="List Bullet 5"/>
    <w:basedOn w:val="List5"/>
    <w:rsid w:val="006D496F"/>
    <w:pPr>
      <w:numPr>
        <w:numId w:val="4"/>
      </w:numPr>
    </w:pPr>
  </w:style>
  <w:style w:type="paragraph" w:styleId="ListContinue2">
    <w:name w:val="List Continue 2"/>
    <w:basedOn w:val="List2"/>
    <w:rsid w:val="006D496F"/>
    <w:pPr>
      <w:ind w:firstLine="0"/>
    </w:pPr>
  </w:style>
  <w:style w:type="paragraph" w:styleId="ListContinue3">
    <w:name w:val="List Continue 3"/>
    <w:basedOn w:val="List3"/>
    <w:rsid w:val="006D496F"/>
    <w:pPr>
      <w:ind w:left="1021" w:firstLine="0"/>
    </w:pPr>
  </w:style>
  <w:style w:type="paragraph" w:styleId="ListContinue4">
    <w:name w:val="List Continue 4"/>
    <w:basedOn w:val="List4"/>
    <w:rsid w:val="006D496F"/>
    <w:pPr>
      <w:ind w:firstLine="0"/>
    </w:pPr>
  </w:style>
  <w:style w:type="paragraph" w:styleId="ListContinue5">
    <w:name w:val="List Continue 5"/>
    <w:basedOn w:val="List5"/>
    <w:rsid w:val="006D496F"/>
    <w:pPr>
      <w:ind w:firstLine="0"/>
    </w:pPr>
  </w:style>
  <w:style w:type="paragraph" w:styleId="ListNumber3">
    <w:name w:val="List Number 3"/>
    <w:basedOn w:val="List3"/>
    <w:rsid w:val="006D496F"/>
    <w:pPr>
      <w:numPr>
        <w:numId w:val="5"/>
      </w:numPr>
    </w:pPr>
  </w:style>
  <w:style w:type="paragraph" w:styleId="ListNumber4">
    <w:name w:val="List Number 4"/>
    <w:basedOn w:val="List4"/>
    <w:rsid w:val="006D496F"/>
    <w:pPr>
      <w:numPr>
        <w:numId w:val="6"/>
      </w:numPr>
    </w:pPr>
  </w:style>
  <w:style w:type="paragraph" w:styleId="ListNumber5">
    <w:name w:val="List Number 5"/>
    <w:basedOn w:val="List5"/>
    <w:rsid w:val="006D496F"/>
    <w:pPr>
      <w:numPr>
        <w:numId w:val="7"/>
      </w:numPr>
    </w:pPr>
  </w:style>
  <w:style w:type="paragraph" w:styleId="BlockText">
    <w:name w:val="Block Text"/>
    <w:basedOn w:val="Normal"/>
    <w:rsid w:val="006D496F"/>
    <w:pPr>
      <w:spacing w:after="120"/>
      <w:ind w:left="1440" w:right="1440"/>
    </w:pPr>
  </w:style>
  <w:style w:type="character" w:customStyle="1" w:styleId="Subscript">
    <w:name w:val="Subscript"/>
    <w:basedOn w:val="DefaultParagraphFont"/>
    <w:rsid w:val="006D496F"/>
    <w:rPr>
      <w:sz w:val="16"/>
      <w:vertAlign w:val="subscript"/>
    </w:rPr>
  </w:style>
  <w:style w:type="character" w:customStyle="1" w:styleId="Superscript">
    <w:name w:val="Superscript"/>
    <w:basedOn w:val="DefaultParagraphFont"/>
    <w:rsid w:val="006D496F"/>
    <w:rPr>
      <w:sz w:val="16"/>
      <w:vertAlign w:val="superscript"/>
    </w:rPr>
  </w:style>
  <w:style w:type="character" w:customStyle="1" w:styleId="Symbols">
    <w:name w:val="Symbols"/>
    <w:basedOn w:val="DefaultParagraphFont"/>
    <w:rsid w:val="006D496F"/>
    <w:rPr>
      <w:rFonts w:ascii="Symbol" w:hAnsi="Symbol"/>
    </w:rPr>
  </w:style>
  <w:style w:type="character" w:customStyle="1" w:styleId="MenuOptions">
    <w:name w:val="Menu Options"/>
    <w:basedOn w:val="DefaultParagraphFont"/>
    <w:rsid w:val="006D496F"/>
    <w:rPr>
      <w:rFonts w:ascii="Arial Narrow" w:hAnsi="Arial Narrow"/>
      <w:smallCaps/>
    </w:rPr>
  </w:style>
  <w:style w:type="character" w:customStyle="1" w:styleId="Buttons">
    <w:name w:val="Buttons"/>
    <w:basedOn w:val="DefaultParagraphFont"/>
    <w:rsid w:val="006D496F"/>
    <w:rPr>
      <w:b/>
    </w:rPr>
  </w:style>
  <w:style w:type="character" w:customStyle="1" w:styleId="Underlined">
    <w:name w:val="Underlined"/>
    <w:basedOn w:val="DefaultParagraphFont"/>
    <w:rsid w:val="006D496F"/>
    <w:rPr>
      <w:u w:val="single"/>
    </w:rPr>
  </w:style>
  <w:style w:type="paragraph" w:customStyle="1" w:styleId="TableBodyTextRight">
    <w:name w:val="Table Body Text Right"/>
    <w:basedOn w:val="TableBodyText"/>
    <w:rsid w:val="006D496F"/>
    <w:pPr>
      <w:widowControl w:val="0"/>
      <w:autoSpaceDE w:val="0"/>
      <w:autoSpaceDN w:val="0"/>
      <w:adjustRightInd w:val="0"/>
      <w:jc w:val="right"/>
    </w:pPr>
    <w:rPr>
      <w:rFonts w:cs="Arial"/>
      <w:szCs w:val="18"/>
    </w:rPr>
  </w:style>
  <w:style w:type="paragraph" w:customStyle="1" w:styleId="CopyrightText">
    <w:name w:val="Copyright Text"/>
    <w:basedOn w:val="BodyText"/>
    <w:rsid w:val="006D496F"/>
    <w:rPr>
      <w:sz w:val="18"/>
    </w:rPr>
  </w:style>
  <w:style w:type="paragraph" w:customStyle="1" w:styleId="BodySmallRight">
    <w:name w:val="Body Small Right"/>
    <w:basedOn w:val="BodyTextRight"/>
    <w:rsid w:val="006D496F"/>
    <w:rPr>
      <w:sz w:val="18"/>
      <w:szCs w:val="18"/>
    </w:rPr>
  </w:style>
  <w:style w:type="paragraph" w:customStyle="1" w:styleId="MarginEdition">
    <w:name w:val="Margin Edition"/>
    <w:basedOn w:val="MarginNote"/>
    <w:rsid w:val="006D496F"/>
    <w:pPr>
      <w:spacing w:before="0" w:after="0"/>
    </w:pPr>
    <w:rPr>
      <w:rFonts w:ascii="Times New Roman" w:hAnsi="Times New Roman"/>
      <w:color w:val="999999"/>
    </w:rPr>
  </w:style>
  <w:style w:type="paragraph" w:customStyle="1" w:styleId="Spacer">
    <w:name w:val="Spacer"/>
    <w:basedOn w:val="Normal"/>
    <w:rsid w:val="006D496F"/>
    <w:rPr>
      <w:sz w:val="2"/>
      <w:szCs w:val="2"/>
    </w:rPr>
  </w:style>
  <w:style w:type="character" w:customStyle="1" w:styleId="Small">
    <w:name w:val="Small"/>
    <w:basedOn w:val="DefaultParagraphFont"/>
    <w:rsid w:val="006D496F"/>
    <w:rPr>
      <w:sz w:val="16"/>
    </w:rPr>
  </w:style>
  <w:style w:type="paragraph" w:customStyle="1" w:styleId="WideTable">
    <w:name w:val="Wide Table"/>
    <w:basedOn w:val="Normal"/>
    <w:rsid w:val="006D496F"/>
    <w:pPr>
      <w:ind w:left="-1418"/>
    </w:pPr>
    <w:rPr>
      <w:sz w:val="2"/>
      <w:szCs w:val="2"/>
    </w:rPr>
  </w:style>
  <w:style w:type="character" w:styleId="PageNumber">
    <w:name w:val="page number"/>
    <w:basedOn w:val="DefaultParagraphFont"/>
    <w:rsid w:val="006D496F"/>
  </w:style>
  <w:style w:type="paragraph" w:styleId="Quote">
    <w:name w:val="Quote"/>
    <w:basedOn w:val="Heading1"/>
    <w:link w:val="QuoteChar"/>
    <w:qFormat/>
    <w:rsid w:val="006D496F"/>
    <w:rPr>
      <w:b w:val="0"/>
      <w:sz w:val="72"/>
      <w:szCs w:val="72"/>
      <w:lang w:val="en-NZ"/>
    </w:rPr>
  </w:style>
  <w:style w:type="character" w:customStyle="1" w:styleId="QuoteChar">
    <w:name w:val="Quote Char"/>
    <w:basedOn w:val="DefaultParagraphFont"/>
    <w:link w:val="Quote"/>
    <w:rsid w:val="006D4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96F"/>
    <w:pPr>
      <w:pageBreakBefore/>
    </w:pPr>
  </w:style>
  <w:style w:type="paragraph" w:customStyle="1" w:styleId="Border">
    <w:name w:val="Border"/>
    <w:basedOn w:val="Normal"/>
    <w:qFormat/>
    <w:rsid w:val="006D4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96F"/>
    <w:rPr>
      <w:b/>
      <w:bCs/>
      <w:i/>
      <w:iCs/>
      <w:color w:val="auto"/>
    </w:rPr>
  </w:style>
  <w:style w:type="paragraph" w:styleId="IntenseQuote">
    <w:name w:val="Intense Quote"/>
    <w:basedOn w:val="Normal"/>
    <w:next w:val="Normal"/>
    <w:link w:val="IntenseQuoteChar"/>
    <w:uiPriority w:val="30"/>
    <w:qFormat/>
    <w:rsid w:val="006D4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9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96F"/>
    <w:rPr>
      <w:smallCaps/>
      <w:color w:val="auto"/>
      <w:u w:val="single"/>
    </w:rPr>
  </w:style>
  <w:style w:type="character" w:styleId="IntenseReference">
    <w:name w:val="Intense Reference"/>
    <w:basedOn w:val="DefaultParagraphFont"/>
    <w:uiPriority w:val="32"/>
    <w:qFormat/>
    <w:rsid w:val="006D496F"/>
    <w:rPr>
      <w:b/>
      <w:bCs/>
      <w:smallCaps/>
      <w:color w:val="auto"/>
      <w:spacing w:val="5"/>
      <w:u w:val="single"/>
    </w:rPr>
  </w:style>
  <w:style w:type="paragraph" w:customStyle="1" w:styleId="2ColumnHeading">
    <w:name w:val="2Column Heading"/>
    <w:basedOn w:val="BodyText"/>
    <w:qFormat/>
    <w:rsid w:val="006D496F"/>
    <w:pPr>
      <w:spacing w:after="60"/>
      <w:ind w:left="-2268"/>
    </w:pPr>
    <w:rPr>
      <w:b/>
    </w:rPr>
  </w:style>
  <w:style w:type="paragraph" w:customStyle="1" w:styleId="Heading1TOC">
    <w:name w:val="Heading1 TOC"/>
    <w:basedOn w:val="Normal"/>
    <w:qFormat/>
    <w:rsid w:val="006D496F"/>
    <w:pPr>
      <w:spacing w:before="240" w:after="120"/>
    </w:pPr>
    <w:rPr>
      <w:rFonts w:ascii="Times New Roman" w:hAnsi="Times New Roman"/>
      <w:b/>
      <w:sz w:val="32"/>
    </w:rPr>
  </w:style>
  <w:style w:type="paragraph" w:customStyle="1" w:styleId="Heading2TOC">
    <w:name w:val="Heading2 TOC"/>
    <w:basedOn w:val="Normal"/>
    <w:qFormat/>
    <w:rsid w:val="006D496F"/>
    <w:pPr>
      <w:spacing w:before="240" w:after="60"/>
    </w:pPr>
    <w:rPr>
      <w:rFonts w:ascii="Times New Roman" w:hAnsi="Times New Roman"/>
      <w:b/>
      <w:sz w:val="28"/>
    </w:rPr>
  </w:style>
  <w:style w:type="character" w:customStyle="1" w:styleId="Underline">
    <w:name w:val="Underline"/>
    <w:basedOn w:val="DefaultParagraphFont"/>
    <w:qFormat/>
    <w:rsid w:val="006D496F"/>
    <w:rPr>
      <w:u w:val="single"/>
    </w:rPr>
  </w:style>
  <w:style w:type="character" w:customStyle="1" w:styleId="BoldandItalics">
    <w:name w:val="Bold and Italics"/>
    <w:qFormat/>
    <w:rsid w:val="006D496F"/>
    <w:rPr>
      <w:b/>
      <w:i/>
      <w:u w:val="none"/>
    </w:rPr>
  </w:style>
  <w:style w:type="paragraph" w:styleId="BalloonText">
    <w:name w:val="Balloon Text"/>
    <w:basedOn w:val="Normal"/>
    <w:link w:val="BalloonTextChar"/>
    <w:rsid w:val="006D496F"/>
    <w:rPr>
      <w:rFonts w:ascii="Tahoma" w:hAnsi="Tahoma" w:cs="Tahoma"/>
      <w:sz w:val="16"/>
      <w:szCs w:val="16"/>
    </w:rPr>
  </w:style>
  <w:style w:type="character" w:customStyle="1" w:styleId="BalloonTextChar">
    <w:name w:val="Balloon Text Char"/>
    <w:basedOn w:val="DefaultParagraphFont"/>
    <w:link w:val="BalloonText"/>
    <w:rsid w:val="006D49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9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2638</Words>
  <Characters>15620</Characters>
  <Application>Microsoft Office Word</Application>
  <DocSecurity>0</DocSecurity>
  <Lines>767</Lines>
  <Paragraphs>318</Paragraphs>
  <ScaleCrop>false</ScaleCrop>
  <Company>Author-it Software Corporation Ltd.</Company>
  <LinksUpToDate>false</LinksUpToDate>
  <CharactersWithSpaces>17980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UEGNSG108A Operate and monitor pipeline control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2012-05-26T22:00:00Z</dcterms:created>
  <dcterms:modified xsi:type="dcterms:W3CDTF">2012-05-26T22:00:00Z</dcterms:modified>
</cp:coreProperties>
</file>