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D39" w:rsidP="00204D39">
      <w:pPr>
        <w:pStyle w:val="Title"/>
      </w:pPr>
      <w:r>
        <w:fldChar w:fldCharType="begin"/>
      </w:r>
      <w:r>
        <w:instrText xml:space="preserve"> TITLE   \* MERGEFORMAT </w:instrText>
      </w:r>
      <w:r>
        <w:fldChar w:fldCharType="separate"/>
      </w:r>
      <w:r>
        <w:t>UEGNSG107A Control gas odourisation</w:t>
      </w:r>
      <w:r>
        <w:fldChar w:fldCharType="end"/>
      </w:r>
    </w:p>
    <w:p w:rsidR="00204D39" w:rsidP="00204D39">
      <w:pPr>
        <w:pStyle w:val="Version"/>
        <w:sectPr w:rsidSect="000E33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33C" w:rsidP="000E333C">
      <w:pPr>
        <w:pStyle w:val="SuperHeading"/>
      </w:pPr>
      <w:r w:rsidRPr="000E333C">
        <w:t>UEGNSG107A Control gas odourisation</w:t>
      </w:r>
    </w:p>
    <w:p w:rsidR="00000000" w:rsidRPr="000E333C" w:rsidP="000E333C">
      <w:pPr>
        <w:pStyle w:val="Heading1"/>
      </w:pPr>
      <w:bookmarkStart w:id="1" w:name="O_275079"/>
      <w:bookmarkEnd w:id="1"/>
      <w:r w:rsidRPr="000E333C">
        <w:t>Modification History</w:t>
      </w:r>
    </w:p>
    <w:p w:rsidR="00000000" w:rsidRPr="000E333C" w:rsidP="000E333C">
      <w:pPr>
        <w:pStyle w:val="BodyText"/>
      </w:pPr>
      <w:r w:rsidRPr="000E333C">
        <w:t>Not Applicable</w:t>
      </w:r>
    </w:p>
    <w:p w:rsidR="00000000" w:rsidRPr="000E333C" w:rsidP="000E333C">
      <w:pPr>
        <w:pStyle w:val="AllowPageBreak"/>
      </w:pPr>
    </w:p>
    <w:p w:rsidR="00000000" w:rsidRPr="000E333C" w:rsidP="000E333C">
      <w:pPr>
        <w:pStyle w:val="Heading1"/>
      </w:pPr>
      <w:bookmarkStart w:id="2" w:name="O_229298"/>
      <w:bookmarkEnd w:id="2"/>
      <w:r w:rsidRPr="000E333C">
        <w:t>Unit Descriptor</w:t>
      </w:r>
    </w:p>
    <w:tbl>
      <w:tblPr>
        <w:tblW w:w="0" w:type="auto"/>
        <w:tblLayout w:type="fixed"/>
        <w:tblCellMar>
          <w:left w:w="62" w:type="dxa"/>
          <w:right w:w="62" w:type="dxa"/>
        </w:tblCellMar>
        <w:tblLook w:val="0000"/>
      </w:tblPr>
      <w:tblGrid>
        <w:gridCol w:w="2700"/>
        <w:gridCol w:w="5760"/>
      </w:tblGrid>
      <w:tr w:rsidTr="0020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1</w:t>
            </w:r>
            <w:r w:rsidRPr="000E333C">
              <w:t>)</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This Unit describes the skills and knowledge required to control gas odourisation. The competency standard also calls up the use of the appropriate tools and equipment; the emergency response procedures and the relevant documentation.</w:t>
            </w:r>
          </w:p>
        </w:tc>
      </w:tr>
    </w:tbl>
    <w:p w:rsidR="00204D39" w:rsidP="000E333C">
      <w:pPr>
        <w:pStyle w:val="BodyText"/>
      </w:pPr>
    </w:p>
    <w:p w:rsidR="00204D39" w:rsidP="000E333C">
      <w:pPr>
        <w:pStyle w:val="BodyText"/>
      </w:pPr>
    </w:p>
    <w:p w:rsidR="00000000" w:rsidRPr="000E333C" w:rsidP="000E333C">
      <w:pPr>
        <w:pStyle w:val="Heading1"/>
      </w:pPr>
      <w:bookmarkStart w:id="3" w:name="O_229301"/>
      <w:bookmarkEnd w:id="3"/>
      <w:r w:rsidRPr="000E333C">
        <w:t>A</w:t>
      </w:r>
      <w:r w:rsidRPr="000E333C">
        <w:t>pplication of the Unit</w:t>
      </w:r>
    </w:p>
    <w:tbl>
      <w:tblPr>
        <w:tblW w:w="0" w:type="auto"/>
        <w:tblLayout w:type="fixed"/>
        <w:tblCellMar>
          <w:left w:w="62" w:type="dxa"/>
          <w:right w:w="62" w:type="dxa"/>
        </w:tblCellMar>
        <w:tblLook w:val="0000"/>
      </w:tblPr>
      <w:tblGrid>
        <w:gridCol w:w="2700"/>
        <w:gridCol w:w="5760"/>
      </w:tblGrid>
      <w:tr w:rsidTr="0020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3</w:t>
            </w:r>
            <w:r w:rsidRPr="000E333C">
              <w:t xml:space="preserve">) </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This competency standard shall apply to any basic and safe work site where Gas Industry operations occur. It could also apply, where applicable to other workplaces in the electricity supply industry (tra</w:t>
            </w:r>
            <w:r w:rsidRPr="000E333C">
              <w:t>nsmission and distribution and generation), the electrotechnology industry and the water industry, subject to all Occupational Health and Safety and duty of care requirements being met for the workplace.</w:t>
            </w:r>
          </w:p>
        </w:tc>
      </w:tr>
    </w:tbl>
    <w:p w:rsidR="00204D39" w:rsidP="000E333C">
      <w:pPr>
        <w:pStyle w:val="BodyText"/>
      </w:pPr>
    </w:p>
    <w:p w:rsidR="00204D39" w:rsidP="000E333C">
      <w:pPr>
        <w:pStyle w:val="BodyText"/>
      </w:pPr>
    </w:p>
    <w:p w:rsidR="00000000" w:rsidRPr="000E333C" w:rsidP="000E333C">
      <w:pPr>
        <w:pStyle w:val="Heading1"/>
      </w:pPr>
      <w:bookmarkStart w:id="4" w:name="O_229302"/>
      <w:bookmarkEnd w:id="4"/>
      <w:r w:rsidRPr="000E333C">
        <w:t>Licensing/Regulatory Information</w:t>
      </w:r>
    </w:p>
    <w:tbl>
      <w:tblPr>
        <w:tblW w:w="0" w:type="auto"/>
        <w:tblLayout w:type="fixed"/>
        <w:tblCellMar>
          <w:left w:w="62" w:type="dxa"/>
          <w:right w:w="62" w:type="dxa"/>
        </w:tblCellMar>
        <w:tblLook w:val="0000"/>
      </w:tblPr>
      <w:tblGrid>
        <w:gridCol w:w="2700"/>
        <w:gridCol w:w="5760"/>
      </w:tblGrid>
      <w:tr w:rsidTr="0020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3</w:t>
            </w:r>
            <w:r w:rsidRPr="000E333C">
              <w:t>.</w:t>
            </w:r>
            <w:r w:rsidRPr="000E333C">
              <w:rPr>
                <w:rStyle w:val="SpecialBold"/>
              </w:rPr>
              <w:t>1</w:t>
            </w:r>
            <w:r w:rsidRPr="000E333C">
              <w:t xml:space="preserve">) </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The skills and knowledge described in this unit are not subject to licence regulation other than those directly related to Occupational Health and Safety, gas/electricity/water industry safety and compliance, industrial relatio</w:t>
            </w:r>
            <w:r w:rsidRPr="000E333C">
              <w:t xml:space="preserve">ns, environmental protection, telecommunications, anti discrimination and training. Commonwealth, State/Territory or Local Government </w:t>
            </w:r>
            <w:r w:rsidRPr="000E333C">
              <w:t>legislation and regulations may exist that limit the age at which a person can operate certain equipment.</w:t>
            </w:r>
          </w:p>
        </w:tc>
      </w:tr>
    </w:tbl>
    <w:p w:rsidR="00204D39" w:rsidP="000E333C">
      <w:pPr>
        <w:pStyle w:val="BodyText"/>
      </w:pPr>
    </w:p>
    <w:p w:rsidR="00204D39" w:rsidP="000E333C">
      <w:pPr>
        <w:pStyle w:val="BodyText"/>
      </w:pPr>
    </w:p>
    <w:p w:rsidR="00000000" w:rsidRPr="000E333C" w:rsidP="000E333C">
      <w:pPr>
        <w:pStyle w:val="Heading1"/>
      </w:pPr>
      <w:bookmarkStart w:id="5" w:name="O_229299"/>
      <w:bookmarkEnd w:id="5"/>
      <w:r w:rsidRPr="000E333C">
        <w:t>Pre-Requisites</w:t>
      </w:r>
    </w:p>
    <w:tbl>
      <w:tblPr>
        <w:tblW w:w="0" w:type="auto"/>
        <w:tblLayout w:type="fixed"/>
        <w:tblCellMar>
          <w:left w:w="62" w:type="dxa"/>
          <w:right w:w="62" w:type="dxa"/>
        </w:tblCellMar>
        <w:tblLook w:val="0000"/>
      </w:tblPr>
      <w:tblGrid>
        <w:gridCol w:w="2700"/>
        <w:gridCol w:w="1800"/>
        <w:gridCol w:w="3960"/>
      </w:tblGrid>
      <w:tr w:rsidTr="0020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Prerequisite Unit</w:t>
            </w:r>
            <w:r w:rsidRPr="000E333C">
              <w:t>(</w:t>
            </w:r>
            <w:r w:rsidRPr="000E333C">
              <w:rPr>
                <w:rStyle w:val="SpecialBold"/>
              </w:rPr>
              <w:t>s</w:t>
            </w:r>
            <w:r w:rsidRPr="000E333C">
              <w:t>)</w:t>
            </w:r>
          </w:p>
        </w:tc>
        <w:tc>
          <w:tcPr>
            <w:tcW w:w="5760" w:type="dxa"/>
            <w:gridSpan w:val="2"/>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2</w:t>
            </w:r>
            <w:r w:rsidRPr="000E333C">
              <w:t xml:space="preserve">) </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2</w:t>
            </w:r>
            <w:r w:rsidRPr="000E333C">
              <w:t>.</w:t>
            </w:r>
            <w:r w:rsidRPr="000E333C">
              <w:rPr>
                <w:rStyle w:val="SpecialBold"/>
              </w:rPr>
              <w:t>1</w:t>
            </w:r>
            <w:r w:rsidRPr="000E333C">
              <w:t xml:space="preserve">) </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Granting of competency in this unit shall be made only after competency in the following unit(s) has/have been confirmed:</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Nil</w:t>
            </w:r>
          </w:p>
        </w:tc>
        <w:tc>
          <w:tcPr>
            <w:tcW w:w="3960" w:type="dxa"/>
            <w:tcBorders>
              <w:top w:val="nil"/>
              <w:left w:val="nil"/>
              <w:bottom w:val="nil"/>
              <w:right w:val="nil"/>
            </w:tcBorders>
            <w:tcMar>
              <w:top w:w="0" w:type="dxa"/>
              <w:left w:w="62" w:type="dxa"/>
              <w:bottom w:w="0" w:type="dxa"/>
              <w:right w:w="62" w:type="dxa"/>
            </w:tcMar>
          </w:tcPr>
          <w:p w:rsidR="00000000" w:rsidRPr="000E333C" w:rsidP="000E333C">
            <w:pPr>
              <w:pStyle w:val="BodyText"/>
            </w:pPr>
          </w:p>
        </w:tc>
      </w:tr>
    </w:tbl>
    <w:p w:rsidR="00204D39" w:rsidP="000E333C">
      <w:pPr>
        <w:pStyle w:val="BodyText"/>
      </w:pPr>
    </w:p>
    <w:p w:rsidR="00204D39" w:rsidP="000E333C">
      <w:pPr>
        <w:pStyle w:val="BodyText"/>
      </w:pPr>
    </w:p>
    <w:p w:rsidR="00000000" w:rsidRPr="000E333C" w:rsidP="000E333C">
      <w:pPr>
        <w:pStyle w:val="Heading1"/>
      </w:pPr>
      <w:bookmarkStart w:id="6" w:name="O_285328"/>
      <w:bookmarkEnd w:id="6"/>
      <w:r w:rsidRPr="000E333C">
        <w:t>Employability Skills Information</w:t>
      </w:r>
    </w:p>
    <w:p w:rsidR="00000000" w:rsidRPr="000E333C" w:rsidP="000E333C">
      <w:pPr>
        <w:pStyle w:val="BodyText"/>
      </w:pPr>
      <w:r w:rsidRPr="000E333C">
        <w:t>Refer to the Evidence Guide</w:t>
      </w:r>
    </w:p>
    <w:p w:rsidR="00000000" w:rsidRPr="000E333C" w:rsidP="000E333C">
      <w:pPr>
        <w:pStyle w:val="AllowPageBreak"/>
      </w:pPr>
    </w:p>
    <w:p w:rsidR="00000000" w:rsidRPr="000E333C" w:rsidP="000E333C">
      <w:pPr>
        <w:pStyle w:val="Heading1"/>
      </w:pPr>
      <w:bookmarkStart w:id="7" w:name="O_293125"/>
      <w:bookmarkEnd w:id="7"/>
      <w:r w:rsidRPr="000E333C">
        <w:t>Elements and Performance Criteria Pre-Content</w:t>
      </w:r>
    </w:p>
    <w:tbl>
      <w:tblPr>
        <w:tblW w:w="0" w:type="auto"/>
        <w:tblLayout w:type="fixed"/>
        <w:tblCellMar>
          <w:left w:w="62" w:type="dxa"/>
          <w:right w:w="62" w:type="dxa"/>
        </w:tblCellMar>
        <w:tblLook w:val="0000"/>
      </w:tblPr>
      <w:tblGrid>
        <w:gridCol w:w="2700"/>
        <w:gridCol w:w="5760"/>
      </w:tblGrid>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5</w:t>
            </w:r>
            <w:r w:rsidRPr="000E333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Performance Criteria describe the required performance needed to demonstrate achievement of</w:t>
            </w:r>
            <w:r w:rsidRPr="000E333C">
              <w:t xml:space="preserve"> the element. Assessment of performance is to be consistent with the evidence guide.</w:t>
            </w:r>
          </w:p>
        </w:tc>
      </w:tr>
    </w:tbl>
    <w:p w:rsidR="00000000" w:rsidRPr="000E333C" w:rsidP="000E333C">
      <w:pPr>
        <w:pStyle w:val="BodyText"/>
      </w:pPr>
    </w:p>
    <w:p w:rsidR="00000000" w:rsidRPr="000E333C" w:rsidP="000E333C">
      <w:pPr>
        <w:pStyle w:val="AllowPageBreak"/>
      </w:pPr>
    </w:p>
    <w:p w:rsidR="00000000" w:rsidRPr="000E333C" w:rsidP="000E333C">
      <w:pPr>
        <w:pStyle w:val="Heading1"/>
      </w:pPr>
      <w:bookmarkStart w:id="8" w:name="O_239793"/>
      <w:bookmarkEnd w:id="8"/>
      <w:r w:rsidRPr="000E333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04D3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PERFORMANCE CRITERIA</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w:t>
            </w:r>
          </w:p>
        </w:tc>
        <w:tc>
          <w:tcPr>
            <w:tcW w:w="2296" w:type="dxa"/>
            <w:vMerge w:val="restart"/>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Prepare to odourise gas</w:t>
            </w: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1.1</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Work schedule(s), including drawings, plans, requirements, established procedures and material lists are received, analysed and confirmed if necessary by site inspection</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1.2</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Relevant requirements and established procedures for the work are communicated </w:t>
            </w:r>
            <w:r w:rsidRPr="000E333C">
              <w:t xml:space="preserve">to all </w:t>
            </w:r>
            <w:r w:rsidRPr="000E333C">
              <w:t>persons and identified for all work sites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1.3</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OHS, environmental and sustainable energy policies and procedures related to the control of gas odourisation are obtained and confirmed for the purposes of the work performed and communicated </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1.4</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Work is prioritised and sequenced following consultation with others for completion within acceptable timeframes and in accordance with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1.5</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Risk control measures are identified and prioritised against the work schedule</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1.6</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Relevant work permits are obtained to access and perform work according to requirements and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1.7</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Resources including persons, equipment, tools and personal protective equipment required for the job are identified, scheduled and obt</w:t>
            </w:r>
            <w:r w:rsidRPr="000E333C">
              <w:t>ained and confirmed in working order</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1.8</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Relevant persons at work site are confirmed to be current in First Aid and other related work procedures according to requirements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1.9</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Liaison and communication issues with other/authorised persons, authoritie</w:t>
            </w:r>
            <w:r w:rsidRPr="000E333C">
              <w:t>s, clients and land owners are resolved to carry out work where necessary</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1.10</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Site is prepared according to the work schedule and to minimise risk and damage to property, commerce and individuals in accordance with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1.11</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Persons participating in the work, including plant operators and contractors are fully briefed and respective responsibilities confirmed where applicable in accordance with established procedures </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1.12</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Road signs, barriers and warning devices are positi</w:t>
            </w:r>
            <w:r w:rsidRPr="000E333C">
              <w:t xml:space="preserve">oned in accordance with requirements </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w:t>
            </w:r>
          </w:p>
        </w:tc>
        <w:tc>
          <w:tcPr>
            <w:tcW w:w="2296" w:type="dxa"/>
            <w:vMerge w:val="restart"/>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Control odourisation</w:t>
            </w: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2.1</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OHS and sustainable energy principles and practices to reduce the incidents of accidents and minimise waste are followed in accordance with requirements and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2.2</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Lifting, climbing, working in confined spaces or aloft, and use of power tools, techniques and practices are safely followed and currency according to requirements confirmed</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2.3</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Essential Knowledge and Associated Skills are applied to the control of gas</w:t>
            </w:r>
            <w:r w:rsidRPr="000E333C">
              <w:t xml:space="preserve"> odourisation to ensure completion in an agreed timeframe and to quality standards with a minimum of waste according to requirements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2.4</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Performing the control of gas odourisation is carried out in accordance with the work schedule and established procedures </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2.5</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Odourant is handled and transported and potential hazards, safety risks and control measures are monitored and preventative ac</w:t>
            </w:r>
            <w:r w:rsidRPr="000E333C">
              <w:t xml:space="preserve">tion taken in accordance with requirements and established procedures </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2.6</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Unplanned events in the control of gas odourisation are undertaken with the scope of established procedures </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2.7</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Known solutions to a variety of problems are applied using acq</w:t>
            </w:r>
            <w:r w:rsidRPr="000E333C">
              <w:t>uired Essential Knowledge and Associated Skills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2.8</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Emergency shutdown procedures are applied and ongoing checks of quality of the work are undertaken in accordance with given instructions and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w:t>
            </w:r>
          </w:p>
        </w:tc>
        <w:tc>
          <w:tcPr>
            <w:tcW w:w="2296" w:type="dxa"/>
            <w:vMerge w:val="restart"/>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Shutdown odourisation operations</w:t>
            </w: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3.1</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Shutdown is completed against works schedule for conformance with requirements and anomalies reported in accordance with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3.2</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Accidents and injuries are reported in accordance with requirements/established procedures where appl</w:t>
            </w:r>
            <w:r w:rsidRPr="000E333C">
              <w:t>icable</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3.3</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Work site is rehabilitated, cleaned up and made safe in accordance with given instructions and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3.4</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Tools, equipment and any surplus resources and materials are, where appropriate, cleaned, checked and returned to storage in accordance with established procedures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3.5</w:t>
            </w:r>
          </w:p>
        </w:tc>
        <w:tc>
          <w:tcPr>
            <w:tcW w:w="48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Relevant work permit(s) are signed off and equipment is returned to service in accord</w:t>
            </w:r>
            <w:r w:rsidRPr="000E333C">
              <w:t>ance with requirements</w:t>
            </w:r>
          </w:p>
        </w:tc>
      </w:tr>
      <w:tr w:rsidTr="0020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3.6</w:t>
            </w:r>
          </w:p>
        </w:tc>
        <w:tc>
          <w:tcPr>
            <w:tcW w:w="48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Work completion records, reports as installed/modified drawings and documentation and information are finalised and processed and appropriate persons notified</w:t>
            </w:r>
          </w:p>
        </w:tc>
      </w:tr>
    </w:tbl>
    <w:p w:rsidR="00204D39" w:rsidP="000E333C">
      <w:pPr>
        <w:pStyle w:val="BodyText"/>
      </w:pPr>
    </w:p>
    <w:p w:rsidR="00204D39" w:rsidP="000E333C">
      <w:pPr>
        <w:pStyle w:val="BodyText"/>
      </w:pPr>
    </w:p>
    <w:p w:rsidR="00000000" w:rsidRPr="000E333C" w:rsidP="000E333C">
      <w:pPr>
        <w:pStyle w:val="Heading1"/>
      </w:pPr>
      <w:bookmarkStart w:id="9" w:name="O_263584"/>
      <w:bookmarkEnd w:id="9"/>
      <w:r w:rsidRPr="000E333C">
        <w:t>Required Skills and Knowledge</w:t>
      </w:r>
    </w:p>
    <w:tbl>
      <w:tblPr>
        <w:tblW w:w="0" w:type="auto"/>
        <w:tblLayout w:type="fixed"/>
        <w:tblCellMar>
          <w:left w:w="62" w:type="dxa"/>
          <w:right w:w="62" w:type="dxa"/>
        </w:tblCellMar>
        <w:tblLook w:val="0000"/>
      </w:tblPr>
      <w:tblGrid>
        <w:gridCol w:w="2700"/>
        <w:gridCol w:w="1080"/>
        <w:gridCol w:w="4680"/>
      </w:tblGrid>
      <w:tr w:rsidTr="00204D3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REQUIRED SKILLS AND KNOWLEDGE</w:t>
            </w:r>
          </w:p>
        </w:tc>
      </w:tr>
      <w:tr w:rsidTr="00204D3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6</w:t>
            </w:r>
            <w:r w:rsidRPr="000E333C">
              <w:t>) This describes the essential skills and knowledge and their level, required for this unit.</w:t>
            </w:r>
          </w:p>
        </w:tc>
      </w:tr>
      <w:tr w:rsidTr="00204D3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Evidence shall show that knowledge has been acquired of safe working practices for controlling gas odourisation. The extent of the essential knowledge and associated skills (EKAS) required is given in Volume 2 - Part 2.2 EKAS.  It forms an integral part of</w:t>
            </w:r>
            <w:r w:rsidRPr="000E333C">
              <w:t xml:space="preserve"> this unit.</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G 3.2.42</w:t>
            </w:r>
          </w:p>
        </w:tc>
        <w:tc>
          <w:tcPr>
            <w:tcW w:w="468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Plan and prepare to odorise gas</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G 3.2.43</w:t>
            </w:r>
          </w:p>
        </w:tc>
        <w:tc>
          <w:tcPr>
            <w:tcW w:w="468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Control gas odourisation</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G 3.2.44</w:t>
            </w:r>
          </w:p>
        </w:tc>
        <w:tc>
          <w:tcPr>
            <w:tcW w:w="468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Shutdown gas odourisation operations</w:t>
            </w:r>
          </w:p>
        </w:tc>
      </w:tr>
    </w:tbl>
    <w:p w:rsidR="00204D39" w:rsidP="000E333C">
      <w:pPr>
        <w:pStyle w:val="BodyText"/>
      </w:pPr>
    </w:p>
    <w:p w:rsidR="00204D39" w:rsidP="000E333C">
      <w:pPr>
        <w:pStyle w:val="BodyText"/>
      </w:pPr>
    </w:p>
    <w:p w:rsidR="00000000" w:rsidRPr="000E333C" w:rsidP="000E333C">
      <w:pPr>
        <w:pStyle w:val="Heading1"/>
      </w:pPr>
      <w:bookmarkStart w:id="10" w:name="O_247776"/>
      <w:bookmarkEnd w:id="10"/>
      <w:r w:rsidRPr="000E333C">
        <w:t>Evidence Guide</w:t>
      </w:r>
    </w:p>
    <w:tbl>
      <w:tblPr>
        <w:tblW w:w="0" w:type="auto"/>
        <w:tblLayout w:type="fixed"/>
        <w:tblCellMar>
          <w:left w:w="62" w:type="dxa"/>
          <w:right w:w="62" w:type="dxa"/>
        </w:tblCellMar>
        <w:tblLook w:val="0000"/>
      </w:tblPr>
      <w:tblGrid>
        <w:gridCol w:w="2160"/>
        <w:gridCol w:w="540"/>
        <w:gridCol w:w="900"/>
        <w:gridCol w:w="360"/>
        <w:gridCol w:w="1440"/>
        <w:gridCol w:w="1497"/>
        <w:gridCol w:w="1563"/>
      </w:tblGrid>
      <w:tr w:rsidTr="00204D39">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EVIDENCE GUIDE</w:t>
            </w:r>
          </w:p>
        </w:tc>
      </w:tr>
      <w:tr w:rsidTr="00204D39">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8</w:t>
            </w:r>
            <w:r w:rsidRPr="000E333C">
              <w:t>) The Evidence Guide forms an integral part of this Unit and shall be used in conjunction with all components parts of this unit and performed in accordance with the Assessment Guidelines of this Training Package.</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8</w:t>
            </w:r>
            <w:r w:rsidRPr="000E333C">
              <w:t>.</w:t>
            </w:r>
            <w:r w:rsidRPr="000E333C">
              <w:rPr>
                <w:rStyle w:val="SpecialBold"/>
              </w:rPr>
              <w:t>1</w:t>
            </w:r>
            <w:r w:rsidRPr="000E333C">
              <w:t xml:space="preserve">) </w:t>
            </w:r>
          </w:p>
          <w:p w:rsidR="00000000" w:rsidRPr="000E333C" w:rsidP="000E333C">
            <w:pPr>
              <w:pStyle w:val="BodyText"/>
            </w:pPr>
            <w:r w:rsidRPr="000E333C">
              <w:t>Longit</w:t>
            </w:r>
            <w:r w:rsidRPr="000E333C">
              <w:t>udinal competency development approaches to assessment, such as Profiling, require data to be reliably gathered in a form that can be consistently interpreted over time. This approach is best utilised in Apprenticeship programs and reduces assessment inter</w:t>
            </w:r>
            <w:r w:rsidRPr="000E333C">
              <w:t xml:space="preserve">vention. It is the Industry's preferred model for apprenticeships. However, where summative (or final) assessment is used it is to include the application of the competency in the normal work environment or, at a minimum, the application of the competency </w:t>
            </w:r>
            <w:r w:rsidRPr="000E333C">
              <w:t>in a realistically simulated work environment. It is recognised that, in some circumstances, assessment in part or full can occur outside the workplace. However, it must be in accord with industry and regulatory policy in this regard.</w:t>
            </w:r>
          </w:p>
          <w:p w:rsidR="00000000" w:rsidRPr="000E333C" w:rsidP="000E333C">
            <w:pPr>
              <w:pStyle w:val="BodyText"/>
            </w:pPr>
            <w:r w:rsidRPr="000E333C">
              <w:t xml:space="preserve">Methods chosen for a </w:t>
            </w:r>
            <w:r w:rsidRPr="000E333C">
              <w:t>particular assessment will be influenced by various factors. These include the extent of the assessment, the most effective locations for the assessment activities to take place, access to physical resources, additional safety measures that may be required</w:t>
            </w:r>
            <w:r w:rsidRPr="000E333C">
              <w:t xml:space="preserve"> and the critical nature of the competencies being assessed.</w:t>
            </w:r>
          </w:p>
          <w:p w:rsidR="00000000" w:rsidRPr="000E333C" w:rsidP="000E333C">
            <w:pPr>
              <w:pStyle w:val="BodyText"/>
            </w:pPr>
            <w:r w:rsidRPr="000E333C">
              <w:t xml:space="preserve">The critical safety nature of working with electricity, electrical equipment, gas or any other hazardous substance/material carries risk in deeming a person competent. Hence, sources of evidence </w:t>
            </w:r>
            <w:r w:rsidRPr="000E333C">
              <w:t>need to be 'rich' in nature so as to minimise error in judgment.</w:t>
            </w:r>
          </w:p>
          <w:p w:rsidR="00000000" w:rsidP="000E333C">
            <w:pPr>
              <w:pStyle w:val="BodyText"/>
              <w:rPr>
                <w:lang w:val="en-NZ"/>
              </w:rPr>
            </w:pPr>
            <w:r w:rsidRPr="000E333C">
              <w:t>Activities associated with normal every day work have a bearing on the decision as to how much and how detailed the data gathered will contribute to its 'richness'. Some skills are more criti</w:t>
            </w:r>
            <w:r w:rsidRPr="000E333C">
              <w:t>cal to safety and operational requirements while the same skills may be more or less frequently practised. These points are raised for the assessors to consider when choosing an assessment method and developing assessment instruments. Sample assessment ins</w:t>
            </w:r>
            <w:r w:rsidRPr="000E333C">
              <w:t>truments are included in the Assessment Guidelines of this Training Package.</w:t>
            </w:r>
          </w:p>
        </w:tc>
      </w:tr>
      <w:tr w:rsidTr="00204D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8</w:t>
            </w:r>
            <w:r w:rsidRPr="000E333C">
              <w:t>.</w:t>
            </w:r>
            <w:r w:rsidRPr="000E333C">
              <w:rPr>
                <w:rStyle w:val="SpecialBold"/>
              </w:rPr>
              <w:t>2</w:t>
            </w:r>
            <w:r w:rsidRPr="000E333C">
              <w:t xml:space="preserve">) </w:t>
            </w:r>
          </w:p>
          <w:p w:rsidR="00000000" w:rsidP="000E333C">
            <w:pPr>
              <w:pStyle w:val="BodyText"/>
              <w:rPr>
                <w:lang w:val="en-NZ"/>
              </w:rPr>
            </w:pPr>
            <w:r w:rsidRPr="000E333C">
              <w:t>Before the critical aspects of evidence are considered all prerequisites shall be met.</w:t>
            </w:r>
          </w:p>
        </w:tc>
      </w:tr>
      <w:tr w:rsidTr="00204D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Evidence for competence in this unit shall be considered holistically. Each element and associated Performance Criteria shall be demonstrated on at least two occasions in accordance with the 'Assessment Guidelines  UEG06'. Evidence shall also comprise:</w:t>
            </w:r>
            <w:r w:rsidRPr="000E333C">
              <w:t xml:space="preserve"> </w:t>
            </w:r>
          </w:p>
          <w:p w:rsidR="00000000" w:rsidP="000E333C">
            <w:pPr>
              <w:pStyle w:val="ListBullet"/>
              <w:rPr>
                <w:lang w:val="en-NZ"/>
              </w:rPr>
            </w:pPr>
            <w:r w:rsidRPr="000E333C">
              <w:t>A representative body of Performance Criteria demonstrated within the timeframes typically expected of the discipline, work function and industrial environment. In particular this shall incorporate evidence that shows a candidate is able to:</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0E333C" w:rsidP="000E333C">
            <w:pPr>
              <w:pStyle w:val="ListBullet2"/>
            </w:pPr>
            <w:r w:rsidRPr="000E333C">
              <w:t>Implement Occupational Health and Safety workplace procedures and practices including the use of risk control measures as specified in the Performance Criteria and range</w:t>
            </w:r>
          </w:p>
          <w:p w:rsidR="00000000" w:rsidRPr="000E333C" w:rsidP="000E333C">
            <w:pPr>
              <w:pStyle w:val="ListBullet2"/>
            </w:pPr>
            <w:r w:rsidRPr="000E333C">
              <w:t>Apply sustainable energy principles and practices as specified in the Performance Criteria and range</w:t>
            </w:r>
          </w:p>
          <w:p w:rsidR="00000000" w:rsidRPr="000E333C" w:rsidP="000E333C">
            <w:pPr>
              <w:pStyle w:val="ListBullet2"/>
            </w:pPr>
            <w:r w:rsidRPr="000E333C">
              <w:t>Demonstrate an understanding of the essential knowledge and associated skills as described in this unit to such an extent that the learner's performance ou</w:t>
            </w:r>
            <w:r w:rsidRPr="000E333C">
              <w:t>tcome is reported in accordance with the preferred approach; namely a percentile graded result, where required by the regulated environment</w:t>
            </w:r>
          </w:p>
          <w:p w:rsidR="00000000" w:rsidRPr="000E333C" w:rsidP="000E333C">
            <w:pPr>
              <w:pStyle w:val="ListBullet2"/>
            </w:pPr>
            <w:r w:rsidRPr="000E333C">
              <w:t>Demonstrate an appropriate level of skills enabling employment</w:t>
            </w:r>
          </w:p>
          <w:p w:rsidR="00000000" w:rsidP="000E333C">
            <w:pPr>
              <w:pStyle w:val="ListBullet2"/>
              <w:rPr>
                <w:lang w:val="en-NZ"/>
              </w:rPr>
            </w:pPr>
            <w:r w:rsidRPr="000E333C">
              <w:t>Conduct work observing the relevant Anti discriminati</w:t>
            </w:r>
            <w:r w:rsidRPr="000E333C">
              <w:t>on legislation, regulations, polices and workplace procedures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E333C">
            <w:pPr>
              <w:pStyle w:val="ListBullet2"/>
              <w:rPr>
                <w:lang w:val="en-NZ"/>
              </w:rPr>
            </w:pPr>
            <w:r w:rsidRPr="000E333C">
              <w:t>Demonstrate performance across a representative range of contexts from the prescribed items below:</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0E333C">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rPr>
                <w:rStyle w:val="SpecialBold"/>
              </w:rPr>
              <w:t>Range of tools</w:t>
            </w:r>
            <w:r w:rsidRPr="000E333C">
              <w:t>/</w:t>
            </w:r>
            <w:r w:rsidRPr="000E333C">
              <w:rPr>
                <w:rStyle w:val="SpecialBold"/>
              </w:rPr>
              <w:t>equipment</w:t>
            </w:r>
            <w:r w:rsidRPr="000E333C">
              <w:t>/</w:t>
            </w:r>
            <w:r w:rsidRPr="000E333C">
              <w:rPr>
                <w:rStyle w:val="SpecialBold"/>
              </w:rPr>
              <w:t>procedures</w:t>
            </w:r>
            <w:r w:rsidRPr="000E333C">
              <w:t>/</w:t>
            </w:r>
            <w:r w:rsidRPr="000E333C">
              <w:rPr>
                <w:rStyle w:val="SpecialBold"/>
              </w:rPr>
              <w:t>workplaces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0E333C">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rPr>
                <w:rStyle w:val="SpecialBold"/>
              </w:rPr>
              <w:t>Item List</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t>Interpret technical drawings and symbols</w:t>
            </w:r>
          </w:p>
          <w:p w:rsidR="00000000" w:rsidRPr="000E333C" w:rsidP="000E333C">
            <w:pPr>
              <w:pStyle w:val="BodyText"/>
            </w:pPr>
            <w:r w:rsidRPr="000E333C">
              <w:t>Ensure emergency response procedures are in place</w:t>
            </w:r>
          </w:p>
          <w:p w:rsidR="00000000" w:rsidRPr="000E333C" w:rsidP="000E333C">
            <w:pPr>
              <w:pStyle w:val="BodyText"/>
            </w:pPr>
            <w:r w:rsidRPr="000E333C">
              <w:t>Communicate with other authorities and stakeholders</w:t>
            </w:r>
          </w:p>
          <w:p w:rsidR="00000000" w:rsidRPr="000E333C" w:rsidP="000E333C">
            <w:pPr>
              <w:pStyle w:val="BodyText"/>
            </w:pPr>
            <w:r w:rsidRPr="000E333C">
              <w:t>Communicate schedules/coordinate to persons</w:t>
            </w:r>
          </w:p>
          <w:p w:rsidR="00000000" w:rsidRPr="000E333C" w:rsidP="000E333C">
            <w:pPr>
              <w:pStyle w:val="BodyText"/>
            </w:pPr>
            <w:r w:rsidRPr="000E333C">
              <w:t>Carry out job safety analysis</w:t>
            </w:r>
          </w:p>
          <w:p w:rsidR="00000000" w:rsidP="000E333C">
            <w:pPr>
              <w:pStyle w:val="BodyText"/>
              <w:rPr>
                <w:lang w:val="en-NZ"/>
              </w:rPr>
            </w:pPr>
            <w:r w:rsidRPr="000E333C">
              <w:t>Obtain work permit</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t>Operational safety</w:t>
            </w:r>
          </w:p>
          <w:p w:rsidR="00000000" w:rsidRPr="000E333C" w:rsidP="000E333C">
            <w:pPr>
              <w:pStyle w:val="BodyText"/>
            </w:pPr>
            <w:r w:rsidRPr="000E333C">
              <w:t xml:space="preserve">Understanding of environmental and OHS legislation </w:t>
            </w:r>
          </w:p>
          <w:p w:rsidR="00000000" w:rsidRPr="000E333C" w:rsidP="000E333C">
            <w:pPr>
              <w:pStyle w:val="BodyText"/>
            </w:pPr>
            <w:r w:rsidRPr="000E333C">
              <w:t>Interpret MSDS</w:t>
            </w:r>
          </w:p>
          <w:p w:rsidR="00000000" w:rsidRPr="000E333C" w:rsidP="000E333C">
            <w:pPr>
              <w:pStyle w:val="BodyText"/>
            </w:pPr>
            <w:r w:rsidRPr="000E333C">
              <w:t xml:space="preserve">Use of gas detection equipment </w:t>
            </w:r>
          </w:p>
          <w:p w:rsidR="00000000" w:rsidRPr="000E333C" w:rsidP="000E333C">
            <w:pPr>
              <w:pStyle w:val="BodyText"/>
            </w:pPr>
            <w:r w:rsidRPr="000E333C">
              <w:t>Correct odourant levels</w:t>
            </w:r>
          </w:p>
          <w:p w:rsidR="00000000" w:rsidP="000E333C">
            <w:pPr>
              <w:pStyle w:val="BodyText"/>
              <w:rPr>
                <w:lang w:val="en-NZ"/>
              </w:rPr>
            </w:pPr>
            <w:r w:rsidRPr="000E333C">
              <w:t>Waste management procedures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At least 6</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t>Tools and equipment:</w:t>
            </w:r>
          </w:p>
          <w:p w:rsidR="00000000" w:rsidRPr="000E333C" w:rsidP="000E333C">
            <w:pPr>
              <w:pStyle w:val="BodyText"/>
            </w:pPr>
            <w:r w:rsidRPr="000E333C">
              <w:t>Odourmeter</w:t>
            </w:r>
          </w:p>
          <w:p w:rsidR="00000000" w:rsidRPr="000E333C" w:rsidP="000E333C">
            <w:pPr>
              <w:pStyle w:val="BodyText"/>
            </w:pPr>
            <w:r w:rsidRPr="000E333C">
              <w:t>Lance, hoses, regulators</w:t>
            </w:r>
          </w:p>
          <w:p w:rsidR="00000000" w:rsidRPr="000E333C" w:rsidP="000E333C">
            <w:pPr>
              <w:pStyle w:val="BodyText"/>
            </w:pPr>
            <w:r w:rsidRPr="000E333C">
              <w:t>Emergency response kit including absorption material</w:t>
            </w:r>
          </w:p>
          <w:p w:rsidR="00000000" w:rsidRPr="000E333C" w:rsidP="000E333C">
            <w:pPr>
              <w:pStyle w:val="BodyText"/>
            </w:pPr>
            <w:r w:rsidRPr="000E333C">
              <w:t>Sodium hypochlorite (neutraliser)</w:t>
            </w:r>
          </w:p>
          <w:p w:rsidR="00000000" w:rsidRPr="000E333C" w:rsidP="000E333C">
            <w:pPr>
              <w:pStyle w:val="BodyText"/>
            </w:pPr>
            <w:r w:rsidRPr="000E333C">
              <w:t>Marking agent</w:t>
            </w:r>
          </w:p>
          <w:p w:rsidR="00000000" w:rsidRPr="000E333C" w:rsidP="000E333C">
            <w:pPr>
              <w:pStyle w:val="BodyText"/>
            </w:pPr>
            <w:r w:rsidRPr="000E333C">
              <w:t>Level indicator (magnetic detector)</w:t>
            </w:r>
          </w:p>
          <w:p w:rsidR="00000000" w:rsidRPr="000E333C" w:rsidP="000E333C">
            <w:pPr>
              <w:pStyle w:val="BodyText"/>
            </w:pPr>
            <w:r w:rsidRPr="000E333C">
              <w:t>Fire control systems</w:t>
            </w:r>
          </w:p>
          <w:p w:rsidR="00000000" w:rsidRPr="000E333C" w:rsidP="000E333C">
            <w:pPr>
              <w:pStyle w:val="BodyText"/>
            </w:pPr>
            <w:r w:rsidRPr="000E333C">
              <w:t>Emergency container</w:t>
            </w:r>
          </w:p>
          <w:p w:rsidR="00000000" w:rsidRPr="000E333C" w:rsidP="000E333C">
            <w:pPr>
              <w:pStyle w:val="BodyText"/>
            </w:pPr>
            <w:r w:rsidRPr="000E333C">
              <w:t>Transfer pump</w:t>
            </w:r>
          </w:p>
          <w:p w:rsidR="00000000" w:rsidP="000E333C">
            <w:pPr>
              <w:pStyle w:val="BodyText"/>
              <w:rPr>
                <w:lang w:val="en-NZ"/>
              </w:rPr>
            </w:pPr>
            <w:r w:rsidRPr="000E333C">
              <w:t>Molecular sieve for venting</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Deal with an unplanned event by drawing on essential knowledge and associated skills to provide appropriate solutions incorporated in the holist</w:t>
            </w:r>
            <w:r w:rsidRPr="000E333C">
              <w:t xml:space="preserve">ic assessment with the above listed items </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8</w:t>
            </w:r>
            <w:r w:rsidRPr="000E333C">
              <w:t>.</w:t>
            </w:r>
            <w:r w:rsidRPr="000E333C">
              <w:rPr>
                <w:rStyle w:val="SpecialBold"/>
              </w:rPr>
              <w:t>3</w:t>
            </w:r>
            <w:r w:rsidRPr="000E333C">
              <w:t xml:space="preserve">) </w:t>
            </w:r>
          </w:p>
          <w:p w:rsidR="00000000" w:rsidRPr="000E333C" w:rsidP="000E333C">
            <w:pPr>
              <w:pStyle w:val="BodyText"/>
            </w:pPr>
            <w:r w:rsidRPr="000E333C">
              <w:t>This unit should be assessed as it relates to normal work practice using procedures, information and resources typical of a workplace. This should include:</w:t>
            </w:r>
          </w:p>
          <w:p w:rsidR="00000000" w:rsidRPr="000E333C" w:rsidP="000E333C">
            <w:pPr>
              <w:pStyle w:val="ListBullet"/>
            </w:pPr>
            <w:r w:rsidRPr="000E333C">
              <w:t>OHS policy and work procedures and instructions.</w:t>
            </w:r>
          </w:p>
          <w:p w:rsidR="00000000" w:rsidRPr="000E333C" w:rsidP="000E333C">
            <w:pPr>
              <w:pStyle w:val="ListBullet"/>
            </w:pPr>
            <w:r w:rsidRPr="000E333C">
              <w:t>Suitable work environment, facilities, equipment and materials to undertake actual work as prescribed by this unit.</w:t>
            </w:r>
          </w:p>
          <w:p w:rsidR="00000000" w:rsidRPr="000E333C" w:rsidP="000E333C">
            <w:pPr>
              <w:pStyle w:val="ListBullet"/>
            </w:pPr>
            <w:r w:rsidRPr="000E333C">
              <w:t>Appropriate environmental regulation and work practices.</w:t>
            </w:r>
          </w:p>
          <w:p w:rsidR="00000000" w:rsidRPr="000E333C" w:rsidP="000E333C">
            <w:pPr>
              <w:pStyle w:val="ListBullet"/>
            </w:pPr>
            <w:r w:rsidRPr="000E333C">
              <w:t>Appropriate organisational requir</w:t>
            </w:r>
            <w:r w:rsidRPr="000E333C">
              <w:t>ements.</w:t>
            </w:r>
          </w:p>
          <w:p w:rsidR="00000000" w:rsidP="000E333C">
            <w:pPr>
              <w:pStyle w:val="ListBullet"/>
              <w:rPr>
                <w:lang w:val="en-NZ"/>
              </w:rPr>
            </w:pPr>
            <w:r w:rsidRPr="000E333C">
              <w:t xml:space="preserve">Appropriate work environment, equipment and tools. </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In addition to the resources listed above, in Context of and specific resources for assessment, evidence should show demonstrated competency in controlling gas odourisation.</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Assessment of this competency must also be undertaken in either an actual workplace or under a simulated work environment. Assessment must also integrate the key competencies.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8</w:t>
            </w:r>
            <w:r w:rsidRPr="000E333C">
              <w:t>.</w:t>
            </w:r>
            <w:r w:rsidRPr="000E333C">
              <w:rPr>
                <w:rStyle w:val="SpecialBold"/>
              </w:rPr>
              <w:t>4</w:t>
            </w:r>
            <w:r w:rsidRPr="000E333C">
              <w:t xml:space="preserve">) </w:t>
            </w:r>
          </w:p>
          <w:p w:rsidR="00000000" w:rsidRPr="000E333C" w:rsidP="000E333C">
            <w:pPr>
              <w:pStyle w:val="BodyText"/>
            </w:pPr>
            <w:r w:rsidRPr="000E333C">
              <w:t>This Unit shall be assessed by methods given in</w:t>
            </w:r>
            <w:r w:rsidRPr="000E333C">
              <w:t xml:space="preserve"> Volume 1, Part 3 'Assessment Guidelines'.</w:t>
            </w:r>
          </w:p>
          <w:p w:rsidR="00000000" w:rsidP="000E333C">
            <w:pPr>
              <w:pStyle w:val="BodyText"/>
              <w:rPr>
                <w:lang w:val="en-NZ"/>
              </w:rPr>
            </w:pPr>
            <w:r w:rsidRPr="000E333C">
              <w:t>Note:</w:t>
            </w:r>
            <w:r w:rsidRPr="000E333C">
              <w:br/>
              <w:t>Competent performance with inherent safe working practices is expected in the Industry to which this Unit applies. This requires that the specified Essential Knowledge and Associated Skills are assessed in a</w:t>
            </w:r>
            <w:r w:rsidRPr="000E333C">
              <w:t xml:space="preserve"> structured environment which is primarily intended for learning/assessment and incorporates all necessary equipment and facilities for learners to develop and demonstrate the Essential Knowledge and Associated Skills described in this unit.</w:t>
            </w:r>
          </w:p>
        </w:tc>
      </w:tr>
      <w:tr w:rsidTr="00204D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Concurre</w:t>
            </w:r>
            <w:r w:rsidRPr="000E333C">
              <w:rPr>
                <w:rStyle w:val="SpecialBold"/>
              </w:rPr>
              <w:t>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8</w:t>
            </w:r>
            <w:r w:rsidRPr="000E333C">
              <w:t>.</w:t>
            </w:r>
            <w:r w:rsidRPr="000E333C">
              <w:rPr>
                <w:rStyle w:val="SpecialBold"/>
              </w:rPr>
              <w:t>5</w:t>
            </w:r>
            <w:r w:rsidRPr="000E333C">
              <w:t xml:space="preserve">) </w:t>
            </w:r>
          </w:p>
        </w:tc>
      </w:tr>
      <w:tr w:rsidTr="00204D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There are no recommended concurrent assessments with this unit, however in some cases efficiencies may be gained in terms of learning and assessment </w:t>
            </w:r>
            <w:r w:rsidRPr="000E333C">
              <w:t>effort being concurrently managed with allied Units where listed.</w:t>
            </w:r>
          </w:p>
        </w:tc>
      </w:tr>
      <w:tr w:rsidTr="00204D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UEGNSG102A </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Carry out work activities in a utilities industry work environment</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UEGNSG103A </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Comply with workplace OHS procedures and practices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UEGNSG104A </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Comply with environmental policies and procedures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 xml:space="preserve">UEGNSG105A </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Establish the work site</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BSBCMN302A</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Organise personal work priorities and professional development</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BSBFLM312A</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Contribute to team effectiveness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BSBFLM303A</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Contribute to effective workplace relationships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BSBCMN311A</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Maintain workplace safety</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Or, the following Units Of Competency:</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BSBFLM405A</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Implement operational plans</w:t>
            </w:r>
          </w:p>
        </w:tc>
      </w:tr>
      <w:tr w:rsidTr="0020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BSBCMN411A</w:t>
            </w:r>
          </w:p>
        </w:tc>
        <w:tc>
          <w:tcPr>
            <w:tcW w:w="4500" w:type="dxa"/>
            <w:gridSpan w:val="3"/>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Monitor a safe workplace</w:t>
            </w:r>
          </w:p>
        </w:tc>
      </w:tr>
      <w:tr w:rsidTr="00204D3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E333C" w:rsidP="000E333C">
            <w:pPr>
              <w:pStyle w:val="BodyText"/>
            </w:pPr>
            <w:r w:rsidRPr="000E333C">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8</w:t>
            </w:r>
            <w:r w:rsidRPr="000E333C">
              <w:t>.</w:t>
            </w:r>
            <w:r w:rsidRPr="000E333C">
              <w:rPr>
                <w:rStyle w:val="SpecialBold"/>
              </w:rPr>
              <w:t>6</w:t>
            </w:r>
            <w:r w:rsidRPr="000E333C">
              <w:t xml:space="preserve">) </w:t>
            </w:r>
          </w:p>
          <w:p w:rsidR="00000000" w:rsidP="000E333C">
            <w:pPr>
              <w:pStyle w:val="BodyText"/>
              <w:rPr>
                <w:lang w:val="en-NZ"/>
              </w:rPr>
            </w:pPr>
            <w:r w:rsidRPr="000E333C">
              <w:t>Evidence that particular key competencies have been achieved within this Unit is in the context of the following Performance Criteria of evidence. See Volume 2, Part 4 for an explanation of Key Competencies and levels of this Training Package.</w:t>
            </w:r>
          </w:p>
        </w:tc>
      </w:tr>
      <w:tr w:rsidTr="00204D3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rPr>
                <w:rStyle w:val="SpecialBold"/>
              </w:rPr>
              <w:t>Performance Level</w:t>
            </w:r>
          </w:p>
        </w:tc>
      </w:tr>
      <w:tr w:rsidTr="00204D3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p w:rsidR="00000000" w:rsidP="000E333C">
            <w:pPr>
              <w:pStyle w:val="BodyText"/>
              <w:rPr>
                <w:lang w:val="en-NZ"/>
              </w:rPr>
            </w:pPr>
            <w:r w:rsidRPr="000E333C">
              <w:t>3</w:t>
            </w:r>
          </w:p>
        </w:tc>
      </w:tr>
      <w:tr w:rsidTr="00204D3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p>
        </w:tc>
      </w:tr>
      <w:tr w:rsidTr="00204D3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p w:rsidR="00000000" w:rsidP="000E333C">
            <w:pPr>
              <w:pStyle w:val="BodyText"/>
              <w:rPr>
                <w:lang w:val="en-NZ"/>
              </w:rPr>
            </w:pPr>
            <w:r w:rsidRPr="000E333C">
              <w:t>2</w:t>
            </w:r>
          </w:p>
        </w:tc>
      </w:tr>
      <w:tr w:rsidTr="00204D3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p>
        </w:tc>
      </w:tr>
      <w:tr w:rsidTr="00204D3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p w:rsidR="00000000" w:rsidP="000E333C">
            <w:pPr>
              <w:pStyle w:val="BodyText"/>
              <w:rPr>
                <w:lang w:val="en-NZ"/>
              </w:rPr>
            </w:pPr>
            <w:r w:rsidRPr="000E333C">
              <w:t>2</w:t>
            </w:r>
          </w:p>
        </w:tc>
      </w:tr>
      <w:tr w:rsidTr="00204D3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p>
        </w:tc>
      </w:tr>
      <w:tr w:rsidTr="00204D3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p w:rsidR="00000000" w:rsidP="000E333C">
            <w:pPr>
              <w:pStyle w:val="BodyText"/>
              <w:rPr>
                <w:lang w:val="en-NZ"/>
              </w:rPr>
            </w:pPr>
            <w:r w:rsidRPr="000E333C">
              <w:t>1</w:t>
            </w:r>
          </w:p>
        </w:tc>
      </w:tr>
      <w:tr w:rsidTr="00204D3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p>
        </w:tc>
      </w:tr>
      <w:tr w:rsidTr="00204D3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p w:rsidR="00000000" w:rsidP="000E333C">
            <w:pPr>
              <w:pStyle w:val="BodyText"/>
              <w:rPr>
                <w:lang w:val="en-NZ"/>
              </w:rPr>
            </w:pPr>
            <w:r w:rsidRPr="000E333C">
              <w:t>N/A</w:t>
            </w:r>
          </w:p>
        </w:tc>
      </w:tr>
      <w:tr w:rsidTr="00204D3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p>
        </w:tc>
      </w:tr>
      <w:tr w:rsidTr="00204D3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p w:rsidR="00000000" w:rsidP="000E333C">
            <w:pPr>
              <w:pStyle w:val="BodyText"/>
              <w:rPr>
                <w:lang w:val="en-NZ"/>
              </w:rPr>
            </w:pPr>
            <w:r w:rsidRPr="000E333C">
              <w:t>2</w:t>
            </w:r>
          </w:p>
        </w:tc>
      </w:tr>
      <w:tr w:rsidTr="00204D3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p>
        </w:tc>
      </w:tr>
      <w:tr w:rsidTr="00204D3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p w:rsidR="00000000" w:rsidP="000E333C">
            <w:pPr>
              <w:pStyle w:val="BodyText"/>
              <w:rPr>
                <w:lang w:val="en-NZ"/>
              </w:rPr>
            </w:pPr>
            <w:r w:rsidRPr="000E333C">
              <w:t>2</w:t>
            </w:r>
          </w:p>
        </w:tc>
      </w:tr>
      <w:tr w:rsidTr="00204D3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p>
        </w:tc>
      </w:tr>
    </w:tbl>
    <w:p w:rsidR="00000000" w:rsidRPr="000E333C" w:rsidP="000E333C">
      <w:pPr>
        <w:pStyle w:val="BodyText"/>
      </w:pPr>
    </w:p>
    <w:tbl>
      <w:tblPr>
        <w:tblW w:w="0" w:type="auto"/>
        <w:tblLayout w:type="fixed"/>
        <w:tblCellMar>
          <w:left w:w="62" w:type="dxa"/>
          <w:right w:w="62" w:type="dxa"/>
        </w:tblCellMar>
        <w:tblLook w:val="0000"/>
      </w:tblPr>
      <w:tblGrid>
        <w:gridCol w:w="326"/>
        <w:gridCol w:w="1834"/>
        <w:gridCol w:w="6300"/>
      </w:tblGrid>
      <w:tr w:rsidTr="00204D39">
        <w:tblPrEx>
          <w:tblW w:w="0" w:type="auto"/>
          <w:tblLayout w:type="fixed"/>
          <w:tblCellMar>
            <w:left w:w="62" w:type="dxa"/>
            <w:right w:w="62" w:type="dxa"/>
          </w:tblCellMar>
          <w:tblLook w:val="0000"/>
        </w:tblPrEx>
        <w:trPr>
          <w:tblHeader/>
        </w:trPr>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E333C" w:rsidP="000E333C">
            <w:pPr>
              <w:pStyle w:val="BodyText"/>
            </w:pPr>
            <w:r w:rsidRPr="000E333C">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E333C" w:rsidP="000E333C">
            <w:pPr>
              <w:pStyle w:val="BodyText"/>
            </w:pPr>
            <w:r w:rsidRPr="000E333C">
              <w:rPr>
                <w:rStyle w:val="SpecialBold"/>
              </w:rPr>
              <w:t>8</w:t>
            </w:r>
            <w:r w:rsidRPr="000E333C">
              <w:t>.</w:t>
            </w:r>
            <w:r w:rsidRPr="000E333C">
              <w:rPr>
                <w:rStyle w:val="SpecialBold"/>
              </w:rPr>
              <w:t>7</w:t>
            </w:r>
            <w:r w:rsidRPr="000E333C">
              <w:t xml:space="preserve">) </w:t>
            </w:r>
          </w:p>
          <w:p w:rsidR="00000000" w:rsidP="000E333C">
            <w:pPr>
              <w:pStyle w:val="BodyText"/>
              <w:rPr>
                <w:lang w:val="en-NZ"/>
              </w:rPr>
            </w:pPr>
            <w:r w:rsidRPr="000E333C">
              <w:t>Evidence that competency in this unit incorporates skills enabling employment is in the context of the following performance.</w:t>
            </w:r>
          </w:p>
        </w:tc>
      </w:tr>
      <w:tr w:rsidTr="00204D3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rPr>
                <w:rStyle w:val="SpecialBold"/>
              </w:rPr>
              <w:t>Example of Application</w:t>
            </w:r>
          </w:p>
        </w:tc>
      </w:tr>
      <w:tr w:rsidTr="00204D3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r>
      <w:tr w:rsidTr="00204D3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All</w:t>
            </w:r>
          </w:p>
        </w:tc>
      </w:tr>
      <w:tr w:rsidTr="00204D3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r>
      <w:tr w:rsidTr="00204D3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2.6; 2.7</w:t>
            </w:r>
          </w:p>
        </w:tc>
      </w:tr>
      <w:tr w:rsidTr="00204D3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 xml:space="preserve">Reflecting on the outcome and </w:t>
            </w:r>
            <w:r w:rsidRPr="000E333C">
              <w:t>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r>
      <w:tr w:rsidTr="00204D3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3.4; 3.6</w:t>
            </w:r>
          </w:p>
        </w:tc>
      </w:tr>
      <w:tr w:rsidTr="00204D3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r>
      <w:tr w:rsidTr="00204D3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1.4; 1.9; 3.6</w:t>
            </w:r>
          </w:p>
        </w:tc>
      </w:tr>
      <w:tr w:rsidTr="00204D3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Refer to the following Performance Criteria for examples of application:</w:t>
            </w:r>
          </w:p>
        </w:tc>
      </w:tr>
      <w:tr w:rsidTr="00204D3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1.4; 1.5; 1.7; 1.9</w:t>
            </w:r>
          </w:p>
        </w:tc>
      </w:tr>
      <w:tr w:rsidTr="00204D3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33C">
            <w:pPr>
              <w:pStyle w:val="BodyText"/>
              <w:rPr>
                <w:lang w:val="en-NZ"/>
              </w:rPr>
            </w:pPr>
            <w:r w:rsidRPr="000E333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33C">
            <w:pPr>
              <w:pStyle w:val="BodyText"/>
              <w:rPr>
                <w:lang w:val="en-NZ"/>
              </w:rPr>
            </w:pPr>
            <w:r w:rsidRPr="000E333C">
              <w:t xml:space="preserve">Refer to the following Performance Criteria </w:t>
            </w:r>
            <w:r w:rsidRPr="000E333C">
              <w:t>for examples of application:</w:t>
            </w:r>
          </w:p>
        </w:tc>
      </w:tr>
      <w:tr w:rsidTr="00204D3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E333C" w:rsidP="000E333C">
            <w:pPr>
              <w:pStyle w:val="BodyText"/>
            </w:pPr>
            <w:r w:rsidRPr="000E333C">
              <w:t>2.6</w:t>
            </w:r>
          </w:p>
        </w:tc>
      </w:tr>
    </w:tbl>
    <w:p w:rsidR="00204D39" w:rsidP="000E333C">
      <w:pPr>
        <w:pStyle w:val="BodyText"/>
      </w:pPr>
    </w:p>
    <w:p w:rsidR="00204D39" w:rsidP="000E333C">
      <w:pPr>
        <w:pStyle w:val="BodyText"/>
      </w:pPr>
    </w:p>
    <w:p w:rsidR="00000000" w:rsidRPr="000E333C" w:rsidP="000E333C">
      <w:pPr>
        <w:pStyle w:val="Heading1"/>
      </w:pPr>
      <w:bookmarkStart w:id="11" w:name="O_255760"/>
      <w:bookmarkEnd w:id="11"/>
      <w:r w:rsidRPr="000E333C">
        <w:t>Range Statement</w:t>
      </w:r>
    </w:p>
    <w:tbl>
      <w:tblPr>
        <w:tblW w:w="0" w:type="auto"/>
        <w:tblLayout w:type="fixed"/>
        <w:tblCellMar>
          <w:left w:w="62" w:type="dxa"/>
          <w:right w:w="62" w:type="dxa"/>
        </w:tblCellMar>
        <w:tblLook w:val="0000"/>
      </w:tblPr>
      <w:tblGrid>
        <w:gridCol w:w="8460"/>
      </w:tblGrid>
      <w:tr w:rsidTr="00204D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RANGE STATEMENT</w:t>
            </w:r>
          </w:p>
        </w:tc>
      </w:tr>
      <w:tr w:rsidTr="00204D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7</w:t>
            </w:r>
            <w:r w:rsidRPr="000E333C">
              <w:t xml:space="preserve">) This relates to the competency standard unit as a whole providing the range of contexts and conditions </w:t>
            </w:r>
            <w:r w:rsidRPr="000E333C">
              <w:t>to which the Performance Criteria apply. It allows for different work environments and situations that will affect performance.</w:t>
            </w:r>
          </w:p>
        </w:tc>
      </w:tr>
      <w:tr w:rsidTr="00204D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This Unit shall/may be demonstrated in relation to controlling gas odourisation.</w:t>
            </w:r>
          </w:p>
          <w:p w:rsidR="00000000" w:rsidRPr="000E333C" w:rsidP="000E333C">
            <w:pPr>
              <w:pStyle w:val="BodyText"/>
            </w:pPr>
            <w:r w:rsidRPr="000E333C">
              <w:t>The following constants and variables included</w:t>
            </w:r>
            <w:r w:rsidRPr="000E333C">
              <w:t xml:space="preserve"> in the element/Performance Criteria in this unit are fully described in the Definitions Section of this volume and form an integral part of the Range Statement of this unit:</w:t>
            </w:r>
          </w:p>
          <w:p w:rsidR="00000000" w:rsidRPr="000E333C" w:rsidP="000E333C">
            <w:pPr>
              <w:pStyle w:val="BodyText"/>
            </w:pPr>
            <w:r w:rsidRPr="000E333C">
              <w:t>Tools and Equipment (3)</w:t>
            </w:r>
          </w:p>
          <w:p w:rsidR="00000000" w:rsidRPr="000E333C" w:rsidP="000E333C">
            <w:pPr>
              <w:pStyle w:val="BodyText"/>
            </w:pPr>
            <w:r w:rsidRPr="000E333C">
              <w:t>Emergency Response (3)</w:t>
            </w:r>
          </w:p>
          <w:p w:rsidR="00000000" w:rsidRPr="000E333C" w:rsidP="000E333C">
            <w:pPr>
              <w:pStyle w:val="BodyText"/>
            </w:pPr>
            <w:r w:rsidRPr="000E333C">
              <w:t>Documentation (3)</w:t>
            </w:r>
          </w:p>
        </w:tc>
      </w:tr>
    </w:tbl>
    <w:p w:rsidR="00204D39" w:rsidP="000E333C">
      <w:pPr>
        <w:pStyle w:val="BodyText"/>
      </w:pPr>
    </w:p>
    <w:p w:rsidR="00204D39" w:rsidP="000E333C">
      <w:pPr>
        <w:pStyle w:val="BodyText"/>
      </w:pPr>
    </w:p>
    <w:p w:rsidR="00000000" w:rsidRPr="000E333C" w:rsidP="000E333C">
      <w:pPr>
        <w:pStyle w:val="Heading1"/>
      </w:pPr>
      <w:bookmarkStart w:id="12" w:name="O_296773"/>
      <w:bookmarkEnd w:id="12"/>
      <w:r w:rsidRPr="000E333C">
        <w:t>Unit Sector(s)</w:t>
      </w:r>
    </w:p>
    <w:p w:rsidR="00000000" w:rsidRPr="000E333C" w:rsidP="000E333C">
      <w:pPr>
        <w:pStyle w:val="BodyText"/>
      </w:pPr>
      <w:r w:rsidRPr="000E333C">
        <w:t>Not Applicable</w:t>
      </w:r>
    </w:p>
    <w:p w:rsidR="00000000" w:rsidRPr="000E333C" w:rsidP="000E333C">
      <w:pPr>
        <w:pStyle w:val="AllowPageBreak"/>
      </w:pPr>
    </w:p>
    <w:p w:rsidR="00000000" w:rsidRPr="000E333C" w:rsidP="000E333C">
      <w:pPr>
        <w:pStyle w:val="Heading1"/>
      </w:pPr>
      <w:bookmarkStart w:id="13" w:name="O_229300"/>
      <w:bookmarkEnd w:id="13"/>
      <w:r w:rsidRPr="000E333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0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2</w:t>
            </w:r>
            <w:r w:rsidRPr="000E333C">
              <w:t>.</w:t>
            </w:r>
            <w:r w:rsidRPr="000E333C">
              <w:rPr>
                <w:rStyle w:val="SpecialBold"/>
              </w:rPr>
              <w:t>2</w:t>
            </w:r>
            <w:r w:rsidRPr="000E333C">
              <w:t xml:space="preserve">) </w:t>
            </w:r>
          </w:p>
          <w:p w:rsidR="00000000" w:rsidP="000E333C">
            <w:pPr>
              <w:pStyle w:val="BodyText"/>
              <w:rPr>
                <w:lang w:val="en-NZ"/>
              </w:rPr>
            </w:pPr>
            <w:r w:rsidRPr="000E333C">
              <w:t>Participants are best equipped to achieve this unit if they have reading, writing and numeracy skills ind</w:t>
            </w:r>
            <w:r w:rsidRPr="000E333C">
              <w:t>icated by the following scales. Description of each scale is given in Volume 2, Part 3 'Literacy and Numeracy'</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Reading</w:t>
            </w:r>
          </w:p>
        </w:tc>
        <w:tc>
          <w:tcPr>
            <w:tcW w:w="805"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w:t>
            </w:r>
          </w:p>
        </w:tc>
        <w:tc>
          <w:tcPr>
            <w:tcW w:w="1184"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Writing</w:t>
            </w:r>
          </w:p>
        </w:tc>
        <w:tc>
          <w:tcPr>
            <w:tcW w:w="805"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3</w:t>
            </w:r>
          </w:p>
        </w:tc>
        <w:tc>
          <w:tcPr>
            <w:tcW w:w="1172"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t>Numeracy</w:t>
            </w:r>
          </w:p>
        </w:tc>
        <w:tc>
          <w:tcPr>
            <w:tcW w:w="805"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3</w:t>
            </w:r>
          </w:p>
        </w:tc>
      </w:tr>
    </w:tbl>
    <w:p w:rsidR="00204D39" w:rsidP="000E333C">
      <w:pPr>
        <w:pStyle w:val="BodyText"/>
      </w:pPr>
    </w:p>
    <w:p w:rsidR="00204D39" w:rsidP="000E333C">
      <w:pPr>
        <w:pStyle w:val="BodyText"/>
      </w:pPr>
    </w:p>
    <w:p w:rsidR="00000000" w:rsidRPr="000E333C" w:rsidP="000E333C">
      <w:pPr>
        <w:pStyle w:val="Heading1"/>
      </w:pPr>
      <w:bookmarkStart w:id="14" w:name="O_229303"/>
      <w:bookmarkEnd w:id="14"/>
      <w:r w:rsidRPr="000E333C">
        <w:t>Competency Field</w:t>
      </w:r>
    </w:p>
    <w:tbl>
      <w:tblPr>
        <w:tblW w:w="0" w:type="auto"/>
        <w:tblLayout w:type="fixed"/>
        <w:tblCellMar>
          <w:left w:w="62" w:type="dxa"/>
          <w:right w:w="62" w:type="dxa"/>
        </w:tblCellMar>
        <w:tblLook w:val="0000"/>
      </w:tblPr>
      <w:tblGrid>
        <w:gridCol w:w="2700"/>
        <w:gridCol w:w="5760"/>
      </w:tblGrid>
      <w:tr w:rsidTr="0020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E333C">
            <w:pPr>
              <w:pStyle w:val="BodyText"/>
              <w:rPr>
                <w:lang w:val="en-NZ"/>
              </w:rPr>
            </w:pPr>
            <w:r w:rsidRPr="000E333C">
              <w:rPr>
                <w:rStyle w:val="SpecialBold"/>
              </w:rPr>
              <w:t>4</w:t>
            </w:r>
            <w:r w:rsidRPr="000E333C">
              <w:t xml:space="preserve">) </w:t>
            </w:r>
          </w:p>
        </w:tc>
      </w:tr>
      <w:tr w:rsidTr="0020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33C" w:rsidP="000E333C">
            <w:pPr>
              <w:pStyle w:val="BodyText"/>
            </w:pPr>
            <w:r w:rsidRPr="000E333C">
              <w:t>Cross discipline.</w:t>
            </w:r>
          </w:p>
        </w:tc>
      </w:tr>
    </w:tbl>
    <w:p w:rsidR="00204D39" w:rsidP="000E333C">
      <w:pPr>
        <w:pStyle w:val="BodyText"/>
      </w:pPr>
    </w:p>
    <w:p w:rsidR="00204D39" w:rsidP="000E333C">
      <w:pPr>
        <w:pStyle w:val="BodyText"/>
      </w:pPr>
    </w:p>
    <w:p w:rsidR="00000000" w:rsidRPr="000E333C" w:rsidP="000E333C"/>
    <w:sectPr w:rsidSect="000E33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D39" w:rsidP="00204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39" w:rsidP="000E3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04D39" w:rsidP="000E33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04D39" w:rsidP="000E33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D39" w:rsidP="00204D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39" w:rsidP="000E333C">
    <w:pPr>
      <w:pStyle w:val="Header"/>
      <w:framePr w:wrap="around"/>
    </w:pPr>
    <w:r>
      <w:fldChar w:fldCharType="begin"/>
    </w:r>
    <w:r>
      <w:instrText xml:space="preserve"> TITLE   \* MERGEFORMAT </w:instrText>
    </w:r>
    <w:r>
      <w:fldChar w:fldCharType="separate"/>
    </w:r>
    <w:r>
      <w:t>UEGNSG107A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4D39" w:rsidP="000E33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02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E6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8D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3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333C"/>
    <w:pPr>
      <w:spacing w:before="360" w:after="60"/>
      <w:outlineLvl w:val="0"/>
    </w:pPr>
    <w:rPr>
      <w:sz w:val="32"/>
    </w:rPr>
  </w:style>
  <w:style w:type="paragraph" w:styleId="Heading2">
    <w:name w:val="heading 2"/>
    <w:basedOn w:val="HeadingBase"/>
    <w:next w:val="BodyText"/>
    <w:link w:val="Heading2Char"/>
    <w:qFormat/>
    <w:rsid w:val="000E333C"/>
    <w:pPr>
      <w:keepLines/>
      <w:spacing w:before="240" w:after="120"/>
      <w:outlineLvl w:val="1"/>
    </w:pPr>
    <w:rPr>
      <w:sz w:val="28"/>
      <w:szCs w:val="40"/>
    </w:rPr>
  </w:style>
  <w:style w:type="paragraph" w:styleId="Heading3">
    <w:name w:val="heading 3"/>
    <w:basedOn w:val="HeadingBase"/>
    <w:next w:val="BodyText"/>
    <w:link w:val="Heading3Char"/>
    <w:qFormat/>
    <w:rsid w:val="000E333C"/>
    <w:pPr>
      <w:spacing w:before="180" w:after="120"/>
      <w:outlineLvl w:val="2"/>
    </w:pPr>
    <w:rPr>
      <w:spacing w:val="-10"/>
      <w:kern w:val="32"/>
    </w:rPr>
  </w:style>
  <w:style w:type="paragraph" w:styleId="Heading4">
    <w:name w:val="heading 4"/>
    <w:basedOn w:val="HeadingBase"/>
    <w:next w:val="BodyText"/>
    <w:link w:val="Heading4Char"/>
    <w:qFormat/>
    <w:rsid w:val="000E333C"/>
    <w:pPr>
      <w:spacing w:before="160" w:after="120"/>
      <w:outlineLvl w:val="3"/>
    </w:pPr>
    <w:rPr>
      <w:sz w:val="22"/>
    </w:rPr>
  </w:style>
  <w:style w:type="paragraph" w:styleId="Heading5">
    <w:name w:val="heading 5"/>
    <w:basedOn w:val="HeadingBase"/>
    <w:next w:val="Normal"/>
    <w:link w:val="Heading5Char"/>
    <w:qFormat/>
    <w:rsid w:val="000E333C"/>
    <w:pPr>
      <w:spacing w:before="80"/>
      <w:outlineLvl w:val="4"/>
    </w:pPr>
    <w:rPr>
      <w:color w:val="918585"/>
      <w:sz w:val="20"/>
    </w:rPr>
  </w:style>
  <w:style w:type="paragraph" w:styleId="Heading6">
    <w:name w:val="heading 6"/>
    <w:basedOn w:val="HeadingBase"/>
    <w:next w:val="Normal"/>
    <w:link w:val="Heading6Char"/>
    <w:qFormat/>
    <w:rsid w:val="000E333C"/>
    <w:pPr>
      <w:spacing w:before="60"/>
      <w:outlineLvl w:val="5"/>
    </w:pPr>
    <w:rPr>
      <w:color w:val="918585"/>
      <w:sz w:val="20"/>
    </w:rPr>
  </w:style>
  <w:style w:type="paragraph" w:styleId="Heading7">
    <w:name w:val="heading 7"/>
    <w:basedOn w:val="Normal"/>
    <w:next w:val="Normal"/>
    <w:link w:val="Heading7Char"/>
    <w:qFormat/>
    <w:rsid w:val="000E333C"/>
    <w:pPr>
      <w:ind w:left="720"/>
      <w:outlineLvl w:val="6"/>
    </w:pPr>
    <w:rPr>
      <w:i/>
    </w:rPr>
  </w:style>
  <w:style w:type="paragraph" w:styleId="Heading8">
    <w:name w:val="heading 8"/>
    <w:basedOn w:val="Normal"/>
    <w:next w:val="Normal"/>
    <w:link w:val="Heading8Char"/>
    <w:qFormat/>
    <w:rsid w:val="000E333C"/>
    <w:pPr>
      <w:ind w:left="720"/>
      <w:outlineLvl w:val="7"/>
    </w:pPr>
    <w:rPr>
      <w:i/>
    </w:rPr>
  </w:style>
  <w:style w:type="paragraph" w:styleId="Heading9">
    <w:name w:val="heading 9"/>
    <w:basedOn w:val="Normal"/>
    <w:next w:val="Normal"/>
    <w:link w:val="Heading9Char"/>
    <w:qFormat/>
    <w:rsid w:val="000E333C"/>
    <w:pPr>
      <w:ind w:left="720"/>
      <w:outlineLvl w:val="8"/>
    </w:pPr>
    <w:rPr>
      <w:i/>
    </w:rPr>
  </w:style>
  <w:style w:type="character" w:default="1" w:styleId="DefaultParagraphFont">
    <w:name w:val="Default Paragraph Font"/>
    <w:uiPriority w:val="1"/>
    <w:unhideWhenUsed/>
    <w:rsid w:val="000E3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33C"/>
  </w:style>
  <w:style w:type="character" w:customStyle="1" w:styleId="Heading1Char">
    <w:name w:val="Heading 1 Char"/>
    <w:basedOn w:val="DefaultParagraphFont"/>
    <w:link w:val="Heading1"/>
    <w:rsid w:val="000E333C"/>
    <w:rPr>
      <w:rFonts w:ascii="Times New Roman" w:eastAsia="Times New Roman" w:hAnsi="Times New Roman" w:cs="Times New Roman"/>
      <w:b/>
      <w:sz w:val="32"/>
      <w:szCs w:val="20"/>
      <w:lang w:eastAsia="en-US"/>
    </w:rPr>
  </w:style>
  <w:style w:type="paragraph" w:styleId="BodyText">
    <w:name w:val="Body Text"/>
    <w:basedOn w:val="Normal"/>
    <w:link w:val="BodyTextChar"/>
    <w:rsid w:val="000E33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33C"/>
    <w:rPr>
      <w:rFonts w:ascii="Times New Roman" w:eastAsia="Times New Roman" w:hAnsi="Times New Roman" w:cs="Times New Roman"/>
      <w:sz w:val="24"/>
      <w:lang w:val="en-US" w:eastAsia="en-US"/>
    </w:rPr>
  </w:style>
  <w:style w:type="paragraph" w:styleId="Footer">
    <w:name w:val="footer"/>
    <w:basedOn w:val="Normal"/>
    <w:link w:val="FooterChar"/>
    <w:rsid w:val="000E3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33C"/>
    <w:rPr>
      <w:rFonts w:ascii="Times New Roman" w:eastAsia="Times New Roman" w:hAnsi="Times New Roman" w:cs="Times New Roman"/>
      <w:sz w:val="16"/>
      <w:lang w:val="en-US" w:eastAsia="en-US"/>
    </w:rPr>
  </w:style>
  <w:style w:type="paragraph" w:styleId="ListBullet">
    <w:name w:val="List Bullet"/>
    <w:basedOn w:val="List"/>
    <w:rsid w:val="000E333C"/>
    <w:pPr>
      <w:numPr>
        <w:numId w:val="13"/>
      </w:numPr>
      <w:tabs>
        <w:tab w:val="clear" w:pos="340"/>
      </w:tabs>
      <w:spacing w:before="40" w:after="40"/>
    </w:pPr>
  </w:style>
  <w:style w:type="character" w:customStyle="1" w:styleId="SpecialBold">
    <w:name w:val="Special Bold"/>
    <w:basedOn w:val="DefaultParagraphFont"/>
    <w:rsid w:val="000E333C"/>
    <w:rPr>
      <w:b/>
      <w:spacing w:val="0"/>
    </w:rPr>
  </w:style>
  <w:style w:type="paragraph" w:styleId="ListBullet2">
    <w:name w:val="List Bullet 2"/>
    <w:basedOn w:val="List2"/>
    <w:rsid w:val="000E333C"/>
    <w:pPr>
      <w:numPr>
        <w:numId w:val="14"/>
      </w:numPr>
      <w:tabs>
        <w:tab w:val="clear" w:pos="680"/>
      </w:tabs>
    </w:pPr>
  </w:style>
  <w:style w:type="paragraph" w:styleId="Header">
    <w:name w:val="header"/>
    <w:basedOn w:val="Normal"/>
    <w:link w:val="HeaderChar"/>
    <w:rsid w:val="000E3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3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333C"/>
    <w:pPr>
      <w:spacing w:before="240" w:after="120"/>
      <w:outlineLvl w:val="0"/>
    </w:pPr>
    <w:rPr>
      <w:rFonts w:ascii="Times New Roman" w:hAnsi="Times New Roman"/>
      <w:b/>
      <w:sz w:val="28"/>
    </w:rPr>
  </w:style>
  <w:style w:type="paragraph" w:customStyle="1" w:styleId="AllowPageBreak">
    <w:name w:val="AllowPageBreak"/>
    <w:rsid w:val="000E3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3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33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333C"/>
    <w:rPr>
      <w:rFonts w:ascii="Courier New" w:eastAsia="Times New Roman" w:hAnsi="Courier New" w:cs="Times New Roman"/>
      <w:i/>
      <w:szCs w:val="20"/>
      <w:lang w:val="en-US" w:eastAsia="en-US"/>
    </w:rPr>
  </w:style>
  <w:style w:type="paragraph" w:customStyle="1" w:styleId="HeadingBase">
    <w:name w:val="Heading Base"/>
    <w:rsid w:val="000E3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33C"/>
    <w:pPr>
      <w:tabs>
        <w:tab w:val="right" w:leader="dot" w:pos="9072"/>
      </w:tabs>
      <w:ind w:left="567"/>
    </w:pPr>
    <w:rPr>
      <w:szCs w:val="22"/>
    </w:rPr>
  </w:style>
  <w:style w:type="paragraph" w:customStyle="1" w:styleId="TOCBase">
    <w:name w:val="TOC Base"/>
    <w:rsid w:val="000E3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33C"/>
    <w:pPr>
      <w:tabs>
        <w:tab w:val="right" w:leader="dot" w:pos="9072"/>
      </w:tabs>
      <w:spacing w:before="40" w:after="40"/>
      <w:ind w:left="284"/>
    </w:pPr>
    <w:rPr>
      <w:rFonts w:ascii="Times New Roman" w:hAnsi="Times New Roman"/>
    </w:rPr>
  </w:style>
  <w:style w:type="paragraph" w:styleId="TOC1">
    <w:name w:val="toc 1"/>
    <w:basedOn w:val="TOCBase"/>
    <w:next w:val="Normal"/>
    <w:rsid w:val="000E33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333C"/>
    <w:pPr>
      <w:spacing w:before="5040"/>
      <w:jc w:val="center"/>
    </w:pPr>
    <w:rPr>
      <w:sz w:val="48"/>
      <w:szCs w:val="72"/>
      <w:lang w:val="en-US"/>
    </w:rPr>
  </w:style>
  <w:style w:type="character" w:customStyle="1" w:styleId="TitleChar">
    <w:name w:val="Title Char"/>
    <w:basedOn w:val="DefaultParagraphFont"/>
    <w:link w:val="Title"/>
    <w:rsid w:val="000E3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33C"/>
    <w:pPr>
      <w:tabs>
        <w:tab w:val="left" w:pos="3600"/>
        <w:tab w:val="left" w:pos="3958"/>
      </w:tabs>
    </w:pPr>
  </w:style>
  <w:style w:type="paragraph" w:styleId="List">
    <w:name w:val="List"/>
    <w:basedOn w:val="BodyText"/>
    <w:next w:val="BodyText"/>
    <w:rsid w:val="000E333C"/>
    <w:pPr>
      <w:tabs>
        <w:tab w:val="left" w:pos="340"/>
      </w:tabs>
      <w:spacing w:before="60" w:after="60"/>
      <w:ind w:left="340" w:hanging="340"/>
    </w:pPr>
  </w:style>
  <w:style w:type="paragraph" w:customStyle="1" w:styleId="Note">
    <w:name w:val="Note"/>
    <w:basedOn w:val="BodyText"/>
    <w:rsid w:val="000E3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33C"/>
    <w:pPr>
      <w:framePr w:wrap="auto" w:hAnchor="text" w:y="6049"/>
    </w:pPr>
    <w:rPr>
      <w:color w:val="000000"/>
      <w:sz w:val="40"/>
    </w:rPr>
  </w:style>
  <w:style w:type="paragraph" w:customStyle="1" w:styleId="TOCTitle">
    <w:name w:val="TOCTitle"/>
    <w:basedOn w:val="Heading1"/>
    <w:rsid w:val="000E333C"/>
    <w:pPr>
      <w:spacing w:after="240"/>
      <w:jc w:val="center"/>
      <w:outlineLvl w:val="9"/>
    </w:pPr>
    <w:rPr>
      <w:caps/>
    </w:rPr>
  </w:style>
  <w:style w:type="paragraph" w:customStyle="1" w:styleId="Version">
    <w:name w:val="Version"/>
    <w:rsid w:val="000E3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33C"/>
    <w:pPr>
      <w:keepNext w:val="0"/>
      <w:tabs>
        <w:tab w:val="right" w:pos="4176"/>
      </w:tabs>
      <w:ind w:left="198" w:hanging="198"/>
    </w:pPr>
    <w:rPr>
      <w:rFonts w:ascii="Garamond" w:hAnsi="Garamond"/>
    </w:rPr>
  </w:style>
  <w:style w:type="paragraph" w:styleId="IndexHeading">
    <w:name w:val="index heading"/>
    <w:basedOn w:val="Normal"/>
    <w:next w:val="Index1"/>
    <w:semiHidden/>
    <w:rsid w:val="000E333C"/>
    <w:pPr>
      <w:spacing w:before="120" w:after="120"/>
    </w:pPr>
    <w:rPr>
      <w:rFonts w:ascii="Arial" w:hAnsi="Arial"/>
      <w:b/>
      <w:color w:val="918585"/>
      <w:sz w:val="24"/>
    </w:rPr>
  </w:style>
  <w:style w:type="paragraph" w:customStyle="1" w:styleId="Chapter">
    <w:name w:val="Chapter"/>
    <w:basedOn w:val="Normal"/>
    <w:rsid w:val="000E333C"/>
    <w:pPr>
      <w:spacing w:before="240"/>
    </w:pPr>
    <w:rPr>
      <w:rFonts w:ascii="Times New Roman" w:hAnsi="Times New Roman"/>
      <w:smallCaps/>
      <w:spacing w:val="80"/>
      <w:sz w:val="28"/>
    </w:rPr>
  </w:style>
  <w:style w:type="paragraph" w:customStyle="1" w:styleId="InChapter">
    <w:name w:val="InChapter"/>
    <w:basedOn w:val="Heading3"/>
    <w:rsid w:val="000E333C"/>
    <w:pPr>
      <w:spacing w:after="240"/>
      <w:outlineLvl w:val="9"/>
    </w:pPr>
    <w:rPr>
      <w:noProof/>
    </w:rPr>
  </w:style>
  <w:style w:type="paragraph" w:styleId="Index2">
    <w:name w:val="index 2"/>
    <w:basedOn w:val="Normal"/>
    <w:next w:val="Normal"/>
    <w:semiHidden/>
    <w:rsid w:val="000E333C"/>
    <w:pPr>
      <w:tabs>
        <w:tab w:val="right" w:pos="4176"/>
      </w:tabs>
      <w:ind w:left="568" w:hanging="284"/>
    </w:pPr>
    <w:rPr>
      <w:rFonts w:ascii="Garamond" w:hAnsi="Garamond"/>
    </w:rPr>
  </w:style>
  <w:style w:type="paragraph" w:customStyle="1" w:styleId="Byline">
    <w:name w:val="Byline"/>
    <w:rsid w:val="000E3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33C"/>
    <w:pPr>
      <w:tabs>
        <w:tab w:val="clear" w:pos="3600"/>
        <w:tab w:val="clear" w:pos="3958"/>
      </w:tabs>
      <w:jc w:val="right"/>
    </w:pPr>
  </w:style>
  <w:style w:type="character" w:styleId="Emphasis">
    <w:name w:val="Emphasis"/>
    <w:basedOn w:val="DefaultParagraphFont"/>
    <w:qFormat/>
    <w:rsid w:val="000E333C"/>
    <w:rPr>
      <w:i/>
    </w:rPr>
  </w:style>
  <w:style w:type="paragraph" w:styleId="Caption">
    <w:name w:val="caption"/>
    <w:basedOn w:val="BodyText"/>
    <w:next w:val="Normal"/>
    <w:qFormat/>
    <w:rsid w:val="000E333C"/>
    <w:pPr>
      <w:framePr w:w="2268" w:hSpace="181" w:vSpace="181" w:wrap="around" w:vAnchor="text" w:hAnchor="page" w:x="1135" w:y="285" w:anchorLock="1"/>
    </w:pPr>
    <w:rPr>
      <w:i/>
    </w:rPr>
  </w:style>
  <w:style w:type="paragraph" w:customStyle="1" w:styleId="MiniTOCTitle">
    <w:name w:val="MiniTOCTitle"/>
    <w:basedOn w:val="Heading4"/>
    <w:rsid w:val="000E333C"/>
    <w:pPr>
      <w:spacing w:before="240"/>
      <w:outlineLvl w:val="9"/>
    </w:pPr>
    <w:rPr>
      <w:noProof/>
      <w:sz w:val="24"/>
    </w:rPr>
  </w:style>
  <w:style w:type="paragraph" w:customStyle="1" w:styleId="MiniTOCItem">
    <w:name w:val="MiniTOCItem"/>
    <w:basedOn w:val="ListBullet"/>
    <w:rsid w:val="000E333C"/>
    <w:pPr>
      <w:numPr>
        <w:numId w:val="0"/>
      </w:numPr>
      <w:tabs>
        <w:tab w:val="right" w:leader="dot" w:pos="6521"/>
      </w:tabs>
      <w:spacing w:before="0" w:after="0"/>
    </w:pPr>
  </w:style>
  <w:style w:type="paragraph" w:customStyle="1" w:styleId="TOFTitle">
    <w:name w:val="TOFTitle"/>
    <w:basedOn w:val="TOCTitle"/>
    <w:rsid w:val="000E333C"/>
  </w:style>
  <w:style w:type="paragraph" w:styleId="TableofFigures">
    <w:name w:val="table of figures"/>
    <w:basedOn w:val="Normal"/>
    <w:next w:val="Normal"/>
    <w:semiHidden/>
    <w:rsid w:val="000E333C"/>
    <w:pPr>
      <w:tabs>
        <w:tab w:val="right" w:leader="dot" w:pos="9072"/>
      </w:tabs>
      <w:ind w:left="970" w:hanging="403"/>
    </w:pPr>
    <w:rPr>
      <w:rFonts w:ascii="Times New Roman" w:hAnsi="Times New Roman"/>
      <w:b/>
    </w:rPr>
  </w:style>
  <w:style w:type="paragraph" w:styleId="ListNumber">
    <w:name w:val="List Number"/>
    <w:basedOn w:val="List"/>
    <w:rsid w:val="000E333C"/>
    <w:pPr>
      <w:numPr>
        <w:numId w:val="11"/>
      </w:numPr>
    </w:pPr>
  </w:style>
  <w:style w:type="character" w:customStyle="1" w:styleId="WingdingSymbols">
    <w:name w:val="Wingding Symbols"/>
    <w:rsid w:val="000E333C"/>
    <w:rPr>
      <w:rFonts w:ascii="Wingdings" w:hAnsi="Wingdings"/>
    </w:rPr>
  </w:style>
  <w:style w:type="paragraph" w:customStyle="1" w:styleId="TableHeading">
    <w:name w:val="Table Heading"/>
    <w:basedOn w:val="HeadingBase"/>
    <w:rsid w:val="000E333C"/>
    <w:pPr>
      <w:keepLines/>
      <w:pBdr>
        <w:bottom w:val="single" w:sz="6" w:space="1" w:color="918585"/>
      </w:pBdr>
      <w:spacing w:before="240"/>
    </w:pPr>
  </w:style>
  <w:style w:type="character" w:customStyle="1" w:styleId="HotSpot">
    <w:name w:val="HotSpot"/>
    <w:rsid w:val="000E333C"/>
    <w:rPr>
      <w:color w:val="0033CC"/>
      <w:u w:val="none"/>
    </w:rPr>
  </w:style>
  <w:style w:type="paragraph" w:customStyle="1" w:styleId="BodyTextRight">
    <w:name w:val="Body Text Right"/>
    <w:basedOn w:val="BodyText"/>
    <w:rsid w:val="000E333C"/>
    <w:pPr>
      <w:spacing w:before="0" w:after="0"/>
      <w:jc w:val="right"/>
    </w:pPr>
  </w:style>
  <w:style w:type="paragraph" w:styleId="Index3">
    <w:name w:val="index 3"/>
    <w:basedOn w:val="ListNumber2"/>
    <w:next w:val="Normal"/>
    <w:semiHidden/>
    <w:rsid w:val="000E333C"/>
    <w:pPr>
      <w:numPr>
        <w:numId w:val="0"/>
      </w:numPr>
      <w:tabs>
        <w:tab w:val="right" w:leader="dot" w:pos="4176"/>
      </w:tabs>
    </w:pPr>
  </w:style>
  <w:style w:type="paragraph" w:styleId="ListNumber2">
    <w:name w:val="List Number 2"/>
    <w:basedOn w:val="List2"/>
    <w:rsid w:val="000E333C"/>
    <w:pPr>
      <w:numPr>
        <w:numId w:val="10"/>
      </w:numPr>
      <w:tabs>
        <w:tab w:val="clear" w:pos="1060"/>
      </w:tabs>
    </w:pPr>
  </w:style>
  <w:style w:type="paragraph" w:customStyle="1" w:styleId="MarginNote">
    <w:name w:val="Margin Note"/>
    <w:basedOn w:val="BodyText"/>
    <w:rsid w:val="000E3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3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333C"/>
    <w:rPr>
      <w:sz w:val="32"/>
    </w:rPr>
  </w:style>
  <w:style w:type="paragraph" w:customStyle="1" w:styleId="HeadingProcedure">
    <w:name w:val="Heading Procedure"/>
    <w:basedOn w:val="HeadingBase"/>
    <w:next w:val="Normal"/>
    <w:rsid w:val="000E333C"/>
    <w:pPr>
      <w:tabs>
        <w:tab w:val="left" w:pos="0"/>
      </w:tabs>
      <w:spacing w:before="120" w:after="60"/>
    </w:pPr>
    <w:rPr>
      <w:i/>
      <w:color w:val="918585"/>
      <w:sz w:val="22"/>
    </w:rPr>
  </w:style>
  <w:style w:type="paragraph" w:customStyle="1" w:styleId="TableBodyText">
    <w:name w:val="Table Body Text"/>
    <w:basedOn w:val="BodyText"/>
    <w:rsid w:val="000E333C"/>
    <w:pPr>
      <w:spacing w:before="60" w:after="60"/>
    </w:pPr>
  </w:style>
  <w:style w:type="paragraph" w:styleId="ListContinue">
    <w:name w:val="List Continue"/>
    <w:basedOn w:val="List"/>
    <w:rsid w:val="000E333C"/>
    <w:pPr>
      <w:ind w:firstLine="0"/>
    </w:pPr>
  </w:style>
  <w:style w:type="paragraph" w:customStyle="1" w:styleId="ListNote">
    <w:name w:val="List Note"/>
    <w:basedOn w:val="List"/>
    <w:rsid w:val="000E333C"/>
    <w:pPr>
      <w:pBdr>
        <w:top w:val="single" w:sz="6" w:space="2" w:color="918585"/>
        <w:bottom w:val="single" w:sz="6" w:space="2" w:color="918585"/>
      </w:pBdr>
      <w:tabs>
        <w:tab w:val="left" w:pos="1021"/>
      </w:tabs>
      <w:ind w:firstLine="0"/>
    </w:pPr>
  </w:style>
  <w:style w:type="paragraph" w:customStyle="1" w:styleId="Warning">
    <w:name w:val="Warning"/>
    <w:basedOn w:val="BodyText"/>
    <w:rsid w:val="000E333C"/>
    <w:pPr>
      <w:shd w:val="clear" w:color="auto" w:fill="D9D9D9"/>
      <w:tabs>
        <w:tab w:val="left" w:pos="992"/>
      </w:tabs>
      <w:ind w:left="119" w:right="119"/>
    </w:pPr>
    <w:rPr>
      <w:sz w:val="20"/>
    </w:rPr>
  </w:style>
  <w:style w:type="paragraph" w:customStyle="1" w:styleId="MarginIcons">
    <w:name w:val="Margin Icons"/>
    <w:basedOn w:val="BodyText"/>
    <w:rsid w:val="000E3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33C"/>
    <w:rPr>
      <w:rFonts w:ascii="Courier New" w:hAnsi="Courier New"/>
    </w:rPr>
  </w:style>
  <w:style w:type="paragraph" w:customStyle="1" w:styleId="NoteBullet">
    <w:name w:val="Note Bullet"/>
    <w:basedOn w:val="Note"/>
    <w:rsid w:val="000E333C"/>
    <w:pPr>
      <w:tabs>
        <w:tab w:val="clear" w:pos="680"/>
      </w:tabs>
      <w:spacing w:before="60" w:after="60"/>
    </w:pPr>
  </w:style>
  <w:style w:type="paragraph" w:customStyle="1" w:styleId="SubHeading2">
    <w:name w:val="SubHeading2"/>
    <w:basedOn w:val="HeadingBase"/>
    <w:rsid w:val="000E333C"/>
    <w:pPr>
      <w:spacing w:before="240" w:after="60"/>
    </w:pPr>
    <w:rPr>
      <w:sz w:val="20"/>
    </w:rPr>
  </w:style>
  <w:style w:type="paragraph" w:customStyle="1" w:styleId="SubHeading1">
    <w:name w:val="SubHeading1"/>
    <w:basedOn w:val="HeadingBase"/>
    <w:rsid w:val="000E333C"/>
    <w:pPr>
      <w:spacing w:before="240" w:after="60"/>
    </w:pPr>
    <w:rPr>
      <w:color w:val="918585"/>
      <w:sz w:val="22"/>
    </w:rPr>
  </w:style>
  <w:style w:type="paragraph" w:customStyle="1" w:styleId="SideHeading">
    <w:name w:val="Side Heading"/>
    <w:basedOn w:val="HeadingBase"/>
    <w:rsid w:val="000E3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33C"/>
    <w:pPr>
      <w:numPr>
        <w:numId w:val="12"/>
      </w:numPr>
    </w:pPr>
  </w:style>
  <w:style w:type="paragraph" w:styleId="PlainText">
    <w:name w:val="Plain Text"/>
    <w:basedOn w:val="Normal"/>
    <w:link w:val="PlainTextChar"/>
    <w:rsid w:val="000E333C"/>
    <w:rPr>
      <w:sz w:val="20"/>
    </w:rPr>
  </w:style>
  <w:style w:type="character" w:customStyle="1" w:styleId="PlainTextChar">
    <w:name w:val="Plain Text Char"/>
    <w:basedOn w:val="DefaultParagraphFont"/>
    <w:link w:val="PlainText"/>
    <w:rsid w:val="000E33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333C"/>
    <w:rPr>
      <w:b/>
      <w:smallCaps/>
    </w:rPr>
  </w:style>
  <w:style w:type="paragraph" w:customStyle="1" w:styleId="TableListNumber">
    <w:name w:val="Table List Number"/>
    <w:basedOn w:val="ListNumber"/>
    <w:rsid w:val="000E333C"/>
    <w:pPr>
      <w:numPr>
        <w:numId w:val="0"/>
      </w:numPr>
    </w:pPr>
  </w:style>
  <w:style w:type="paragraph" w:styleId="TOC4">
    <w:name w:val="toc 4"/>
    <w:basedOn w:val="TOCBase"/>
    <w:next w:val="Normal"/>
    <w:semiHidden/>
    <w:rsid w:val="000E333C"/>
    <w:pPr>
      <w:tabs>
        <w:tab w:val="right" w:leader="dot" w:pos="9071"/>
      </w:tabs>
      <w:ind w:left="1701"/>
    </w:pPr>
  </w:style>
  <w:style w:type="paragraph" w:customStyle="1" w:styleId="ListAlpha">
    <w:name w:val="List Alpha"/>
    <w:basedOn w:val="List"/>
    <w:rsid w:val="000E333C"/>
    <w:pPr>
      <w:numPr>
        <w:numId w:val="9"/>
      </w:numPr>
    </w:pPr>
  </w:style>
  <w:style w:type="paragraph" w:customStyle="1" w:styleId="ListAlpha2">
    <w:name w:val="List Alpha 2"/>
    <w:basedOn w:val="List2"/>
    <w:rsid w:val="000E333C"/>
    <w:pPr>
      <w:numPr>
        <w:numId w:val="8"/>
      </w:numPr>
    </w:pPr>
  </w:style>
  <w:style w:type="paragraph" w:styleId="List2">
    <w:name w:val="List 2"/>
    <w:basedOn w:val="BodyText"/>
    <w:rsid w:val="000E333C"/>
    <w:pPr>
      <w:tabs>
        <w:tab w:val="left" w:pos="680"/>
      </w:tabs>
      <w:spacing w:before="60" w:after="60"/>
      <w:ind w:left="680" w:hanging="340"/>
    </w:pPr>
  </w:style>
  <w:style w:type="paragraph" w:styleId="List3">
    <w:name w:val="List 3"/>
    <w:basedOn w:val="BodyText"/>
    <w:rsid w:val="000E333C"/>
    <w:pPr>
      <w:tabs>
        <w:tab w:val="left" w:pos="1021"/>
      </w:tabs>
      <w:spacing w:before="60" w:after="60"/>
      <w:ind w:left="1020" w:hanging="340"/>
    </w:pPr>
  </w:style>
  <w:style w:type="paragraph" w:styleId="List4">
    <w:name w:val="List 4"/>
    <w:basedOn w:val="BodyText"/>
    <w:rsid w:val="000E333C"/>
    <w:pPr>
      <w:tabs>
        <w:tab w:val="left" w:pos="1361"/>
      </w:tabs>
      <w:spacing w:before="60" w:after="60"/>
      <w:ind w:left="1361" w:hanging="340"/>
    </w:pPr>
  </w:style>
  <w:style w:type="paragraph" w:styleId="List5">
    <w:name w:val="List 5"/>
    <w:basedOn w:val="BodyText"/>
    <w:rsid w:val="000E333C"/>
    <w:pPr>
      <w:tabs>
        <w:tab w:val="left" w:pos="1701"/>
      </w:tabs>
      <w:spacing w:before="60" w:after="60"/>
      <w:ind w:left="1701" w:hanging="340"/>
    </w:pPr>
  </w:style>
  <w:style w:type="paragraph" w:styleId="ListBullet3">
    <w:name w:val="List Bullet 3"/>
    <w:basedOn w:val="List3"/>
    <w:rsid w:val="000E333C"/>
    <w:pPr>
      <w:numPr>
        <w:numId w:val="15"/>
      </w:numPr>
      <w:tabs>
        <w:tab w:val="clear" w:pos="1021"/>
      </w:tabs>
      <w:ind w:left="1037" w:hanging="357"/>
    </w:pPr>
  </w:style>
  <w:style w:type="paragraph" w:styleId="ListBullet4">
    <w:name w:val="List Bullet 4"/>
    <w:basedOn w:val="List4"/>
    <w:rsid w:val="000E333C"/>
    <w:pPr>
      <w:numPr>
        <w:numId w:val="3"/>
      </w:numPr>
    </w:pPr>
  </w:style>
  <w:style w:type="paragraph" w:styleId="ListBullet5">
    <w:name w:val="List Bullet 5"/>
    <w:basedOn w:val="List5"/>
    <w:rsid w:val="000E333C"/>
    <w:pPr>
      <w:numPr>
        <w:numId w:val="4"/>
      </w:numPr>
    </w:pPr>
  </w:style>
  <w:style w:type="paragraph" w:styleId="ListContinue2">
    <w:name w:val="List Continue 2"/>
    <w:basedOn w:val="List2"/>
    <w:rsid w:val="000E333C"/>
    <w:pPr>
      <w:ind w:firstLine="0"/>
    </w:pPr>
  </w:style>
  <w:style w:type="paragraph" w:styleId="ListContinue3">
    <w:name w:val="List Continue 3"/>
    <w:basedOn w:val="List3"/>
    <w:rsid w:val="000E333C"/>
    <w:pPr>
      <w:ind w:left="1021" w:firstLine="0"/>
    </w:pPr>
  </w:style>
  <w:style w:type="paragraph" w:styleId="ListContinue4">
    <w:name w:val="List Continue 4"/>
    <w:basedOn w:val="List4"/>
    <w:rsid w:val="000E333C"/>
    <w:pPr>
      <w:ind w:firstLine="0"/>
    </w:pPr>
  </w:style>
  <w:style w:type="paragraph" w:styleId="ListContinue5">
    <w:name w:val="List Continue 5"/>
    <w:basedOn w:val="List5"/>
    <w:rsid w:val="000E333C"/>
    <w:pPr>
      <w:ind w:firstLine="0"/>
    </w:pPr>
  </w:style>
  <w:style w:type="paragraph" w:styleId="ListNumber3">
    <w:name w:val="List Number 3"/>
    <w:basedOn w:val="List3"/>
    <w:rsid w:val="000E333C"/>
    <w:pPr>
      <w:numPr>
        <w:numId w:val="5"/>
      </w:numPr>
    </w:pPr>
  </w:style>
  <w:style w:type="paragraph" w:styleId="ListNumber4">
    <w:name w:val="List Number 4"/>
    <w:basedOn w:val="List4"/>
    <w:rsid w:val="000E333C"/>
    <w:pPr>
      <w:numPr>
        <w:numId w:val="6"/>
      </w:numPr>
    </w:pPr>
  </w:style>
  <w:style w:type="paragraph" w:styleId="ListNumber5">
    <w:name w:val="List Number 5"/>
    <w:basedOn w:val="List5"/>
    <w:rsid w:val="000E333C"/>
    <w:pPr>
      <w:numPr>
        <w:numId w:val="7"/>
      </w:numPr>
    </w:pPr>
  </w:style>
  <w:style w:type="paragraph" w:styleId="BlockText">
    <w:name w:val="Block Text"/>
    <w:basedOn w:val="Normal"/>
    <w:rsid w:val="000E333C"/>
    <w:pPr>
      <w:spacing w:after="120"/>
      <w:ind w:left="1440" w:right="1440"/>
    </w:pPr>
  </w:style>
  <w:style w:type="character" w:customStyle="1" w:styleId="Subscript">
    <w:name w:val="Subscript"/>
    <w:basedOn w:val="DefaultParagraphFont"/>
    <w:rsid w:val="000E333C"/>
    <w:rPr>
      <w:sz w:val="16"/>
      <w:vertAlign w:val="subscript"/>
    </w:rPr>
  </w:style>
  <w:style w:type="character" w:customStyle="1" w:styleId="Superscript">
    <w:name w:val="Superscript"/>
    <w:basedOn w:val="DefaultParagraphFont"/>
    <w:rsid w:val="000E333C"/>
    <w:rPr>
      <w:sz w:val="16"/>
      <w:vertAlign w:val="superscript"/>
    </w:rPr>
  </w:style>
  <w:style w:type="character" w:customStyle="1" w:styleId="Symbols">
    <w:name w:val="Symbols"/>
    <w:basedOn w:val="DefaultParagraphFont"/>
    <w:rsid w:val="000E333C"/>
    <w:rPr>
      <w:rFonts w:ascii="Symbol" w:hAnsi="Symbol"/>
    </w:rPr>
  </w:style>
  <w:style w:type="character" w:customStyle="1" w:styleId="MenuOptions">
    <w:name w:val="Menu Options"/>
    <w:basedOn w:val="DefaultParagraphFont"/>
    <w:rsid w:val="000E333C"/>
    <w:rPr>
      <w:rFonts w:ascii="Arial Narrow" w:hAnsi="Arial Narrow"/>
      <w:smallCaps/>
    </w:rPr>
  </w:style>
  <w:style w:type="character" w:customStyle="1" w:styleId="Buttons">
    <w:name w:val="Buttons"/>
    <w:basedOn w:val="DefaultParagraphFont"/>
    <w:rsid w:val="000E333C"/>
    <w:rPr>
      <w:b/>
    </w:rPr>
  </w:style>
  <w:style w:type="character" w:customStyle="1" w:styleId="Underlined">
    <w:name w:val="Underlined"/>
    <w:basedOn w:val="DefaultParagraphFont"/>
    <w:rsid w:val="000E333C"/>
    <w:rPr>
      <w:u w:val="single"/>
    </w:rPr>
  </w:style>
  <w:style w:type="paragraph" w:customStyle="1" w:styleId="TableBodyTextRight">
    <w:name w:val="Table Body Text Right"/>
    <w:basedOn w:val="TableBodyText"/>
    <w:rsid w:val="000E333C"/>
    <w:pPr>
      <w:widowControl w:val="0"/>
      <w:autoSpaceDE w:val="0"/>
      <w:autoSpaceDN w:val="0"/>
      <w:adjustRightInd w:val="0"/>
      <w:jc w:val="right"/>
    </w:pPr>
    <w:rPr>
      <w:rFonts w:cs="Arial"/>
      <w:szCs w:val="18"/>
    </w:rPr>
  </w:style>
  <w:style w:type="paragraph" w:customStyle="1" w:styleId="CopyrightText">
    <w:name w:val="Copyright Text"/>
    <w:basedOn w:val="BodyText"/>
    <w:rsid w:val="000E333C"/>
    <w:rPr>
      <w:sz w:val="18"/>
    </w:rPr>
  </w:style>
  <w:style w:type="paragraph" w:customStyle="1" w:styleId="BodySmallRight">
    <w:name w:val="Body Small Right"/>
    <w:basedOn w:val="BodyTextRight"/>
    <w:rsid w:val="000E333C"/>
    <w:rPr>
      <w:sz w:val="18"/>
      <w:szCs w:val="18"/>
    </w:rPr>
  </w:style>
  <w:style w:type="paragraph" w:customStyle="1" w:styleId="MarginEdition">
    <w:name w:val="Margin Edition"/>
    <w:basedOn w:val="MarginNote"/>
    <w:rsid w:val="000E333C"/>
    <w:pPr>
      <w:spacing w:before="0" w:after="0"/>
    </w:pPr>
    <w:rPr>
      <w:rFonts w:ascii="Times New Roman" w:hAnsi="Times New Roman"/>
      <w:color w:val="999999"/>
    </w:rPr>
  </w:style>
  <w:style w:type="paragraph" w:customStyle="1" w:styleId="Spacer">
    <w:name w:val="Spacer"/>
    <w:basedOn w:val="Normal"/>
    <w:rsid w:val="000E333C"/>
    <w:rPr>
      <w:sz w:val="2"/>
      <w:szCs w:val="2"/>
    </w:rPr>
  </w:style>
  <w:style w:type="character" w:customStyle="1" w:styleId="Small">
    <w:name w:val="Small"/>
    <w:basedOn w:val="DefaultParagraphFont"/>
    <w:rsid w:val="000E333C"/>
    <w:rPr>
      <w:sz w:val="16"/>
    </w:rPr>
  </w:style>
  <w:style w:type="paragraph" w:customStyle="1" w:styleId="WideTable">
    <w:name w:val="Wide Table"/>
    <w:basedOn w:val="Normal"/>
    <w:rsid w:val="000E333C"/>
    <w:pPr>
      <w:ind w:left="-1418"/>
    </w:pPr>
    <w:rPr>
      <w:sz w:val="2"/>
      <w:szCs w:val="2"/>
    </w:rPr>
  </w:style>
  <w:style w:type="character" w:styleId="PageNumber">
    <w:name w:val="page number"/>
    <w:basedOn w:val="DefaultParagraphFont"/>
    <w:rsid w:val="000E333C"/>
  </w:style>
  <w:style w:type="paragraph" w:styleId="Quote">
    <w:name w:val="Quote"/>
    <w:basedOn w:val="Heading1"/>
    <w:link w:val="QuoteChar"/>
    <w:qFormat/>
    <w:rsid w:val="000E333C"/>
    <w:rPr>
      <w:b w:val="0"/>
      <w:sz w:val="72"/>
      <w:szCs w:val="72"/>
      <w:lang w:val="en-NZ"/>
    </w:rPr>
  </w:style>
  <w:style w:type="character" w:customStyle="1" w:styleId="QuoteChar">
    <w:name w:val="Quote Char"/>
    <w:basedOn w:val="DefaultParagraphFont"/>
    <w:link w:val="Quote"/>
    <w:rsid w:val="000E3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33C"/>
    <w:pPr>
      <w:pageBreakBefore/>
    </w:pPr>
  </w:style>
  <w:style w:type="paragraph" w:customStyle="1" w:styleId="Border">
    <w:name w:val="Border"/>
    <w:basedOn w:val="Normal"/>
    <w:qFormat/>
    <w:rsid w:val="000E3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33C"/>
    <w:rPr>
      <w:b/>
      <w:bCs/>
      <w:i/>
      <w:iCs/>
      <w:color w:val="auto"/>
    </w:rPr>
  </w:style>
  <w:style w:type="paragraph" w:styleId="IntenseQuote">
    <w:name w:val="Intense Quote"/>
    <w:basedOn w:val="Normal"/>
    <w:next w:val="Normal"/>
    <w:link w:val="IntenseQuoteChar"/>
    <w:uiPriority w:val="30"/>
    <w:qFormat/>
    <w:rsid w:val="000E3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3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333C"/>
    <w:rPr>
      <w:smallCaps/>
      <w:color w:val="auto"/>
      <w:u w:val="single"/>
    </w:rPr>
  </w:style>
  <w:style w:type="character" w:styleId="IntenseReference">
    <w:name w:val="Intense Reference"/>
    <w:basedOn w:val="DefaultParagraphFont"/>
    <w:uiPriority w:val="32"/>
    <w:qFormat/>
    <w:rsid w:val="000E333C"/>
    <w:rPr>
      <w:b/>
      <w:bCs/>
      <w:smallCaps/>
      <w:color w:val="auto"/>
      <w:spacing w:val="5"/>
      <w:u w:val="single"/>
    </w:rPr>
  </w:style>
  <w:style w:type="paragraph" w:customStyle="1" w:styleId="2ColumnHeading">
    <w:name w:val="2Column Heading"/>
    <w:basedOn w:val="BodyText"/>
    <w:qFormat/>
    <w:rsid w:val="000E333C"/>
    <w:pPr>
      <w:spacing w:after="60"/>
      <w:ind w:left="-2268"/>
    </w:pPr>
    <w:rPr>
      <w:b/>
    </w:rPr>
  </w:style>
  <w:style w:type="paragraph" w:customStyle="1" w:styleId="Heading1TOC">
    <w:name w:val="Heading1 TOC"/>
    <w:basedOn w:val="Normal"/>
    <w:qFormat/>
    <w:rsid w:val="000E333C"/>
    <w:pPr>
      <w:spacing w:before="240" w:after="120"/>
    </w:pPr>
    <w:rPr>
      <w:rFonts w:ascii="Times New Roman" w:hAnsi="Times New Roman"/>
      <w:b/>
      <w:sz w:val="32"/>
    </w:rPr>
  </w:style>
  <w:style w:type="paragraph" w:customStyle="1" w:styleId="Heading2TOC">
    <w:name w:val="Heading2 TOC"/>
    <w:basedOn w:val="Normal"/>
    <w:qFormat/>
    <w:rsid w:val="000E333C"/>
    <w:pPr>
      <w:spacing w:before="240" w:after="60"/>
    </w:pPr>
    <w:rPr>
      <w:rFonts w:ascii="Times New Roman" w:hAnsi="Times New Roman"/>
      <w:b/>
      <w:sz w:val="28"/>
    </w:rPr>
  </w:style>
  <w:style w:type="character" w:customStyle="1" w:styleId="Underline">
    <w:name w:val="Underline"/>
    <w:basedOn w:val="DefaultParagraphFont"/>
    <w:qFormat/>
    <w:rsid w:val="000E333C"/>
    <w:rPr>
      <w:u w:val="single"/>
    </w:rPr>
  </w:style>
  <w:style w:type="character" w:customStyle="1" w:styleId="BoldandItalics">
    <w:name w:val="Bold and Italics"/>
    <w:qFormat/>
    <w:rsid w:val="000E333C"/>
    <w:rPr>
      <w:b/>
      <w:i/>
      <w:u w:val="none"/>
    </w:rPr>
  </w:style>
  <w:style w:type="paragraph" w:styleId="BalloonText">
    <w:name w:val="Balloon Text"/>
    <w:basedOn w:val="Normal"/>
    <w:link w:val="BalloonTextChar"/>
    <w:rsid w:val="000E333C"/>
    <w:rPr>
      <w:rFonts w:ascii="Tahoma" w:hAnsi="Tahoma" w:cs="Tahoma"/>
      <w:sz w:val="16"/>
      <w:szCs w:val="16"/>
    </w:rPr>
  </w:style>
  <w:style w:type="character" w:customStyle="1" w:styleId="BalloonTextChar">
    <w:name w:val="Balloon Text Char"/>
    <w:basedOn w:val="DefaultParagraphFont"/>
    <w:link w:val="BalloonText"/>
    <w:rsid w:val="000E33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33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3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2405</Words>
  <Characters>14392</Characters>
  <Application>Microsoft Office Word</Application>
  <DocSecurity>0</DocSecurity>
  <Lines>705</Lines>
  <Paragraphs>280</Paragraphs>
  <ScaleCrop>false</ScaleCrop>
  <Company>Author-it Software Corporation Ltd.</Company>
  <LinksUpToDate>false</LinksUpToDate>
  <CharactersWithSpaces>16558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UEGNSG107A Control gas odourisation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2012-05-26T22:00:00Z</dcterms:created>
  <dcterms:modified xsi:type="dcterms:W3CDTF">2012-05-26T22:00:00Z</dcterms:modified>
</cp:coreProperties>
</file>