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F1F" w:rsidP="00F42F1F">
      <w:pPr>
        <w:pStyle w:val="Title"/>
      </w:pPr>
      <w:r>
        <w:fldChar w:fldCharType="begin"/>
      </w:r>
      <w:r>
        <w:instrText xml:space="preserve"> TITLE   \* MERGEFORMAT </w:instrText>
      </w:r>
      <w:r>
        <w:fldChar w:fldCharType="separate"/>
      </w:r>
      <w:r>
        <w:t>UEGNSG105A Establish the work site</w:t>
      </w:r>
      <w:r>
        <w:fldChar w:fldCharType="end"/>
      </w:r>
    </w:p>
    <w:p w:rsidR="00F42F1F" w:rsidP="00F42F1F">
      <w:pPr>
        <w:pStyle w:val="Version"/>
        <w:sectPr w:rsidSect="00C803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3BA" w:rsidP="00C803BA">
      <w:pPr>
        <w:pStyle w:val="SuperHeading"/>
      </w:pPr>
      <w:r w:rsidRPr="00C803BA">
        <w:t>UEGNSG105A Establish the work site</w:t>
      </w:r>
    </w:p>
    <w:p w:rsidR="00000000" w:rsidRPr="00C803BA" w:rsidP="00C803BA">
      <w:pPr>
        <w:pStyle w:val="Heading1"/>
      </w:pPr>
      <w:bookmarkStart w:id="1" w:name="O_275077"/>
      <w:bookmarkEnd w:id="1"/>
      <w:r w:rsidRPr="00C803BA">
        <w:t>Modification History</w:t>
      </w:r>
    </w:p>
    <w:p w:rsidR="00000000" w:rsidRPr="00C803BA" w:rsidP="00C803BA">
      <w:pPr>
        <w:pStyle w:val="BodyText"/>
      </w:pPr>
      <w:r w:rsidRPr="00C803BA">
        <w:t>Not Applicable</w:t>
      </w:r>
    </w:p>
    <w:p w:rsidR="00000000" w:rsidRPr="00C803BA" w:rsidP="00C803BA">
      <w:pPr>
        <w:pStyle w:val="AllowPageBreak"/>
      </w:pPr>
    </w:p>
    <w:p w:rsidR="00000000" w:rsidRPr="00C803BA" w:rsidP="00C803BA">
      <w:pPr>
        <w:pStyle w:val="Heading1"/>
      </w:pPr>
      <w:bookmarkStart w:id="2" w:name="O_229286"/>
      <w:bookmarkEnd w:id="2"/>
      <w:r w:rsidRPr="00C803BA">
        <w:t>Unit Descriptor</w:t>
      </w:r>
    </w:p>
    <w:tbl>
      <w:tblPr>
        <w:tblW w:w="0" w:type="auto"/>
        <w:tblLayout w:type="fixed"/>
        <w:tblCellMar>
          <w:left w:w="62" w:type="dxa"/>
          <w:right w:w="62" w:type="dxa"/>
        </w:tblCellMar>
        <w:tblLook w:val="0000"/>
      </w:tblPr>
      <w:tblGrid>
        <w:gridCol w:w="2700"/>
        <w:gridCol w:w="5760"/>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1</w:t>
            </w:r>
            <w:r w:rsidRPr="00C803BA">
              <w:t>)</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This Unit covers the establishment and restoration of the utilities industry work site. Responsibility for the workload and the workplan/schedule for this competency standard may include interpreting work instructions and direction; prioritising work; usin</w:t>
            </w:r>
            <w:r w:rsidRPr="00C803BA">
              <w:t>g time effectively; arranging work materials; establishing and restoring the work site. Work plans include formal and informal means of prioritising activities; daily plans; quality plans; safe working plans. Procedures include standard operating procedure</w:t>
            </w:r>
            <w:r w:rsidRPr="00C803BA">
              <w:t>s; quality procedures; OHS and environmental procedures; organisation continuous improvement strategy. Documentation related to tasks may include time sheets; requisitions; work sheet/job cards.</w:t>
            </w:r>
          </w:p>
        </w:tc>
      </w:tr>
    </w:tbl>
    <w:p w:rsidR="00F42F1F" w:rsidP="00C803BA">
      <w:pPr>
        <w:pStyle w:val="BodyText"/>
      </w:pPr>
    </w:p>
    <w:p w:rsidR="00F42F1F" w:rsidP="00C803BA">
      <w:pPr>
        <w:pStyle w:val="BodyText"/>
      </w:pPr>
    </w:p>
    <w:p w:rsidR="00000000" w:rsidRPr="00C803BA" w:rsidP="00C803BA">
      <w:pPr>
        <w:pStyle w:val="Heading1"/>
      </w:pPr>
      <w:bookmarkStart w:id="3" w:name="O_229289"/>
      <w:bookmarkEnd w:id="3"/>
      <w:r w:rsidRPr="00C803BA">
        <w:t>Application of the Unit</w:t>
      </w:r>
    </w:p>
    <w:tbl>
      <w:tblPr>
        <w:tblW w:w="0" w:type="auto"/>
        <w:tblLayout w:type="fixed"/>
        <w:tblCellMar>
          <w:left w:w="62" w:type="dxa"/>
          <w:right w:w="62" w:type="dxa"/>
        </w:tblCellMar>
        <w:tblLook w:val="0000"/>
      </w:tblPr>
      <w:tblGrid>
        <w:gridCol w:w="2700"/>
        <w:gridCol w:w="5760"/>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Application of th</w:t>
            </w:r>
            <w:r w:rsidRPr="00C803BA">
              <w:rPr>
                <w:rStyle w:val="SpecialBold"/>
              </w:rPr>
              <w:t>e Unit</w:t>
            </w:r>
          </w:p>
        </w:tc>
        <w:tc>
          <w:tcPr>
            <w:tcW w:w="57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3</w:t>
            </w:r>
            <w:r w:rsidRPr="00C803BA">
              <w:t xml:space="preserve">) </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This competency standard shall apply to any basic and safe work site where Gas Industry operations occur. It could also apply, where applicable to other workplaces in the electricity supply industry (transmission and distribution and generatio</w:t>
            </w:r>
            <w:r w:rsidRPr="00C803BA">
              <w:t>n), the electrotechnology industry and the water industry, subject to all Occupational Health and Safety and duty of care requirements being met for the workplace.</w:t>
            </w:r>
          </w:p>
        </w:tc>
      </w:tr>
    </w:tbl>
    <w:p w:rsidR="00F42F1F" w:rsidP="00C803BA">
      <w:pPr>
        <w:pStyle w:val="BodyText"/>
      </w:pPr>
    </w:p>
    <w:p w:rsidR="00F42F1F" w:rsidP="00C803BA">
      <w:pPr>
        <w:pStyle w:val="BodyText"/>
      </w:pPr>
    </w:p>
    <w:p w:rsidR="00000000" w:rsidRPr="00C803BA" w:rsidP="00C803BA">
      <w:pPr>
        <w:pStyle w:val="Heading1"/>
      </w:pPr>
      <w:bookmarkStart w:id="4" w:name="O_229290"/>
      <w:bookmarkEnd w:id="4"/>
      <w:r w:rsidRPr="00C803BA">
        <w:t>Licensing/Regulatory Information</w:t>
      </w:r>
    </w:p>
    <w:tbl>
      <w:tblPr>
        <w:tblW w:w="0" w:type="auto"/>
        <w:tblLayout w:type="fixed"/>
        <w:tblCellMar>
          <w:left w:w="62" w:type="dxa"/>
          <w:right w:w="62" w:type="dxa"/>
        </w:tblCellMar>
        <w:tblLook w:val="0000"/>
      </w:tblPr>
      <w:tblGrid>
        <w:gridCol w:w="2700"/>
        <w:gridCol w:w="5760"/>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3</w:t>
            </w:r>
            <w:r w:rsidRPr="00C803BA">
              <w:t>.</w:t>
            </w:r>
            <w:r w:rsidRPr="00C803BA">
              <w:rPr>
                <w:rStyle w:val="SpecialBold"/>
              </w:rPr>
              <w:t>1</w:t>
            </w:r>
            <w:r w:rsidRPr="00C803BA">
              <w:t xml:space="preserve">) </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The skills and knowledge described in this unit are not subject to licence regulation other than those directly related to Occupational Health and Safety, gas/electricity/water industry safety and compliance, industrial relations, environmental protection,</w:t>
            </w:r>
            <w:r w:rsidRPr="00C803BA">
              <w:t xml:space="preserve"> telecommunications, anti discrimination and training. Commonwealth, State/Territory or Local Government legislation and regulations may exist that limit the age at which a person can operate certain equipment.</w:t>
            </w:r>
          </w:p>
        </w:tc>
      </w:tr>
    </w:tbl>
    <w:p w:rsidR="00F42F1F" w:rsidP="00C803BA">
      <w:pPr>
        <w:pStyle w:val="BodyText"/>
      </w:pPr>
    </w:p>
    <w:p w:rsidR="00F42F1F" w:rsidP="00C803BA">
      <w:pPr>
        <w:pStyle w:val="BodyText"/>
      </w:pPr>
    </w:p>
    <w:p w:rsidR="00000000" w:rsidRPr="00C803BA" w:rsidP="00C803BA">
      <w:pPr>
        <w:pStyle w:val="Heading1"/>
      </w:pPr>
      <w:bookmarkStart w:id="5" w:name="O_229287"/>
      <w:bookmarkEnd w:id="5"/>
      <w:r w:rsidRPr="00C803BA">
        <w:t>Pre-Requisites</w:t>
      </w:r>
    </w:p>
    <w:tbl>
      <w:tblPr>
        <w:tblW w:w="0" w:type="auto"/>
        <w:tblLayout w:type="fixed"/>
        <w:tblCellMar>
          <w:left w:w="62" w:type="dxa"/>
          <w:right w:w="62" w:type="dxa"/>
        </w:tblCellMar>
        <w:tblLook w:val="0000"/>
      </w:tblPr>
      <w:tblGrid>
        <w:gridCol w:w="2700"/>
        <w:gridCol w:w="1800"/>
        <w:gridCol w:w="3960"/>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Prerequisi</w:t>
            </w:r>
            <w:r w:rsidRPr="00C803BA">
              <w:rPr>
                <w:rStyle w:val="SpecialBold"/>
              </w:rPr>
              <w:t>te Unit</w:t>
            </w:r>
            <w:r w:rsidRPr="00C803BA">
              <w:t>(</w:t>
            </w:r>
            <w:r w:rsidRPr="00C803BA">
              <w:rPr>
                <w:rStyle w:val="SpecialBold"/>
              </w:rPr>
              <w:t>s</w:t>
            </w:r>
            <w:r w:rsidRPr="00C803BA">
              <w:t>)</w:t>
            </w:r>
          </w:p>
        </w:tc>
        <w:tc>
          <w:tcPr>
            <w:tcW w:w="5760" w:type="dxa"/>
            <w:gridSpan w:val="2"/>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2</w:t>
            </w:r>
            <w:r w:rsidRPr="00C803BA">
              <w:t xml:space="preserve">) </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2</w:t>
            </w:r>
            <w:r w:rsidRPr="00C803BA">
              <w:t>.</w:t>
            </w:r>
            <w:r w:rsidRPr="00C803BA">
              <w:rPr>
                <w:rStyle w:val="SpecialBold"/>
              </w:rPr>
              <w:t>1</w:t>
            </w:r>
            <w:r w:rsidRPr="00C803BA">
              <w:t xml:space="preserve">) </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Granting of competency in this unit shall be made only after competency in the following unit(s) has/have been confirmed:</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Nil</w:t>
            </w:r>
          </w:p>
        </w:tc>
        <w:tc>
          <w:tcPr>
            <w:tcW w:w="3960" w:type="dxa"/>
            <w:tcBorders>
              <w:top w:val="nil"/>
              <w:left w:val="nil"/>
              <w:bottom w:val="nil"/>
              <w:right w:val="nil"/>
            </w:tcBorders>
            <w:tcMar>
              <w:top w:w="0" w:type="dxa"/>
              <w:left w:w="62" w:type="dxa"/>
              <w:bottom w:w="0" w:type="dxa"/>
              <w:right w:w="62" w:type="dxa"/>
            </w:tcMar>
          </w:tcPr>
          <w:p w:rsidR="00000000" w:rsidRPr="00C803BA" w:rsidP="00C803BA">
            <w:pPr>
              <w:pStyle w:val="BodyText"/>
            </w:pPr>
          </w:p>
        </w:tc>
      </w:tr>
    </w:tbl>
    <w:p w:rsidR="00F42F1F" w:rsidP="00C803BA">
      <w:pPr>
        <w:pStyle w:val="BodyText"/>
      </w:pPr>
    </w:p>
    <w:p w:rsidR="00F42F1F" w:rsidP="00C803BA">
      <w:pPr>
        <w:pStyle w:val="BodyText"/>
      </w:pPr>
    </w:p>
    <w:p w:rsidR="00000000" w:rsidRPr="00C803BA" w:rsidP="00C803BA">
      <w:pPr>
        <w:pStyle w:val="Heading1"/>
      </w:pPr>
      <w:bookmarkStart w:id="6" w:name="O_285326"/>
      <w:bookmarkEnd w:id="6"/>
      <w:r w:rsidRPr="00C803BA">
        <w:t>Employability Skills Information</w:t>
      </w:r>
    </w:p>
    <w:p w:rsidR="00000000" w:rsidRPr="00C803BA" w:rsidP="00C803BA">
      <w:pPr>
        <w:pStyle w:val="BodyText"/>
      </w:pPr>
      <w:r w:rsidRPr="00C803BA">
        <w:t>Refer to the Evidence Guide</w:t>
      </w:r>
    </w:p>
    <w:p w:rsidR="00000000" w:rsidRPr="00C803BA" w:rsidP="00C803BA">
      <w:pPr>
        <w:pStyle w:val="AllowPageBreak"/>
      </w:pPr>
    </w:p>
    <w:p w:rsidR="00000000" w:rsidRPr="00C803BA" w:rsidP="00C803BA">
      <w:pPr>
        <w:pStyle w:val="Heading1"/>
      </w:pPr>
      <w:bookmarkStart w:id="7" w:name="O_293123"/>
      <w:bookmarkEnd w:id="7"/>
      <w:r w:rsidRPr="00C803BA">
        <w:t>Elements and Performance Criteria Pre-Content</w:t>
      </w:r>
    </w:p>
    <w:tbl>
      <w:tblPr>
        <w:tblW w:w="0" w:type="auto"/>
        <w:tblLayout w:type="fixed"/>
        <w:tblCellMar>
          <w:left w:w="62" w:type="dxa"/>
          <w:right w:w="62" w:type="dxa"/>
        </w:tblCellMar>
        <w:tblLook w:val="0000"/>
      </w:tblPr>
      <w:tblGrid>
        <w:gridCol w:w="2700"/>
        <w:gridCol w:w="5760"/>
      </w:tblGrid>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5</w:t>
            </w:r>
            <w:r w:rsidRPr="00C803B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Performance Criteria describe the required performance needed to demonstrate achievement of the element. Assessment of p</w:t>
            </w:r>
            <w:r w:rsidRPr="00C803BA">
              <w:t>erformance is to be consistent with the evidence guide.</w:t>
            </w:r>
          </w:p>
        </w:tc>
      </w:tr>
    </w:tbl>
    <w:p w:rsidR="00000000" w:rsidRPr="00C803BA" w:rsidP="00C803BA">
      <w:pPr>
        <w:pStyle w:val="BodyText"/>
      </w:pPr>
    </w:p>
    <w:p w:rsidR="00000000" w:rsidRPr="00C803BA" w:rsidP="00C803BA">
      <w:pPr>
        <w:pStyle w:val="AllowPageBreak"/>
      </w:pPr>
    </w:p>
    <w:p w:rsidR="00000000" w:rsidRPr="00C803BA" w:rsidP="00C803BA">
      <w:pPr>
        <w:pStyle w:val="Heading1"/>
      </w:pPr>
      <w:bookmarkStart w:id="8" w:name="O_239791"/>
      <w:bookmarkEnd w:id="8"/>
      <w:r w:rsidRPr="00C803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2F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PERFORMANCE CRITERIA</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w:t>
            </w:r>
          </w:p>
        </w:tc>
        <w:tc>
          <w:tcPr>
            <w:tcW w:w="2296" w:type="dxa"/>
            <w:vMerge w:val="restart"/>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Prepare to establish/restore the work site and schedule of work</w:t>
            </w: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1.1</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 instructions are identified, received and confirmed</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1.2</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Relevant requirements, specifications and priorities are set as per procedures to establish and confirm the work schedule</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1.3</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OHS, environmental and sustainable energy policies and procedures to be followed for the work to be performed are received and confirmed</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1.4</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Suggestions to assist with the establishing/restoration of the work site are made to others involved in the work</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1.5</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Hazards are identified, OHS risks assessed and control measures are prioritised, implemented and monitored including emergency exits kept clear according to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1.6</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Scope of responsibility under the relevant work permit, where appropriate, is received and confirmed according to requirements and established procedures with relevant persons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1.7</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Resources including equipment, tools, drawings, notices and personal prot</w:t>
            </w:r>
            <w:r w:rsidRPr="00C803BA">
              <w:t>ective equipment required for the job are identified and checked for working order according to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1.8</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Relevant responsibilities associated with First Aid and other related work safety procedures at the work site are checked and conf</w:t>
            </w:r>
            <w:r w:rsidRPr="00C803BA">
              <w:t>irmed in accordance with requirements and established procedures to ensure safety measures and followed in the instance of an incident</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1.9</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Client issues are referred to appropriate persons in accordance with industry standards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1.10</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 xml:space="preserve">Site preparation is confirmed according to given instructions, as is the site safety plan and the work schedule for a quality outcome and to </w:t>
            </w:r>
            <w:r w:rsidRPr="00C803BA">
              <w:t>minimise risk and damage to property, commerce and individuals in accordance with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w:t>
            </w:r>
          </w:p>
        </w:tc>
        <w:tc>
          <w:tcPr>
            <w:tcW w:w="2296" w:type="dxa"/>
            <w:vMerge w:val="restart"/>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Establi</w:t>
            </w:r>
            <w:r w:rsidRPr="00C803BA">
              <w:t>sh/restore the work site and schedule of work</w:t>
            </w: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2.1</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OHS policies and procedures and safe work practices are followed to eliminate or minimise incidents and hazards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2.2</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Lifting, climbing, working in confined spaces and aloft, and use of power tools/equipme</w:t>
            </w:r>
            <w:r w:rsidRPr="00C803BA">
              <w:t>nt, techniques and practices are safely followed in accordance with given instructions and according to requirements confirmed to eliminate the prospects of incidents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2.3</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Operational knowledge for establishing/restoration of the work site is confirmed to ensure completion in an agreed timeframe and to quality standards with a minimum of waste according to requirements and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2.4</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Establishing/restoring</w:t>
            </w:r>
            <w:r w:rsidRPr="00C803BA">
              <w:t xml:space="preserve"> the work site is carried out in accordance with given instructions and established procedures to ensure all process aspects of the work are confirmed</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2.5</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Hazard warnings and safety signs are recognised and hazards assessed and OHS risks are reported to</w:t>
            </w:r>
            <w:r w:rsidRPr="00C803BA">
              <w:t xml:space="preserve"> the immediate authorised persons for directions according to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2.6</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Non-routine events are referred to the immediate authorised persons for directions according to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2.7</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Problems associated with establishing/restoring the work site are dealt with using acquired known solutions and skills related to routine procedures to ensure work instructions and established procedures are met</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2.8</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Ongoing checks of quality of the work</w:t>
            </w:r>
            <w:r w:rsidRPr="00C803BA">
              <w:t xml:space="preserve"> are undertaken and work is completed within an allocated timeframe in accordance with given instructions and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w:t>
            </w:r>
          </w:p>
        </w:tc>
        <w:tc>
          <w:tcPr>
            <w:tcW w:w="2296" w:type="dxa"/>
            <w:vMerge w:val="restart"/>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Review and document establishment/ restoration of work site schedule of work</w:t>
            </w: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3.1</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 undertaken is checked against work</w:t>
            </w:r>
            <w:r w:rsidRPr="00C803BA">
              <w:t xml:space="preserve"> schedule and anomalies reported to authorised persons in accordance with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3.2</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Accidents and incidents are actioned and reported to authorised persons in accordance with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3.3</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 site is rehabilitated, cleaned up and made safe in accordance with given instructions and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3.4</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Tools, equipment and any surplus resources and materials are, where appropriate, cleaned, checked and returned to storage in accord</w:t>
            </w:r>
            <w:r w:rsidRPr="00C803BA">
              <w:t>ance with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3.5</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Appropriate persons are notified of work completion according to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3.6</w:t>
            </w:r>
          </w:p>
        </w:tc>
        <w:tc>
          <w:tcPr>
            <w:tcW w:w="48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 completion records, report forms/data sheets are completed accurately in accordance with given instructions and established procedures</w:t>
            </w:r>
          </w:p>
        </w:tc>
      </w:tr>
      <w:tr w:rsidTr="00F42F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3.7</w:t>
            </w:r>
          </w:p>
        </w:tc>
        <w:tc>
          <w:tcPr>
            <w:tcW w:w="48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Performance feedback is sought to confirm outcomes are in agreement with work requirements and specifications</w:t>
            </w:r>
          </w:p>
        </w:tc>
      </w:tr>
    </w:tbl>
    <w:p w:rsidR="00F42F1F" w:rsidP="00C803BA">
      <w:pPr>
        <w:pStyle w:val="BodyText"/>
      </w:pPr>
    </w:p>
    <w:p w:rsidR="00F42F1F" w:rsidP="00C803BA">
      <w:pPr>
        <w:pStyle w:val="BodyText"/>
      </w:pPr>
    </w:p>
    <w:p w:rsidR="00000000" w:rsidRPr="00C803BA" w:rsidP="00C803BA">
      <w:pPr>
        <w:pStyle w:val="Heading1"/>
      </w:pPr>
      <w:bookmarkStart w:id="9" w:name="O_263582"/>
      <w:bookmarkEnd w:id="9"/>
      <w:r w:rsidRPr="00C803BA">
        <w:t>Required Skills and Knowledge</w:t>
      </w:r>
    </w:p>
    <w:tbl>
      <w:tblPr>
        <w:tblW w:w="0" w:type="auto"/>
        <w:tblLayout w:type="fixed"/>
        <w:tblCellMar>
          <w:left w:w="62" w:type="dxa"/>
          <w:right w:w="62" w:type="dxa"/>
        </w:tblCellMar>
        <w:tblLook w:val="0000"/>
      </w:tblPr>
      <w:tblGrid>
        <w:gridCol w:w="2700"/>
        <w:gridCol w:w="1080"/>
        <w:gridCol w:w="4680"/>
      </w:tblGrid>
      <w:tr w:rsidTr="00F42F1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REQUIRED SKILLS AND KNOWLEDGE</w:t>
            </w:r>
          </w:p>
        </w:tc>
      </w:tr>
      <w:tr w:rsidTr="00F42F1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6</w:t>
            </w:r>
            <w:r w:rsidRPr="00C803BA">
              <w:t>) This describes the essential skills and knowledge and their level, required for this unit.</w:t>
            </w:r>
          </w:p>
        </w:tc>
      </w:tr>
      <w:tr w:rsidTr="00F42F1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Evidence shall show</w:t>
            </w:r>
            <w:r w:rsidRPr="00C803BA">
              <w:t xml:space="preserve"> that knowledge has been acquired of safe working practices for establishing the work site. The extent of the essential knowledge and associated skills (EKAS) required is given in Volume 2 - Part 2.2 EKAS.  It forms an integral part of this unit.</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w:t>
            </w:r>
            <w:r w:rsidRPr="00C803BA">
              <w:t>.1</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Working in the Gas Sector</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2.1.2</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Identify roles of statutory authorities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2.1.3</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Identify employment roles and responsibilities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2.1.4</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Apply relevant OHS regulations, policies and procedures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2.1.5</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Maintain safe, clean and healthy workplace</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2.1.6</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Work safely with hazardous materials and equipment</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2.1.7</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Apply safe manual handling techniques in the workplace</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2.1.8</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Control traffic at the work site</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2.1.9</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Respond to emergency and accident situations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2.1.10</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Apply relevant environmental legislation, regulations and codes of practice</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2.1.11</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Protect and maintain the environment</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2.1.12</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Communicate in the workplace</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2.1.13</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Communicate effectively in a team</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2.1.14</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Read and interpret workplace documents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2.1.15</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Complete routine workplace forms, memos and reports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2.1.16</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Identify requirements of work activity</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2.1.17</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Apply basic planning skills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2.1.18</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Conduct tasks to complete work activity</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2.1.19</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Review work activity</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2.1.20</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Customer relations</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2.1.21</w:t>
            </w:r>
          </w:p>
        </w:tc>
        <w:tc>
          <w:tcPr>
            <w:tcW w:w="46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Problem solving</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G 2.1.22</w:t>
            </w:r>
          </w:p>
        </w:tc>
        <w:tc>
          <w:tcPr>
            <w:tcW w:w="468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Confined spaces</w:t>
            </w:r>
          </w:p>
        </w:tc>
      </w:tr>
    </w:tbl>
    <w:p w:rsidR="00F42F1F" w:rsidP="00C803BA">
      <w:pPr>
        <w:pStyle w:val="BodyText"/>
      </w:pPr>
    </w:p>
    <w:p w:rsidR="00F42F1F" w:rsidP="00C803BA">
      <w:pPr>
        <w:pStyle w:val="BodyText"/>
      </w:pPr>
    </w:p>
    <w:p w:rsidR="00000000" w:rsidRPr="00C803BA" w:rsidP="00C803BA">
      <w:pPr>
        <w:pStyle w:val="Heading1"/>
      </w:pPr>
      <w:bookmarkStart w:id="10" w:name="O_247774"/>
      <w:bookmarkEnd w:id="10"/>
      <w:r w:rsidRPr="00C803BA">
        <w:t>Evidence Guide</w:t>
      </w:r>
    </w:p>
    <w:tbl>
      <w:tblPr>
        <w:tblW w:w="0" w:type="auto"/>
        <w:tblLayout w:type="fixed"/>
        <w:tblCellMar>
          <w:left w:w="62" w:type="dxa"/>
          <w:right w:w="62" w:type="dxa"/>
        </w:tblCellMar>
        <w:tblLook w:val="0000"/>
      </w:tblPr>
      <w:tblGrid>
        <w:gridCol w:w="2160"/>
        <w:gridCol w:w="540"/>
        <w:gridCol w:w="900"/>
        <w:gridCol w:w="180"/>
        <w:gridCol w:w="1440"/>
        <w:gridCol w:w="1677"/>
        <w:gridCol w:w="1563"/>
      </w:tblGrid>
      <w:tr w:rsidTr="00F42F1F">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EVIDENCE GUIDE</w:t>
            </w:r>
          </w:p>
        </w:tc>
      </w:tr>
      <w:tr w:rsidTr="00F42F1F">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8</w:t>
            </w:r>
            <w:r w:rsidRPr="00C803BA">
              <w:t>) The Evidence Guide forms an integral part of this</w:t>
            </w:r>
            <w:r w:rsidRPr="00C803BA">
              <w:t xml:space="preserve"> Unit and shall be used in conjunction with all components parts of this unit and performed in accordance with the Assessment Guidelines of this Training Package.</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1</w:t>
            </w:r>
            <w:r w:rsidRPr="00C803BA">
              <w:t xml:space="preserve">) </w:t>
            </w:r>
          </w:p>
          <w:p w:rsidR="00000000" w:rsidRPr="00C803BA" w:rsidP="00C803BA">
            <w:pPr>
              <w:pStyle w:val="BodyText"/>
            </w:pPr>
            <w:r w:rsidRPr="00C803BA">
              <w:t>Longitudinal c</w:t>
            </w:r>
            <w:r w:rsidRPr="00C803BA">
              <w:t>ompetency development approaches to assessment, such as Profiling, require data to be reliably gathered in a form that can be consistently interpreted over time. This approach is best utilised in Apprenticeship programs and reduces assessment intervention.</w:t>
            </w:r>
            <w:r w:rsidRPr="00C803BA">
              <w:t xml:space="preserve"> It is the Industry's preferred model for apprenticeships. However, where summative (or final) assessment is used it is to include the application of the competency in the normal work environment or, at a minimum, the application of the competency in a rea</w:t>
            </w:r>
            <w:r w:rsidRPr="00C803BA">
              <w:t>listically simulated work environment. It is recognised that, in some circumstances, assessment in part or full can occur outside the workplace. However, it must be in accord with industry and regulatory policy in this regard.</w:t>
            </w:r>
          </w:p>
          <w:p w:rsidR="00000000" w:rsidRPr="00C803BA" w:rsidP="00C803BA">
            <w:pPr>
              <w:pStyle w:val="BodyText"/>
            </w:pPr>
            <w:r w:rsidRPr="00C803BA">
              <w:t>Methods chosen for a particul</w:t>
            </w:r>
            <w:r w:rsidRPr="00C803BA">
              <w:t>ar assessment will be influenced by various factors. These include the extent of the assessment, the most effective locations for the assessment activities to take place, access to physical resources, additional safety measures that may be required and the</w:t>
            </w:r>
            <w:r w:rsidRPr="00C803BA">
              <w:t xml:space="preserve"> critical nature of the competencies being assessed.</w:t>
            </w:r>
          </w:p>
          <w:p w:rsidR="00000000" w:rsidRPr="00C803BA" w:rsidP="00C803BA">
            <w:pPr>
              <w:pStyle w:val="BodyText"/>
            </w:pPr>
            <w:r w:rsidRPr="00C803BA">
              <w:t xml:space="preserve">The critical safety nature of working with electricity, electrical equipment, gas or any other hazardous substance/material carries risk in deeming a person competent. Hence, sources of evidence need to </w:t>
            </w:r>
            <w:r w:rsidRPr="00C803BA">
              <w:t>be 'rich' in nature so as to minimise error in judgment.</w:t>
            </w:r>
          </w:p>
          <w:p w:rsidR="00000000" w:rsidP="00C803BA">
            <w:pPr>
              <w:pStyle w:val="BodyText"/>
              <w:rPr>
                <w:lang w:val="en-NZ"/>
              </w:rPr>
            </w:pPr>
            <w:r w:rsidRPr="00C803BA">
              <w:t>Activities associated with normal every day work have a bearing on the decision as to how much and how detailed the data gathered will contribute to its 'richness'. Some skills are more critical to s</w:t>
            </w:r>
            <w:r w:rsidRPr="00C803BA">
              <w:t>afety and operational requirements while the same skills may be more or less frequently practised. These points are raised for the assessors to consider when choosing an assessment method and developing assessment instruments. Sample assessment instruments</w:t>
            </w:r>
            <w:r w:rsidRPr="00C803BA">
              <w:t xml:space="preserve"> are included in the Assessment Guidelines of this Training Package.</w:t>
            </w:r>
          </w:p>
        </w:tc>
      </w:tr>
      <w:tr w:rsidTr="00F42F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2</w:t>
            </w:r>
            <w:r w:rsidRPr="00C803BA">
              <w:t xml:space="preserve">) </w:t>
            </w:r>
          </w:p>
          <w:p w:rsidR="00000000" w:rsidP="00C803BA">
            <w:pPr>
              <w:pStyle w:val="BodyText"/>
              <w:rPr>
                <w:lang w:val="en-NZ"/>
              </w:rPr>
            </w:pPr>
            <w:r w:rsidRPr="00C803BA">
              <w:t>Before the critical aspects of evidence are considered all prerequisites shall be met.</w:t>
            </w:r>
          </w:p>
        </w:tc>
      </w:tr>
      <w:tr w:rsidTr="00F42F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C803BA">
            <w:pPr>
              <w:pStyle w:val="ListBullet"/>
              <w:rPr>
                <w:lang w:val="en-NZ"/>
              </w:rPr>
            </w:pPr>
            <w:r w:rsidRPr="00C803BA">
              <w:t>A</w:t>
            </w:r>
            <w:r w:rsidRPr="00C803BA">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ListBullet2"/>
            </w:pPr>
            <w:r w:rsidRPr="00C803BA">
              <w:t>Implement Occupational Health and Safety workplace procedures and practices including the use of risk control measures as specified in the Performance Criteria and range</w:t>
            </w:r>
          </w:p>
          <w:p w:rsidR="00000000" w:rsidRPr="00C803BA" w:rsidP="00C803BA">
            <w:pPr>
              <w:pStyle w:val="ListBullet2"/>
            </w:pPr>
            <w:r w:rsidRPr="00C803BA">
              <w:t>Apply sustainable energy principles and practices as specified in the Performance Crit</w:t>
            </w:r>
            <w:r w:rsidRPr="00C803BA">
              <w:t>eria and range</w:t>
            </w:r>
          </w:p>
          <w:p w:rsidR="00000000" w:rsidRPr="00C803BA" w:rsidP="00C803BA">
            <w:pPr>
              <w:pStyle w:val="ListBullet2"/>
            </w:pPr>
            <w:r w:rsidRPr="00C803BA">
              <w:t>Demonstrate an understanding of the essential knowledge and associated skills as described in this unit to such an extent that the learner's performance outcome is reported in accordance with the preferred approach; namely a percentile grade</w:t>
            </w:r>
            <w:r w:rsidRPr="00C803BA">
              <w:t>d result, where required by the regulated environment</w:t>
            </w:r>
          </w:p>
          <w:p w:rsidR="00000000" w:rsidRPr="00C803BA" w:rsidP="00C803BA">
            <w:pPr>
              <w:pStyle w:val="ListBullet2"/>
            </w:pPr>
            <w:r w:rsidRPr="00C803BA">
              <w:t>Demonstrate an appropriate level of skills enabling employment</w:t>
            </w:r>
          </w:p>
          <w:p w:rsidR="00000000" w:rsidP="00C803BA">
            <w:pPr>
              <w:pStyle w:val="ListBullet2"/>
              <w:rPr>
                <w:lang w:val="en-NZ"/>
              </w:rPr>
            </w:pPr>
            <w:r w:rsidRPr="00C803BA">
              <w:t>Conduct work observing the relevant Anti discrimination legislation, regulations, polices and workplace procedures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803BA">
            <w:pPr>
              <w:pStyle w:val="ListBullet2"/>
              <w:rPr>
                <w:lang w:val="en-NZ"/>
              </w:rPr>
            </w:pPr>
            <w:r w:rsidRPr="00C803BA">
              <w:t>Demonstrate performance across a representative range of contexts from the prescribed items below:</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C803BA">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rPr>
                <w:rStyle w:val="SpecialBold"/>
              </w:rPr>
              <w:t>Range of tools</w:t>
            </w:r>
            <w:r w:rsidRPr="00C803BA">
              <w:t>/</w:t>
            </w:r>
            <w:r w:rsidRPr="00C803BA">
              <w:rPr>
                <w:rStyle w:val="SpecialBold"/>
              </w:rPr>
              <w:t>equipment</w:t>
            </w:r>
            <w:r w:rsidRPr="00C803BA">
              <w:t>/</w:t>
            </w:r>
            <w:r w:rsidRPr="00C803BA">
              <w:rPr>
                <w:rStyle w:val="SpecialBold"/>
              </w:rPr>
              <w:t>procedures</w:t>
            </w:r>
            <w:r w:rsidRPr="00C803BA">
              <w:t>/</w:t>
            </w:r>
            <w:r w:rsidRPr="00C803BA">
              <w:rPr>
                <w:rStyle w:val="SpecialBold"/>
              </w:rPr>
              <w:t>workplaces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C803B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rPr>
                <w:rStyle w:val="SpecialBold"/>
              </w:rPr>
              <w:t>Item List</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t>Correctly retrieve and use plans, drawings and maps</w:t>
            </w:r>
          </w:p>
          <w:p w:rsidR="00000000" w:rsidRPr="00C803BA" w:rsidP="00C803BA">
            <w:pPr>
              <w:pStyle w:val="BodyText"/>
            </w:pPr>
            <w:r w:rsidRPr="00C803BA">
              <w:t>Submit Dial Before You Dig or its equivalent application</w:t>
            </w:r>
          </w:p>
          <w:p w:rsidR="00000000" w:rsidRPr="00C803BA" w:rsidP="00C803BA">
            <w:pPr>
              <w:pStyle w:val="BodyText"/>
            </w:pPr>
            <w:r w:rsidRPr="00C803BA">
              <w:t>Obtain procedures and work instructions</w:t>
            </w:r>
          </w:p>
          <w:p w:rsidR="00000000" w:rsidRPr="00C803BA" w:rsidP="00C803BA">
            <w:pPr>
              <w:pStyle w:val="BodyText"/>
            </w:pPr>
            <w:r w:rsidRPr="00C803BA">
              <w:t>Correctly interpret instructions</w:t>
            </w:r>
          </w:p>
          <w:p w:rsidR="00000000" w:rsidRPr="00C803BA" w:rsidP="00C803BA">
            <w:pPr>
              <w:pStyle w:val="BodyText"/>
            </w:pPr>
            <w:r w:rsidRPr="00C803BA">
              <w:t>Advise stakeholders of upcoming work</w:t>
            </w:r>
          </w:p>
          <w:p w:rsidR="00000000" w:rsidRPr="00C803BA" w:rsidP="00C803BA">
            <w:pPr>
              <w:pStyle w:val="BodyText"/>
            </w:pPr>
            <w:r w:rsidRPr="00C803BA">
              <w:t>Prepare a safe work metho</w:t>
            </w:r>
            <w:r w:rsidRPr="00C803BA">
              <w:t>d statement or JSA</w:t>
            </w:r>
          </w:p>
          <w:p w:rsidR="00000000" w:rsidP="00C803BA">
            <w:pPr>
              <w:pStyle w:val="BodyText"/>
              <w:rPr>
                <w:lang w:val="en-NZ"/>
              </w:rPr>
            </w:pPr>
            <w:r w:rsidRPr="00C803BA">
              <w:t>Obtain all work permits as necessary</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t>Locate all services in area</w:t>
            </w:r>
          </w:p>
          <w:p w:rsidR="00000000" w:rsidRPr="00C803BA" w:rsidP="00C803BA">
            <w:pPr>
              <w:pStyle w:val="BodyText"/>
            </w:pPr>
            <w:r w:rsidRPr="00C803BA">
              <w:t>Procure all materials and equipment</w:t>
            </w:r>
          </w:p>
          <w:p w:rsidR="00000000" w:rsidRPr="00C803BA" w:rsidP="00C803BA">
            <w:pPr>
              <w:pStyle w:val="BodyText"/>
            </w:pPr>
            <w:r w:rsidRPr="00C803BA">
              <w:t>Obtain all relevant MSDS sheets</w:t>
            </w:r>
          </w:p>
          <w:p w:rsidR="00000000" w:rsidRPr="00C803BA" w:rsidP="00C803BA">
            <w:pPr>
              <w:pStyle w:val="BodyText"/>
            </w:pPr>
            <w:r w:rsidRPr="00C803BA">
              <w:t>Identify and control all possible environmental hazards</w:t>
            </w:r>
          </w:p>
          <w:p w:rsidR="00000000" w:rsidRPr="00C803BA" w:rsidP="00C803BA">
            <w:pPr>
              <w:pStyle w:val="BodyText"/>
            </w:pPr>
            <w:r w:rsidRPr="00C803BA">
              <w:t>Identify control measures for identified hazards</w:t>
            </w:r>
          </w:p>
          <w:p w:rsidR="00000000" w:rsidRPr="00C803BA" w:rsidP="00C803BA">
            <w:pPr>
              <w:pStyle w:val="BodyText"/>
            </w:pPr>
            <w:r w:rsidRPr="00C803BA">
              <w:t>Induct all site workers and explain all hazards</w:t>
            </w:r>
          </w:p>
          <w:p w:rsidR="00000000" w:rsidRPr="00C803BA" w:rsidP="00C803BA">
            <w:pPr>
              <w:pStyle w:val="BodyText"/>
            </w:pPr>
            <w:r w:rsidRPr="00C803BA">
              <w:t>Correctly use PPE appropriate to the Industry</w:t>
            </w:r>
          </w:p>
          <w:p w:rsidR="00000000" w:rsidP="00C803BA">
            <w:pPr>
              <w:pStyle w:val="BodyText"/>
              <w:rPr>
                <w:lang w:val="en-NZ"/>
              </w:rPr>
            </w:pPr>
            <w:r w:rsidRPr="00C803BA">
              <w:t>Perform machinery daily log checks and verify operator qualifications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t>Traffic control management</w:t>
            </w:r>
          </w:p>
          <w:p w:rsidR="00000000" w:rsidRPr="00C803BA" w:rsidP="00C803BA">
            <w:pPr>
              <w:pStyle w:val="BodyText"/>
            </w:pPr>
            <w:r w:rsidRPr="00C803BA">
              <w:t>Erect barricades</w:t>
            </w:r>
          </w:p>
          <w:p w:rsidR="00000000" w:rsidRPr="00C803BA" w:rsidP="00C803BA">
            <w:pPr>
              <w:pStyle w:val="BodyText"/>
            </w:pPr>
            <w:r w:rsidRPr="00C803BA">
              <w:t>Establish warning and safety signs</w:t>
            </w:r>
          </w:p>
          <w:p w:rsidR="00000000" w:rsidRPr="00C803BA" w:rsidP="00C803BA">
            <w:pPr>
              <w:pStyle w:val="BodyText"/>
            </w:pPr>
            <w:r w:rsidRPr="00C803BA">
              <w:t>Establish a muster point where appropriate</w:t>
            </w:r>
          </w:p>
          <w:p w:rsidR="00000000" w:rsidP="00C803BA">
            <w:pPr>
              <w:pStyle w:val="BodyText"/>
              <w:rPr>
                <w:lang w:val="en-NZ"/>
              </w:rPr>
            </w:pPr>
            <w:r w:rsidRPr="00C803BA">
              <w:t>Log all steps onto permit or work sheet</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t>Work utilising relevant OHS legislation, regulations, policies and procedures</w:t>
            </w:r>
          </w:p>
          <w:p w:rsidR="00000000" w:rsidRPr="00C803BA" w:rsidP="00C803BA">
            <w:pPr>
              <w:pStyle w:val="BodyText"/>
            </w:pPr>
            <w:r w:rsidRPr="00C803BA">
              <w:t>Maint</w:t>
            </w:r>
            <w:r w:rsidRPr="00C803BA">
              <w:t>ain a safe and clean workplace</w:t>
            </w:r>
          </w:p>
          <w:p w:rsidR="00000000" w:rsidRPr="00C803BA" w:rsidP="00C803BA">
            <w:pPr>
              <w:pStyle w:val="BodyText"/>
            </w:pPr>
            <w:r w:rsidRPr="00C803BA">
              <w:t>Work safely with hazardous materials and equipment</w:t>
            </w:r>
          </w:p>
          <w:p w:rsidR="00000000" w:rsidRPr="00C803BA" w:rsidP="00C803BA">
            <w:pPr>
              <w:pStyle w:val="BodyText"/>
            </w:pPr>
            <w:r w:rsidRPr="00C803BA">
              <w:t>Apply safe manual handling techniques</w:t>
            </w:r>
          </w:p>
          <w:p w:rsidR="00000000" w:rsidRPr="00C803BA" w:rsidP="00C803BA">
            <w:pPr>
              <w:pStyle w:val="BodyText"/>
            </w:pPr>
            <w:r w:rsidRPr="00C803BA">
              <w:t>Communicate effectively in the workplace</w:t>
            </w:r>
          </w:p>
          <w:p w:rsidR="00000000" w:rsidP="00C803BA">
            <w:pPr>
              <w:pStyle w:val="BodyText"/>
              <w:rPr>
                <w:lang w:val="en-NZ"/>
              </w:rPr>
            </w:pPr>
            <w:r w:rsidRPr="00C803BA">
              <w:t>Apply basic planning skills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Deal with an unplanned event by drawing on essential knowledge and associated skills to provide appropriate solutions incorporated in the holistic assessment with the above listed items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3</w:t>
            </w:r>
            <w:r w:rsidRPr="00C803BA">
              <w:t xml:space="preserve">) </w:t>
            </w:r>
          </w:p>
          <w:p w:rsidR="00000000" w:rsidRPr="00C803BA" w:rsidP="00C803BA">
            <w:pPr>
              <w:pStyle w:val="BodyText"/>
            </w:pPr>
            <w:r w:rsidRPr="00C803BA">
              <w:t>This unit sho</w:t>
            </w:r>
            <w:r w:rsidRPr="00C803BA">
              <w:t>uld be assessed as it relates to normal work practice using procedures, information and resources typical of a workplace. This should include:</w:t>
            </w:r>
          </w:p>
          <w:p w:rsidR="00000000" w:rsidRPr="00C803BA" w:rsidP="00C803BA">
            <w:pPr>
              <w:pStyle w:val="ListBullet"/>
            </w:pPr>
            <w:r w:rsidRPr="00C803BA">
              <w:t>OHS policy and work procedures and instructions.</w:t>
            </w:r>
          </w:p>
          <w:p w:rsidR="00000000" w:rsidRPr="00C803BA" w:rsidP="00C803BA">
            <w:pPr>
              <w:pStyle w:val="ListBullet"/>
            </w:pPr>
            <w:r w:rsidRPr="00C803BA">
              <w:t>Suitable work environment, facilities, equipment and materials to undertake actual work as prescribed by this Unit.</w:t>
            </w:r>
          </w:p>
          <w:p w:rsidR="00000000" w:rsidRPr="00C803BA" w:rsidP="00C803BA">
            <w:pPr>
              <w:pStyle w:val="ListBullet"/>
            </w:pPr>
            <w:r w:rsidRPr="00C803BA">
              <w:t>Appropriate environmental regulation and work practices.</w:t>
            </w:r>
          </w:p>
          <w:p w:rsidR="00000000" w:rsidRPr="00C803BA" w:rsidP="00C803BA">
            <w:pPr>
              <w:pStyle w:val="ListBullet"/>
            </w:pPr>
            <w:r w:rsidRPr="00C803BA">
              <w:t>Appropriate organisational requirements.</w:t>
            </w:r>
          </w:p>
          <w:p w:rsidR="00000000" w:rsidP="00C803BA">
            <w:pPr>
              <w:pStyle w:val="ListBullet"/>
              <w:rPr>
                <w:lang w:val="en-NZ"/>
              </w:rPr>
            </w:pPr>
            <w:r w:rsidRPr="00C803BA">
              <w:t>Appropriate work environment, equipment an</w:t>
            </w:r>
            <w:r w:rsidRPr="00C803BA">
              <w:t>d tools.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 xml:space="preserve">In addition to the resources listed above, in Context of and specific resources for assessment, evidence should show demonstrated competency in establishing the work site. </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Assessment of this competency must also be undertaken in either an actual workplace or under a simulated work environment. Assessment must also integrate the key competencies.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4</w:t>
            </w:r>
            <w:r w:rsidRPr="00C803BA">
              <w:t xml:space="preserve">) </w:t>
            </w:r>
          </w:p>
          <w:p w:rsidR="00000000" w:rsidRPr="00C803BA" w:rsidP="00C803BA">
            <w:pPr>
              <w:pStyle w:val="BodyText"/>
            </w:pPr>
            <w:r w:rsidRPr="00C803BA">
              <w:t>This Unit shall be assessed by methods given in</w:t>
            </w:r>
            <w:r w:rsidRPr="00C803BA">
              <w:t xml:space="preserve"> Volume 1, Part 3 'Assessment Guidelines'.</w:t>
            </w:r>
          </w:p>
          <w:p w:rsidR="00000000" w:rsidP="00C803BA">
            <w:pPr>
              <w:pStyle w:val="BodyText"/>
              <w:rPr>
                <w:lang w:val="en-NZ"/>
              </w:rPr>
            </w:pPr>
            <w:r w:rsidRPr="00C803BA">
              <w:t>Note:</w:t>
            </w:r>
            <w:r w:rsidRPr="00C803BA">
              <w:br/>
              <w:t>Competent performance with inherent safe working practices is expected in the Industry to which this Unit applies. This requires that the specified Essential Knowledge and Associated Skills are assessed in a</w:t>
            </w:r>
            <w:r w:rsidRPr="00C803BA">
              <w:t xml:space="preserve"> structured environment which is primarily intended for learning/assessment and incorporates all necessary equipment and facilities for learners to develop and demonstrate the Essential Knowledge and Associated Skills described in this unit.</w:t>
            </w:r>
          </w:p>
        </w:tc>
      </w:tr>
      <w:tr w:rsidTr="00F42F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8</w:t>
            </w:r>
            <w:r w:rsidRPr="00C803BA">
              <w:t>.</w:t>
            </w:r>
            <w:r w:rsidRPr="00C803BA">
              <w:rPr>
                <w:rStyle w:val="SpecialBold"/>
              </w:rPr>
              <w:t>5</w:t>
            </w:r>
            <w:r w:rsidRPr="00C803BA">
              <w:t xml:space="preserve">) </w:t>
            </w:r>
          </w:p>
        </w:tc>
      </w:tr>
      <w:tr w:rsidTr="00F42F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There are no recommended concurrent assessments with this unit, however in some cases efficiencies may be gained in terms of learning and assessment effort being concurrently managed with</w:t>
            </w:r>
            <w:r w:rsidRPr="00C803BA">
              <w:t xml:space="preserve"> allied Units where listed.</w:t>
            </w:r>
          </w:p>
        </w:tc>
      </w:tr>
      <w:tr w:rsidTr="00F42F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UEGNSG102A</w:t>
            </w:r>
          </w:p>
        </w:tc>
        <w:tc>
          <w:tcPr>
            <w:tcW w:w="468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Carry out work activities in a utilities industry work environment</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UEGNSG103A</w:t>
            </w:r>
          </w:p>
        </w:tc>
        <w:tc>
          <w:tcPr>
            <w:tcW w:w="468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Comply with workplace OHS procedures and practices</w:t>
            </w:r>
          </w:p>
        </w:tc>
      </w:tr>
      <w:tr w:rsidTr="00F42F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UEGNSG104A</w:t>
            </w:r>
          </w:p>
        </w:tc>
        <w:tc>
          <w:tcPr>
            <w:tcW w:w="4680" w:type="dxa"/>
            <w:gridSpan w:val="3"/>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Comply with environmental policies and procedures</w:t>
            </w:r>
          </w:p>
        </w:tc>
      </w:tr>
      <w:tr w:rsidTr="00F42F1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803BA" w:rsidP="00C803BA">
            <w:pPr>
              <w:pStyle w:val="BodyText"/>
            </w:pPr>
            <w:r w:rsidRPr="00C803BA">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6</w:t>
            </w:r>
            <w:r w:rsidRPr="00C803BA">
              <w:t xml:space="preserve">) </w:t>
            </w:r>
          </w:p>
          <w:p w:rsidR="00000000" w:rsidP="00C803BA">
            <w:pPr>
              <w:pStyle w:val="BodyText"/>
              <w:rPr>
                <w:lang w:val="en-NZ"/>
              </w:rPr>
            </w:pPr>
            <w:r w:rsidRPr="00C803BA">
              <w:t>Evidence that particular key competencies have been achieved within this Unit is in the context of the following Performance Criteria of evidence. See Volume 2, Part 4 for an explanation of Key Competencies and levels of this Trainin</w:t>
            </w:r>
            <w:r w:rsidRPr="00C803BA">
              <w:t>g Package.</w:t>
            </w:r>
          </w:p>
        </w:tc>
      </w:tr>
      <w:tr w:rsidTr="00F42F1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rPr>
                <w:rStyle w:val="SpecialBold"/>
              </w:rPr>
              <w:t>Performance Level</w:t>
            </w: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1</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1</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1</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1</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N/A</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N/A</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p>
        </w:tc>
      </w:tr>
      <w:tr w:rsidTr="00F42F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p w:rsidR="00000000" w:rsidP="00C803BA">
            <w:pPr>
              <w:pStyle w:val="BodyText"/>
              <w:rPr>
                <w:lang w:val="en-NZ"/>
              </w:rPr>
            </w:pPr>
            <w:r w:rsidRPr="00C803BA">
              <w:t>N/A</w:t>
            </w:r>
          </w:p>
        </w:tc>
      </w:tr>
      <w:tr w:rsidTr="00F42F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p>
        </w:tc>
      </w:tr>
    </w:tbl>
    <w:p w:rsidR="00000000" w:rsidRPr="00C803BA" w:rsidP="00C803BA">
      <w:pPr>
        <w:pStyle w:val="BodyText"/>
      </w:pPr>
    </w:p>
    <w:tbl>
      <w:tblPr>
        <w:tblW w:w="0" w:type="auto"/>
        <w:tblLayout w:type="fixed"/>
        <w:tblCellMar>
          <w:left w:w="62" w:type="dxa"/>
          <w:right w:w="62" w:type="dxa"/>
        </w:tblCellMar>
        <w:tblLook w:val="0000"/>
      </w:tblPr>
      <w:tblGrid>
        <w:gridCol w:w="326"/>
        <w:gridCol w:w="1834"/>
        <w:gridCol w:w="6300"/>
      </w:tblGrid>
      <w:tr w:rsidTr="00F42F1F">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803BA" w:rsidP="00C803BA">
            <w:pPr>
              <w:pStyle w:val="BodyText"/>
            </w:pPr>
            <w:r w:rsidRPr="00C803B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C803BA" w:rsidP="00C803BA">
            <w:pPr>
              <w:pStyle w:val="BodyText"/>
            </w:pPr>
            <w:r w:rsidRPr="00C803BA">
              <w:rPr>
                <w:rStyle w:val="SpecialBold"/>
              </w:rPr>
              <w:t>8</w:t>
            </w:r>
            <w:r w:rsidRPr="00C803BA">
              <w:t>.</w:t>
            </w:r>
            <w:r w:rsidRPr="00C803BA">
              <w:rPr>
                <w:rStyle w:val="SpecialBold"/>
              </w:rPr>
              <w:t>7</w:t>
            </w:r>
            <w:r w:rsidRPr="00C803BA">
              <w:t xml:space="preserve">) </w:t>
            </w:r>
          </w:p>
          <w:p w:rsidR="00000000" w:rsidP="00C803BA">
            <w:pPr>
              <w:pStyle w:val="BodyText"/>
              <w:rPr>
                <w:lang w:val="en-NZ"/>
              </w:rPr>
            </w:pPr>
            <w:r w:rsidRPr="00C803BA">
              <w:t>Evidence that competency in this unit incorporates skills enabling employment is in the context of the following performance.</w:t>
            </w:r>
          </w:p>
        </w:tc>
      </w:tr>
      <w:tr w:rsidTr="00F42F1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rPr>
                <w:rStyle w:val="SpecialBold"/>
              </w:rPr>
              <w:t>Example of Application</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All</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1.1; 1.5</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 xml:space="preserve">Reflecting on the outcome and </w:t>
            </w:r>
            <w:r w:rsidRPr="00C803BA">
              <w:t>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3.1; 3.6</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1.2; 2.5; 2.8; 3.3</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1.4; 1.5; 1.7</w:t>
            </w:r>
          </w:p>
        </w:tc>
      </w:tr>
      <w:tr w:rsidTr="00F42F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3BA">
            <w:pPr>
              <w:pStyle w:val="BodyText"/>
              <w:rPr>
                <w:lang w:val="en-NZ"/>
              </w:rPr>
            </w:pPr>
            <w:r w:rsidRPr="00C803B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03BA">
            <w:pPr>
              <w:pStyle w:val="BodyText"/>
              <w:rPr>
                <w:lang w:val="en-NZ"/>
              </w:rPr>
            </w:pPr>
            <w:r w:rsidRPr="00C803BA">
              <w:t>Refer to the following Performance Criteria for e</w:t>
            </w:r>
            <w:r w:rsidRPr="00C803BA">
              <w:t>xamples of application:</w:t>
            </w:r>
          </w:p>
        </w:tc>
      </w:tr>
      <w:tr w:rsidTr="00F42F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803BA" w:rsidP="00C803BA">
            <w:pPr>
              <w:pStyle w:val="BodyText"/>
            </w:pPr>
            <w:r w:rsidRPr="00C803BA">
              <w:t>2.6; 2.7</w:t>
            </w:r>
          </w:p>
        </w:tc>
      </w:tr>
    </w:tbl>
    <w:p w:rsidR="00F42F1F" w:rsidP="00C803BA">
      <w:pPr>
        <w:pStyle w:val="BodyText"/>
      </w:pPr>
    </w:p>
    <w:p w:rsidR="00F42F1F" w:rsidP="00C803BA">
      <w:pPr>
        <w:pStyle w:val="BodyText"/>
      </w:pPr>
    </w:p>
    <w:p w:rsidR="00000000" w:rsidRPr="00C803BA" w:rsidP="00C803BA">
      <w:pPr>
        <w:pStyle w:val="Heading1"/>
      </w:pPr>
      <w:bookmarkStart w:id="11" w:name="O_255758"/>
      <w:bookmarkEnd w:id="11"/>
      <w:r w:rsidRPr="00C803BA">
        <w:t>Range Statement</w:t>
      </w:r>
    </w:p>
    <w:tbl>
      <w:tblPr>
        <w:tblW w:w="0" w:type="auto"/>
        <w:tblLayout w:type="fixed"/>
        <w:tblCellMar>
          <w:left w:w="62" w:type="dxa"/>
          <w:right w:w="62" w:type="dxa"/>
        </w:tblCellMar>
        <w:tblLook w:val="0000"/>
      </w:tblPr>
      <w:tblGrid>
        <w:gridCol w:w="8460"/>
      </w:tblGrid>
      <w:tr w:rsidTr="00F42F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RANGE STATEMENT</w:t>
            </w:r>
          </w:p>
        </w:tc>
      </w:tr>
      <w:tr w:rsidTr="00F42F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7</w:t>
            </w:r>
            <w:r w:rsidRPr="00C803BA">
              <w:t xml:space="preserve">) This relates to the competency standard unit as a whole providing the range of contexts and conditions </w:t>
            </w:r>
            <w:r w:rsidRPr="00C803BA">
              <w:t>to which the Performance Criteria apply. It allows for different work environments and situations that will affect performance.</w:t>
            </w:r>
          </w:p>
        </w:tc>
      </w:tr>
      <w:tr w:rsidTr="00F42F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This Unit shall/may be demonstrated in relation to establishing the work site.</w:t>
            </w:r>
          </w:p>
          <w:p w:rsidR="00000000" w:rsidRPr="00C803BA" w:rsidP="00C803BA">
            <w:pPr>
              <w:pStyle w:val="BodyText"/>
            </w:pPr>
            <w:r w:rsidRPr="00C803BA">
              <w:t>The following constants and variables included i</w:t>
            </w:r>
            <w:r w:rsidRPr="00C803BA">
              <w:t>n the element/Performance Criteria in this unit are fully described in the Definitions Section of this volume and form an integral part of the Range Statement of this unit:</w:t>
            </w:r>
          </w:p>
          <w:p w:rsidR="00000000" w:rsidRPr="00C803BA" w:rsidP="00C803BA">
            <w:pPr>
              <w:pStyle w:val="BodyText"/>
            </w:pPr>
            <w:r w:rsidRPr="00C803BA">
              <w:t>Responsibility (2)</w:t>
            </w:r>
          </w:p>
          <w:p w:rsidR="00000000" w:rsidRPr="00C803BA" w:rsidP="00C803BA">
            <w:pPr>
              <w:pStyle w:val="BodyText"/>
            </w:pPr>
            <w:r w:rsidRPr="00C803BA">
              <w:t>Work plans (2)</w:t>
            </w:r>
          </w:p>
          <w:p w:rsidR="00000000" w:rsidRPr="00C803BA" w:rsidP="00C803BA">
            <w:pPr>
              <w:pStyle w:val="BodyText"/>
            </w:pPr>
            <w:r w:rsidRPr="00C803BA">
              <w:t>Procedures (2)</w:t>
            </w:r>
          </w:p>
          <w:p w:rsidR="00000000" w:rsidRPr="00C803BA" w:rsidP="00C803BA">
            <w:pPr>
              <w:pStyle w:val="BodyText"/>
            </w:pPr>
            <w:r w:rsidRPr="00C803BA">
              <w:t>Documentation (2)</w:t>
            </w:r>
          </w:p>
        </w:tc>
      </w:tr>
    </w:tbl>
    <w:p w:rsidR="00F42F1F" w:rsidP="00C803BA">
      <w:pPr>
        <w:pStyle w:val="BodyText"/>
      </w:pPr>
    </w:p>
    <w:p w:rsidR="00F42F1F" w:rsidP="00C803BA">
      <w:pPr>
        <w:pStyle w:val="BodyText"/>
      </w:pPr>
    </w:p>
    <w:p w:rsidR="00000000" w:rsidRPr="00C803BA" w:rsidP="00C803BA">
      <w:pPr>
        <w:pStyle w:val="Heading1"/>
      </w:pPr>
      <w:bookmarkStart w:id="12" w:name="O_296771"/>
      <w:bookmarkEnd w:id="12"/>
      <w:r w:rsidRPr="00C803BA">
        <w:t>Unit Sector(s)</w:t>
      </w:r>
    </w:p>
    <w:p w:rsidR="00000000" w:rsidRPr="00C803BA" w:rsidP="00C803BA">
      <w:pPr>
        <w:pStyle w:val="BodyText"/>
      </w:pPr>
      <w:r w:rsidRPr="00C803BA">
        <w:t>Not Applicable</w:t>
      </w:r>
    </w:p>
    <w:p w:rsidR="00000000" w:rsidRPr="00C803BA" w:rsidP="00C803BA">
      <w:pPr>
        <w:pStyle w:val="AllowPageBreak"/>
      </w:pPr>
    </w:p>
    <w:p w:rsidR="00000000" w:rsidRPr="00C803BA" w:rsidP="00C803BA">
      <w:pPr>
        <w:pStyle w:val="Heading1"/>
      </w:pPr>
      <w:bookmarkStart w:id="13" w:name="O_229288"/>
      <w:bookmarkEnd w:id="13"/>
      <w:r w:rsidRPr="00C803B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2</w:t>
            </w:r>
            <w:r w:rsidRPr="00C803BA">
              <w:t>.</w:t>
            </w:r>
            <w:r w:rsidRPr="00C803BA">
              <w:rPr>
                <w:rStyle w:val="SpecialBold"/>
              </w:rPr>
              <w:t>2</w:t>
            </w:r>
            <w:r w:rsidRPr="00C803BA">
              <w:t xml:space="preserve">) </w:t>
            </w:r>
          </w:p>
          <w:p w:rsidR="00000000" w:rsidP="00C803BA">
            <w:pPr>
              <w:pStyle w:val="BodyText"/>
              <w:rPr>
                <w:lang w:val="en-NZ"/>
              </w:rPr>
            </w:pPr>
            <w:r w:rsidRPr="00C803BA">
              <w:t>Participants are best equipped to achieve this unit if they have reading, writing and numeracy skills indicated by the following scales. Description of each scale is given in Volume 2, Part 3 'Literacy and Numeracy'</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Reading</w:t>
            </w:r>
          </w:p>
        </w:tc>
        <w:tc>
          <w:tcPr>
            <w:tcW w:w="805"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w:t>
            </w:r>
          </w:p>
        </w:tc>
        <w:tc>
          <w:tcPr>
            <w:tcW w:w="1184"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Writing</w:t>
            </w:r>
          </w:p>
        </w:tc>
        <w:tc>
          <w:tcPr>
            <w:tcW w:w="805"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3</w:t>
            </w:r>
          </w:p>
        </w:tc>
        <w:tc>
          <w:tcPr>
            <w:tcW w:w="1172"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t>Numeracy</w:t>
            </w:r>
          </w:p>
        </w:tc>
        <w:tc>
          <w:tcPr>
            <w:tcW w:w="805"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3</w:t>
            </w:r>
          </w:p>
        </w:tc>
      </w:tr>
    </w:tbl>
    <w:p w:rsidR="00F42F1F" w:rsidP="00C803BA">
      <w:pPr>
        <w:pStyle w:val="BodyText"/>
      </w:pPr>
    </w:p>
    <w:p w:rsidR="00F42F1F" w:rsidP="00C803BA">
      <w:pPr>
        <w:pStyle w:val="BodyText"/>
      </w:pPr>
    </w:p>
    <w:p w:rsidR="00000000" w:rsidRPr="00C803BA" w:rsidP="00C803BA">
      <w:pPr>
        <w:pStyle w:val="Heading1"/>
      </w:pPr>
      <w:bookmarkStart w:id="14" w:name="O_229291"/>
      <w:bookmarkEnd w:id="14"/>
      <w:r w:rsidRPr="00C803BA">
        <w:t>Competency Field</w:t>
      </w:r>
    </w:p>
    <w:tbl>
      <w:tblPr>
        <w:tblW w:w="0" w:type="auto"/>
        <w:tblLayout w:type="fixed"/>
        <w:tblCellMar>
          <w:left w:w="62" w:type="dxa"/>
          <w:right w:w="62" w:type="dxa"/>
        </w:tblCellMar>
        <w:tblLook w:val="0000"/>
      </w:tblPr>
      <w:tblGrid>
        <w:gridCol w:w="2700"/>
        <w:gridCol w:w="5760"/>
      </w:tblGrid>
      <w:tr w:rsidTr="00F42F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03BA">
            <w:pPr>
              <w:pStyle w:val="BodyText"/>
              <w:rPr>
                <w:lang w:val="en-NZ"/>
              </w:rPr>
            </w:pPr>
            <w:r w:rsidRPr="00C803BA">
              <w:rPr>
                <w:rStyle w:val="SpecialBold"/>
              </w:rPr>
              <w:t>4</w:t>
            </w:r>
            <w:r w:rsidRPr="00C803BA">
              <w:t xml:space="preserve">) </w:t>
            </w:r>
          </w:p>
        </w:tc>
      </w:tr>
      <w:tr w:rsidTr="00F42F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03BA" w:rsidP="00C803BA">
            <w:pPr>
              <w:pStyle w:val="BodyText"/>
            </w:pPr>
            <w:r w:rsidRPr="00C803BA">
              <w:t>Cross discipline.</w:t>
            </w:r>
          </w:p>
        </w:tc>
      </w:tr>
    </w:tbl>
    <w:p w:rsidR="00F42F1F" w:rsidP="00C803BA">
      <w:pPr>
        <w:pStyle w:val="BodyText"/>
      </w:pPr>
    </w:p>
    <w:p w:rsidR="00F42F1F" w:rsidP="00C803BA">
      <w:pPr>
        <w:pStyle w:val="BodyText"/>
      </w:pPr>
    </w:p>
    <w:p w:rsidR="00000000" w:rsidRPr="00C803BA" w:rsidP="00C803BA"/>
    <w:sectPr w:rsidSect="00C803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1F" w:rsidP="00F42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1F" w:rsidP="00C80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42F1F" w:rsidP="00C803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2F1F" w:rsidP="00C803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1F" w:rsidP="00F42F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1F" w:rsidP="00C803BA">
    <w:pPr>
      <w:pStyle w:val="Header"/>
      <w:framePr w:wrap="around"/>
    </w:pPr>
    <w:r>
      <w:fldChar w:fldCharType="begin"/>
    </w:r>
    <w:r>
      <w:instrText xml:space="preserve"> TITLE   \* MERGEFORMAT </w:instrText>
    </w:r>
    <w:r>
      <w:fldChar w:fldCharType="separate"/>
    </w:r>
    <w:r>
      <w:t>UEGNSG105A Establish the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F1F" w:rsidP="00C803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62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CE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21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3BA"/>
    <w:pPr>
      <w:spacing w:before="360" w:after="60"/>
      <w:outlineLvl w:val="0"/>
    </w:pPr>
    <w:rPr>
      <w:sz w:val="32"/>
    </w:rPr>
  </w:style>
  <w:style w:type="paragraph" w:styleId="Heading2">
    <w:name w:val="heading 2"/>
    <w:basedOn w:val="HeadingBase"/>
    <w:next w:val="BodyText"/>
    <w:link w:val="Heading2Char"/>
    <w:qFormat/>
    <w:rsid w:val="00C803BA"/>
    <w:pPr>
      <w:keepLines/>
      <w:spacing w:before="240" w:after="120"/>
      <w:outlineLvl w:val="1"/>
    </w:pPr>
    <w:rPr>
      <w:sz w:val="28"/>
      <w:szCs w:val="40"/>
    </w:rPr>
  </w:style>
  <w:style w:type="paragraph" w:styleId="Heading3">
    <w:name w:val="heading 3"/>
    <w:basedOn w:val="HeadingBase"/>
    <w:next w:val="BodyText"/>
    <w:link w:val="Heading3Char"/>
    <w:qFormat/>
    <w:rsid w:val="00C803BA"/>
    <w:pPr>
      <w:spacing w:before="180" w:after="120"/>
      <w:outlineLvl w:val="2"/>
    </w:pPr>
    <w:rPr>
      <w:spacing w:val="-10"/>
      <w:kern w:val="32"/>
    </w:rPr>
  </w:style>
  <w:style w:type="paragraph" w:styleId="Heading4">
    <w:name w:val="heading 4"/>
    <w:basedOn w:val="HeadingBase"/>
    <w:next w:val="BodyText"/>
    <w:link w:val="Heading4Char"/>
    <w:qFormat/>
    <w:rsid w:val="00C803BA"/>
    <w:pPr>
      <w:spacing w:before="160" w:after="120"/>
      <w:outlineLvl w:val="3"/>
    </w:pPr>
    <w:rPr>
      <w:sz w:val="22"/>
    </w:rPr>
  </w:style>
  <w:style w:type="paragraph" w:styleId="Heading5">
    <w:name w:val="heading 5"/>
    <w:basedOn w:val="HeadingBase"/>
    <w:next w:val="Normal"/>
    <w:link w:val="Heading5Char"/>
    <w:qFormat/>
    <w:rsid w:val="00C803BA"/>
    <w:pPr>
      <w:spacing w:before="80"/>
      <w:outlineLvl w:val="4"/>
    </w:pPr>
    <w:rPr>
      <w:color w:val="918585"/>
      <w:sz w:val="20"/>
    </w:rPr>
  </w:style>
  <w:style w:type="paragraph" w:styleId="Heading6">
    <w:name w:val="heading 6"/>
    <w:basedOn w:val="HeadingBase"/>
    <w:next w:val="Normal"/>
    <w:link w:val="Heading6Char"/>
    <w:qFormat/>
    <w:rsid w:val="00C803BA"/>
    <w:pPr>
      <w:spacing w:before="60"/>
      <w:outlineLvl w:val="5"/>
    </w:pPr>
    <w:rPr>
      <w:color w:val="918585"/>
      <w:sz w:val="20"/>
    </w:rPr>
  </w:style>
  <w:style w:type="paragraph" w:styleId="Heading7">
    <w:name w:val="heading 7"/>
    <w:basedOn w:val="Normal"/>
    <w:next w:val="Normal"/>
    <w:link w:val="Heading7Char"/>
    <w:qFormat/>
    <w:rsid w:val="00C803BA"/>
    <w:pPr>
      <w:ind w:left="720"/>
      <w:outlineLvl w:val="6"/>
    </w:pPr>
    <w:rPr>
      <w:i/>
    </w:rPr>
  </w:style>
  <w:style w:type="paragraph" w:styleId="Heading8">
    <w:name w:val="heading 8"/>
    <w:basedOn w:val="Normal"/>
    <w:next w:val="Normal"/>
    <w:link w:val="Heading8Char"/>
    <w:qFormat/>
    <w:rsid w:val="00C803BA"/>
    <w:pPr>
      <w:ind w:left="720"/>
      <w:outlineLvl w:val="7"/>
    </w:pPr>
    <w:rPr>
      <w:i/>
    </w:rPr>
  </w:style>
  <w:style w:type="paragraph" w:styleId="Heading9">
    <w:name w:val="heading 9"/>
    <w:basedOn w:val="Normal"/>
    <w:next w:val="Normal"/>
    <w:link w:val="Heading9Char"/>
    <w:qFormat/>
    <w:rsid w:val="00C803BA"/>
    <w:pPr>
      <w:ind w:left="720"/>
      <w:outlineLvl w:val="8"/>
    </w:pPr>
    <w:rPr>
      <w:i/>
    </w:rPr>
  </w:style>
  <w:style w:type="character" w:default="1" w:styleId="DefaultParagraphFont">
    <w:name w:val="Default Paragraph Font"/>
    <w:uiPriority w:val="1"/>
    <w:unhideWhenUsed/>
    <w:rsid w:val="00C80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3BA"/>
  </w:style>
  <w:style w:type="character" w:customStyle="1" w:styleId="Heading1Char">
    <w:name w:val="Heading 1 Char"/>
    <w:basedOn w:val="DefaultParagraphFont"/>
    <w:link w:val="Heading1"/>
    <w:rsid w:val="00C803BA"/>
    <w:rPr>
      <w:rFonts w:ascii="Times New Roman" w:eastAsia="Times New Roman" w:hAnsi="Times New Roman" w:cs="Times New Roman"/>
      <w:b/>
      <w:sz w:val="32"/>
      <w:szCs w:val="20"/>
      <w:lang w:eastAsia="en-US"/>
    </w:rPr>
  </w:style>
  <w:style w:type="paragraph" w:styleId="BodyText">
    <w:name w:val="Body Text"/>
    <w:basedOn w:val="Normal"/>
    <w:link w:val="BodyTextChar"/>
    <w:rsid w:val="00C803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03BA"/>
    <w:rPr>
      <w:rFonts w:ascii="Times New Roman" w:eastAsia="Times New Roman" w:hAnsi="Times New Roman" w:cs="Times New Roman"/>
      <w:sz w:val="24"/>
      <w:lang w:val="en-US" w:eastAsia="en-US"/>
    </w:rPr>
  </w:style>
  <w:style w:type="paragraph" w:styleId="Footer">
    <w:name w:val="footer"/>
    <w:basedOn w:val="Normal"/>
    <w:link w:val="FooterChar"/>
    <w:rsid w:val="00C80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3BA"/>
    <w:rPr>
      <w:rFonts w:ascii="Times New Roman" w:eastAsia="Times New Roman" w:hAnsi="Times New Roman" w:cs="Times New Roman"/>
      <w:sz w:val="16"/>
      <w:lang w:val="en-US" w:eastAsia="en-US"/>
    </w:rPr>
  </w:style>
  <w:style w:type="paragraph" w:styleId="ListBullet">
    <w:name w:val="List Bullet"/>
    <w:basedOn w:val="List"/>
    <w:rsid w:val="00C803BA"/>
    <w:pPr>
      <w:numPr>
        <w:numId w:val="13"/>
      </w:numPr>
      <w:tabs>
        <w:tab w:val="clear" w:pos="340"/>
      </w:tabs>
      <w:spacing w:before="40" w:after="40"/>
    </w:pPr>
  </w:style>
  <w:style w:type="character" w:customStyle="1" w:styleId="SpecialBold">
    <w:name w:val="Special Bold"/>
    <w:basedOn w:val="DefaultParagraphFont"/>
    <w:rsid w:val="00C803BA"/>
    <w:rPr>
      <w:b/>
      <w:spacing w:val="0"/>
    </w:rPr>
  </w:style>
  <w:style w:type="paragraph" w:styleId="ListBullet2">
    <w:name w:val="List Bullet 2"/>
    <w:basedOn w:val="List2"/>
    <w:rsid w:val="00C803BA"/>
    <w:pPr>
      <w:numPr>
        <w:numId w:val="14"/>
      </w:numPr>
      <w:tabs>
        <w:tab w:val="clear" w:pos="680"/>
      </w:tabs>
    </w:pPr>
  </w:style>
  <w:style w:type="paragraph" w:styleId="Header">
    <w:name w:val="header"/>
    <w:basedOn w:val="Normal"/>
    <w:link w:val="HeaderChar"/>
    <w:rsid w:val="00C80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3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3BA"/>
    <w:pPr>
      <w:spacing w:before="240" w:after="120"/>
      <w:outlineLvl w:val="0"/>
    </w:pPr>
    <w:rPr>
      <w:rFonts w:ascii="Times New Roman" w:hAnsi="Times New Roman"/>
      <w:b/>
      <w:sz w:val="28"/>
    </w:rPr>
  </w:style>
  <w:style w:type="paragraph" w:customStyle="1" w:styleId="AllowPageBreak">
    <w:name w:val="AllowPageBreak"/>
    <w:rsid w:val="00C803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3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3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3BA"/>
    <w:rPr>
      <w:rFonts w:ascii="Courier New" w:eastAsia="Times New Roman" w:hAnsi="Courier New" w:cs="Times New Roman"/>
      <w:i/>
      <w:szCs w:val="20"/>
      <w:lang w:val="en-US" w:eastAsia="en-US"/>
    </w:rPr>
  </w:style>
  <w:style w:type="paragraph" w:customStyle="1" w:styleId="HeadingBase">
    <w:name w:val="Heading Base"/>
    <w:rsid w:val="00C80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3BA"/>
    <w:pPr>
      <w:tabs>
        <w:tab w:val="right" w:leader="dot" w:pos="9072"/>
      </w:tabs>
      <w:ind w:left="567"/>
    </w:pPr>
    <w:rPr>
      <w:szCs w:val="22"/>
    </w:rPr>
  </w:style>
  <w:style w:type="paragraph" w:customStyle="1" w:styleId="TOCBase">
    <w:name w:val="TOC Base"/>
    <w:rsid w:val="00C80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3BA"/>
    <w:pPr>
      <w:tabs>
        <w:tab w:val="right" w:leader="dot" w:pos="9072"/>
      </w:tabs>
      <w:spacing w:before="40" w:after="40"/>
      <w:ind w:left="284"/>
    </w:pPr>
    <w:rPr>
      <w:rFonts w:ascii="Times New Roman" w:hAnsi="Times New Roman"/>
    </w:rPr>
  </w:style>
  <w:style w:type="paragraph" w:styleId="TOC1">
    <w:name w:val="toc 1"/>
    <w:basedOn w:val="TOCBase"/>
    <w:next w:val="Normal"/>
    <w:rsid w:val="00C803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3BA"/>
    <w:pPr>
      <w:spacing w:before="5040"/>
      <w:jc w:val="center"/>
    </w:pPr>
    <w:rPr>
      <w:sz w:val="48"/>
      <w:szCs w:val="72"/>
      <w:lang w:val="en-US"/>
    </w:rPr>
  </w:style>
  <w:style w:type="character" w:customStyle="1" w:styleId="TitleChar">
    <w:name w:val="Title Char"/>
    <w:basedOn w:val="DefaultParagraphFont"/>
    <w:link w:val="Title"/>
    <w:rsid w:val="00C80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3BA"/>
    <w:pPr>
      <w:tabs>
        <w:tab w:val="left" w:pos="3600"/>
        <w:tab w:val="left" w:pos="3958"/>
      </w:tabs>
    </w:pPr>
  </w:style>
  <w:style w:type="paragraph" w:styleId="List">
    <w:name w:val="List"/>
    <w:basedOn w:val="BodyText"/>
    <w:next w:val="BodyText"/>
    <w:rsid w:val="00C803BA"/>
    <w:pPr>
      <w:tabs>
        <w:tab w:val="left" w:pos="340"/>
      </w:tabs>
      <w:spacing w:before="60" w:after="60"/>
      <w:ind w:left="340" w:hanging="340"/>
    </w:pPr>
  </w:style>
  <w:style w:type="paragraph" w:customStyle="1" w:styleId="Note">
    <w:name w:val="Note"/>
    <w:basedOn w:val="BodyText"/>
    <w:rsid w:val="00C80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3BA"/>
    <w:pPr>
      <w:framePr w:wrap="auto" w:hAnchor="text" w:y="6049"/>
    </w:pPr>
    <w:rPr>
      <w:color w:val="000000"/>
      <w:sz w:val="40"/>
    </w:rPr>
  </w:style>
  <w:style w:type="paragraph" w:customStyle="1" w:styleId="TOCTitle">
    <w:name w:val="TOCTitle"/>
    <w:basedOn w:val="Heading1"/>
    <w:rsid w:val="00C803BA"/>
    <w:pPr>
      <w:spacing w:after="240"/>
      <w:jc w:val="center"/>
      <w:outlineLvl w:val="9"/>
    </w:pPr>
    <w:rPr>
      <w:caps/>
    </w:rPr>
  </w:style>
  <w:style w:type="paragraph" w:customStyle="1" w:styleId="Version">
    <w:name w:val="Version"/>
    <w:rsid w:val="00C80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3BA"/>
    <w:pPr>
      <w:keepNext w:val="0"/>
      <w:tabs>
        <w:tab w:val="right" w:pos="4176"/>
      </w:tabs>
      <w:ind w:left="198" w:hanging="198"/>
    </w:pPr>
    <w:rPr>
      <w:rFonts w:ascii="Garamond" w:hAnsi="Garamond"/>
    </w:rPr>
  </w:style>
  <w:style w:type="paragraph" w:styleId="IndexHeading">
    <w:name w:val="index heading"/>
    <w:basedOn w:val="Normal"/>
    <w:next w:val="Index1"/>
    <w:semiHidden/>
    <w:rsid w:val="00C803BA"/>
    <w:pPr>
      <w:spacing w:before="120" w:after="120"/>
    </w:pPr>
    <w:rPr>
      <w:rFonts w:ascii="Arial" w:hAnsi="Arial"/>
      <w:b/>
      <w:color w:val="918585"/>
      <w:sz w:val="24"/>
    </w:rPr>
  </w:style>
  <w:style w:type="paragraph" w:customStyle="1" w:styleId="Chapter">
    <w:name w:val="Chapter"/>
    <w:basedOn w:val="Normal"/>
    <w:rsid w:val="00C803BA"/>
    <w:pPr>
      <w:spacing w:before="240"/>
    </w:pPr>
    <w:rPr>
      <w:rFonts w:ascii="Times New Roman" w:hAnsi="Times New Roman"/>
      <w:smallCaps/>
      <w:spacing w:val="80"/>
      <w:sz w:val="28"/>
    </w:rPr>
  </w:style>
  <w:style w:type="paragraph" w:customStyle="1" w:styleId="InChapter">
    <w:name w:val="InChapter"/>
    <w:basedOn w:val="Heading3"/>
    <w:rsid w:val="00C803BA"/>
    <w:pPr>
      <w:spacing w:after="240"/>
      <w:outlineLvl w:val="9"/>
    </w:pPr>
    <w:rPr>
      <w:noProof/>
    </w:rPr>
  </w:style>
  <w:style w:type="paragraph" w:styleId="Index2">
    <w:name w:val="index 2"/>
    <w:basedOn w:val="Normal"/>
    <w:next w:val="Normal"/>
    <w:semiHidden/>
    <w:rsid w:val="00C803BA"/>
    <w:pPr>
      <w:tabs>
        <w:tab w:val="right" w:pos="4176"/>
      </w:tabs>
      <w:ind w:left="568" w:hanging="284"/>
    </w:pPr>
    <w:rPr>
      <w:rFonts w:ascii="Garamond" w:hAnsi="Garamond"/>
    </w:rPr>
  </w:style>
  <w:style w:type="paragraph" w:customStyle="1" w:styleId="Byline">
    <w:name w:val="Byline"/>
    <w:rsid w:val="00C80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3BA"/>
    <w:pPr>
      <w:tabs>
        <w:tab w:val="clear" w:pos="3600"/>
        <w:tab w:val="clear" w:pos="3958"/>
      </w:tabs>
      <w:jc w:val="right"/>
    </w:pPr>
  </w:style>
  <w:style w:type="character" w:styleId="Emphasis">
    <w:name w:val="Emphasis"/>
    <w:basedOn w:val="DefaultParagraphFont"/>
    <w:qFormat/>
    <w:rsid w:val="00C803BA"/>
    <w:rPr>
      <w:i/>
    </w:rPr>
  </w:style>
  <w:style w:type="paragraph" w:styleId="Caption">
    <w:name w:val="caption"/>
    <w:basedOn w:val="BodyText"/>
    <w:next w:val="Normal"/>
    <w:qFormat/>
    <w:rsid w:val="00C803BA"/>
    <w:pPr>
      <w:framePr w:w="2268" w:hSpace="181" w:vSpace="181" w:wrap="around" w:vAnchor="text" w:hAnchor="page" w:x="1135" w:y="285" w:anchorLock="1"/>
    </w:pPr>
    <w:rPr>
      <w:i/>
    </w:rPr>
  </w:style>
  <w:style w:type="paragraph" w:customStyle="1" w:styleId="MiniTOCTitle">
    <w:name w:val="MiniTOCTitle"/>
    <w:basedOn w:val="Heading4"/>
    <w:rsid w:val="00C803BA"/>
    <w:pPr>
      <w:spacing w:before="240"/>
      <w:outlineLvl w:val="9"/>
    </w:pPr>
    <w:rPr>
      <w:noProof/>
      <w:sz w:val="24"/>
    </w:rPr>
  </w:style>
  <w:style w:type="paragraph" w:customStyle="1" w:styleId="MiniTOCItem">
    <w:name w:val="MiniTOCItem"/>
    <w:basedOn w:val="ListBullet"/>
    <w:rsid w:val="00C803BA"/>
    <w:pPr>
      <w:numPr>
        <w:numId w:val="0"/>
      </w:numPr>
      <w:tabs>
        <w:tab w:val="right" w:leader="dot" w:pos="6521"/>
      </w:tabs>
      <w:spacing w:before="0" w:after="0"/>
    </w:pPr>
  </w:style>
  <w:style w:type="paragraph" w:customStyle="1" w:styleId="TOFTitle">
    <w:name w:val="TOFTitle"/>
    <w:basedOn w:val="TOCTitle"/>
    <w:rsid w:val="00C803BA"/>
  </w:style>
  <w:style w:type="paragraph" w:styleId="TableofFigures">
    <w:name w:val="table of figures"/>
    <w:basedOn w:val="Normal"/>
    <w:next w:val="Normal"/>
    <w:semiHidden/>
    <w:rsid w:val="00C803BA"/>
    <w:pPr>
      <w:tabs>
        <w:tab w:val="right" w:leader="dot" w:pos="9072"/>
      </w:tabs>
      <w:ind w:left="970" w:hanging="403"/>
    </w:pPr>
    <w:rPr>
      <w:rFonts w:ascii="Times New Roman" w:hAnsi="Times New Roman"/>
      <w:b/>
    </w:rPr>
  </w:style>
  <w:style w:type="paragraph" w:styleId="ListNumber">
    <w:name w:val="List Number"/>
    <w:basedOn w:val="List"/>
    <w:rsid w:val="00C803BA"/>
    <w:pPr>
      <w:numPr>
        <w:numId w:val="11"/>
      </w:numPr>
    </w:pPr>
  </w:style>
  <w:style w:type="character" w:customStyle="1" w:styleId="WingdingSymbols">
    <w:name w:val="Wingding Symbols"/>
    <w:rsid w:val="00C803BA"/>
    <w:rPr>
      <w:rFonts w:ascii="Wingdings" w:hAnsi="Wingdings"/>
    </w:rPr>
  </w:style>
  <w:style w:type="paragraph" w:customStyle="1" w:styleId="TableHeading">
    <w:name w:val="Table Heading"/>
    <w:basedOn w:val="HeadingBase"/>
    <w:rsid w:val="00C803BA"/>
    <w:pPr>
      <w:keepLines/>
      <w:pBdr>
        <w:bottom w:val="single" w:sz="6" w:space="1" w:color="918585"/>
      </w:pBdr>
      <w:spacing w:before="240"/>
    </w:pPr>
  </w:style>
  <w:style w:type="character" w:customStyle="1" w:styleId="HotSpot">
    <w:name w:val="HotSpot"/>
    <w:rsid w:val="00C803BA"/>
    <w:rPr>
      <w:color w:val="0033CC"/>
      <w:u w:val="none"/>
    </w:rPr>
  </w:style>
  <w:style w:type="paragraph" w:customStyle="1" w:styleId="BodyTextRight">
    <w:name w:val="Body Text Right"/>
    <w:basedOn w:val="BodyText"/>
    <w:rsid w:val="00C803BA"/>
    <w:pPr>
      <w:spacing w:before="0" w:after="0"/>
      <w:jc w:val="right"/>
    </w:pPr>
  </w:style>
  <w:style w:type="paragraph" w:styleId="Index3">
    <w:name w:val="index 3"/>
    <w:basedOn w:val="ListNumber2"/>
    <w:next w:val="Normal"/>
    <w:semiHidden/>
    <w:rsid w:val="00C803BA"/>
    <w:pPr>
      <w:numPr>
        <w:numId w:val="0"/>
      </w:numPr>
      <w:tabs>
        <w:tab w:val="right" w:leader="dot" w:pos="4176"/>
      </w:tabs>
    </w:pPr>
  </w:style>
  <w:style w:type="paragraph" w:styleId="ListNumber2">
    <w:name w:val="List Number 2"/>
    <w:basedOn w:val="List2"/>
    <w:rsid w:val="00C803BA"/>
    <w:pPr>
      <w:numPr>
        <w:numId w:val="10"/>
      </w:numPr>
      <w:tabs>
        <w:tab w:val="clear" w:pos="1060"/>
      </w:tabs>
    </w:pPr>
  </w:style>
  <w:style w:type="paragraph" w:customStyle="1" w:styleId="MarginNote">
    <w:name w:val="Margin Note"/>
    <w:basedOn w:val="BodyText"/>
    <w:rsid w:val="00C80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3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3BA"/>
    <w:rPr>
      <w:sz w:val="32"/>
    </w:rPr>
  </w:style>
  <w:style w:type="paragraph" w:customStyle="1" w:styleId="HeadingProcedure">
    <w:name w:val="Heading Procedure"/>
    <w:basedOn w:val="HeadingBase"/>
    <w:next w:val="Normal"/>
    <w:rsid w:val="00C803BA"/>
    <w:pPr>
      <w:tabs>
        <w:tab w:val="left" w:pos="0"/>
      </w:tabs>
      <w:spacing w:before="120" w:after="60"/>
    </w:pPr>
    <w:rPr>
      <w:i/>
      <w:color w:val="918585"/>
      <w:sz w:val="22"/>
    </w:rPr>
  </w:style>
  <w:style w:type="paragraph" w:customStyle="1" w:styleId="TableBodyText">
    <w:name w:val="Table Body Text"/>
    <w:basedOn w:val="BodyText"/>
    <w:rsid w:val="00C803BA"/>
    <w:pPr>
      <w:spacing w:before="60" w:after="60"/>
    </w:pPr>
  </w:style>
  <w:style w:type="paragraph" w:styleId="ListContinue">
    <w:name w:val="List Continue"/>
    <w:basedOn w:val="List"/>
    <w:rsid w:val="00C803BA"/>
    <w:pPr>
      <w:ind w:firstLine="0"/>
    </w:pPr>
  </w:style>
  <w:style w:type="paragraph" w:customStyle="1" w:styleId="ListNote">
    <w:name w:val="List Note"/>
    <w:basedOn w:val="List"/>
    <w:rsid w:val="00C803BA"/>
    <w:pPr>
      <w:pBdr>
        <w:top w:val="single" w:sz="6" w:space="2" w:color="918585"/>
        <w:bottom w:val="single" w:sz="6" w:space="2" w:color="918585"/>
      </w:pBdr>
      <w:tabs>
        <w:tab w:val="left" w:pos="1021"/>
      </w:tabs>
      <w:ind w:firstLine="0"/>
    </w:pPr>
  </w:style>
  <w:style w:type="paragraph" w:customStyle="1" w:styleId="Warning">
    <w:name w:val="Warning"/>
    <w:basedOn w:val="BodyText"/>
    <w:rsid w:val="00C803BA"/>
    <w:pPr>
      <w:shd w:val="clear" w:color="auto" w:fill="D9D9D9"/>
      <w:tabs>
        <w:tab w:val="left" w:pos="992"/>
      </w:tabs>
      <w:ind w:left="119" w:right="119"/>
    </w:pPr>
    <w:rPr>
      <w:sz w:val="20"/>
    </w:rPr>
  </w:style>
  <w:style w:type="paragraph" w:customStyle="1" w:styleId="MarginIcons">
    <w:name w:val="Margin Icons"/>
    <w:basedOn w:val="BodyText"/>
    <w:rsid w:val="00C80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3BA"/>
    <w:rPr>
      <w:rFonts w:ascii="Courier New" w:hAnsi="Courier New"/>
    </w:rPr>
  </w:style>
  <w:style w:type="paragraph" w:customStyle="1" w:styleId="NoteBullet">
    <w:name w:val="Note Bullet"/>
    <w:basedOn w:val="Note"/>
    <w:rsid w:val="00C803BA"/>
    <w:pPr>
      <w:tabs>
        <w:tab w:val="clear" w:pos="680"/>
      </w:tabs>
      <w:spacing w:before="60" w:after="60"/>
    </w:pPr>
  </w:style>
  <w:style w:type="paragraph" w:customStyle="1" w:styleId="SubHeading2">
    <w:name w:val="SubHeading2"/>
    <w:basedOn w:val="HeadingBase"/>
    <w:rsid w:val="00C803BA"/>
    <w:pPr>
      <w:spacing w:before="240" w:after="60"/>
    </w:pPr>
    <w:rPr>
      <w:sz w:val="20"/>
    </w:rPr>
  </w:style>
  <w:style w:type="paragraph" w:customStyle="1" w:styleId="SubHeading1">
    <w:name w:val="SubHeading1"/>
    <w:basedOn w:val="HeadingBase"/>
    <w:rsid w:val="00C803BA"/>
    <w:pPr>
      <w:spacing w:before="240" w:after="60"/>
    </w:pPr>
    <w:rPr>
      <w:color w:val="918585"/>
      <w:sz w:val="22"/>
    </w:rPr>
  </w:style>
  <w:style w:type="paragraph" w:customStyle="1" w:styleId="SideHeading">
    <w:name w:val="Side Heading"/>
    <w:basedOn w:val="HeadingBase"/>
    <w:rsid w:val="00C80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3BA"/>
    <w:pPr>
      <w:numPr>
        <w:numId w:val="12"/>
      </w:numPr>
    </w:pPr>
  </w:style>
  <w:style w:type="paragraph" w:styleId="PlainText">
    <w:name w:val="Plain Text"/>
    <w:basedOn w:val="Normal"/>
    <w:link w:val="PlainTextChar"/>
    <w:rsid w:val="00C803BA"/>
    <w:rPr>
      <w:sz w:val="20"/>
    </w:rPr>
  </w:style>
  <w:style w:type="character" w:customStyle="1" w:styleId="PlainTextChar">
    <w:name w:val="Plain Text Char"/>
    <w:basedOn w:val="DefaultParagraphFont"/>
    <w:link w:val="PlainText"/>
    <w:rsid w:val="00C803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03BA"/>
    <w:rPr>
      <w:b/>
      <w:smallCaps/>
    </w:rPr>
  </w:style>
  <w:style w:type="paragraph" w:customStyle="1" w:styleId="TableListNumber">
    <w:name w:val="Table List Number"/>
    <w:basedOn w:val="ListNumber"/>
    <w:rsid w:val="00C803BA"/>
    <w:pPr>
      <w:numPr>
        <w:numId w:val="0"/>
      </w:numPr>
    </w:pPr>
  </w:style>
  <w:style w:type="paragraph" w:styleId="TOC4">
    <w:name w:val="toc 4"/>
    <w:basedOn w:val="TOCBase"/>
    <w:next w:val="Normal"/>
    <w:semiHidden/>
    <w:rsid w:val="00C803BA"/>
    <w:pPr>
      <w:tabs>
        <w:tab w:val="right" w:leader="dot" w:pos="9071"/>
      </w:tabs>
      <w:ind w:left="1701"/>
    </w:pPr>
  </w:style>
  <w:style w:type="paragraph" w:customStyle="1" w:styleId="ListAlpha">
    <w:name w:val="List Alpha"/>
    <w:basedOn w:val="List"/>
    <w:rsid w:val="00C803BA"/>
    <w:pPr>
      <w:numPr>
        <w:numId w:val="9"/>
      </w:numPr>
    </w:pPr>
  </w:style>
  <w:style w:type="paragraph" w:customStyle="1" w:styleId="ListAlpha2">
    <w:name w:val="List Alpha 2"/>
    <w:basedOn w:val="List2"/>
    <w:rsid w:val="00C803BA"/>
    <w:pPr>
      <w:numPr>
        <w:numId w:val="8"/>
      </w:numPr>
    </w:pPr>
  </w:style>
  <w:style w:type="paragraph" w:styleId="List2">
    <w:name w:val="List 2"/>
    <w:basedOn w:val="BodyText"/>
    <w:rsid w:val="00C803BA"/>
    <w:pPr>
      <w:tabs>
        <w:tab w:val="left" w:pos="680"/>
      </w:tabs>
      <w:spacing w:before="60" w:after="60"/>
      <w:ind w:left="680" w:hanging="340"/>
    </w:pPr>
  </w:style>
  <w:style w:type="paragraph" w:styleId="List3">
    <w:name w:val="List 3"/>
    <w:basedOn w:val="BodyText"/>
    <w:rsid w:val="00C803BA"/>
    <w:pPr>
      <w:tabs>
        <w:tab w:val="left" w:pos="1021"/>
      </w:tabs>
      <w:spacing w:before="60" w:after="60"/>
      <w:ind w:left="1020" w:hanging="340"/>
    </w:pPr>
  </w:style>
  <w:style w:type="paragraph" w:styleId="List4">
    <w:name w:val="List 4"/>
    <w:basedOn w:val="BodyText"/>
    <w:rsid w:val="00C803BA"/>
    <w:pPr>
      <w:tabs>
        <w:tab w:val="left" w:pos="1361"/>
      </w:tabs>
      <w:spacing w:before="60" w:after="60"/>
      <w:ind w:left="1361" w:hanging="340"/>
    </w:pPr>
  </w:style>
  <w:style w:type="paragraph" w:styleId="List5">
    <w:name w:val="List 5"/>
    <w:basedOn w:val="BodyText"/>
    <w:rsid w:val="00C803BA"/>
    <w:pPr>
      <w:tabs>
        <w:tab w:val="left" w:pos="1701"/>
      </w:tabs>
      <w:spacing w:before="60" w:after="60"/>
      <w:ind w:left="1701" w:hanging="340"/>
    </w:pPr>
  </w:style>
  <w:style w:type="paragraph" w:styleId="ListBullet3">
    <w:name w:val="List Bullet 3"/>
    <w:basedOn w:val="List3"/>
    <w:rsid w:val="00C803BA"/>
    <w:pPr>
      <w:numPr>
        <w:numId w:val="15"/>
      </w:numPr>
      <w:tabs>
        <w:tab w:val="clear" w:pos="1021"/>
      </w:tabs>
      <w:ind w:left="1037" w:hanging="357"/>
    </w:pPr>
  </w:style>
  <w:style w:type="paragraph" w:styleId="ListBullet4">
    <w:name w:val="List Bullet 4"/>
    <w:basedOn w:val="List4"/>
    <w:rsid w:val="00C803BA"/>
    <w:pPr>
      <w:numPr>
        <w:numId w:val="3"/>
      </w:numPr>
    </w:pPr>
  </w:style>
  <w:style w:type="paragraph" w:styleId="ListBullet5">
    <w:name w:val="List Bullet 5"/>
    <w:basedOn w:val="List5"/>
    <w:rsid w:val="00C803BA"/>
    <w:pPr>
      <w:numPr>
        <w:numId w:val="4"/>
      </w:numPr>
    </w:pPr>
  </w:style>
  <w:style w:type="paragraph" w:styleId="ListContinue2">
    <w:name w:val="List Continue 2"/>
    <w:basedOn w:val="List2"/>
    <w:rsid w:val="00C803BA"/>
    <w:pPr>
      <w:ind w:firstLine="0"/>
    </w:pPr>
  </w:style>
  <w:style w:type="paragraph" w:styleId="ListContinue3">
    <w:name w:val="List Continue 3"/>
    <w:basedOn w:val="List3"/>
    <w:rsid w:val="00C803BA"/>
    <w:pPr>
      <w:ind w:left="1021" w:firstLine="0"/>
    </w:pPr>
  </w:style>
  <w:style w:type="paragraph" w:styleId="ListContinue4">
    <w:name w:val="List Continue 4"/>
    <w:basedOn w:val="List4"/>
    <w:rsid w:val="00C803BA"/>
    <w:pPr>
      <w:ind w:firstLine="0"/>
    </w:pPr>
  </w:style>
  <w:style w:type="paragraph" w:styleId="ListContinue5">
    <w:name w:val="List Continue 5"/>
    <w:basedOn w:val="List5"/>
    <w:rsid w:val="00C803BA"/>
    <w:pPr>
      <w:ind w:firstLine="0"/>
    </w:pPr>
  </w:style>
  <w:style w:type="paragraph" w:styleId="ListNumber3">
    <w:name w:val="List Number 3"/>
    <w:basedOn w:val="List3"/>
    <w:rsid w:val="00C803BA"/>
    <w:pPr>
      <w:numPr>
        <w:numId w:val="5"/>
      </w:numPr>
    </w:pPr>
  </w:style>
  <w:style w:type="paragraph" w:styleId="ListNumber4">
    <w:name w:val="List Number 4"/>
    <w:basedOn w:val="List4"/>
    <w:rsid w:val="00C803BA"/>
    <w:pPr>
      <w:numPr>
        <w:numId w:val="6"/>
      </w:numPr>
    </w:pPr>
  </w:style>
  <w:style w:type="paragraph" w:styleId="ListNumber5">
    <w:name w:val="List Number 5"/>
    <w:basedOn w:val="List5"/>
    <w:rsid w:val="00C803BA"/>
    <w:pPr>
      <w:numPr>
        <w:numId w:val="7"/>
      </w:numPr>
    </w:pPr>
  </w:style>
  <w:style w:type="paragraph" w:styleId="BlockText">
    <w:name w:val="Block Text"/>
    <w:basedOn w:val="Normal"/>
    <w:rsid w:val="00C803BA"/>
    <w:pPr>
      <w:spacing w:after="120"/>
      <w:ind w:left="1440" w:right="1440"/>
    </w:pPr>
  </w:style>
  <w:style w:type="character" w:customStyle="1" w:styleId="Subscript">
    <w:name w:val="Subscript"/>
    <w:basedOn w:val="DefaultParagraphFont"/>
    <w:rsid w:val="00C803BA"/>
    <w:rPr>
      <w:sz w:val="16"/>
      <w:vertAlign w:val="subscript"/>
    </w:rPr>
  </w:style>
  <w:style w:type="character" w:customStyle="1" w:styleId="Superscript">
    <w:name w:val="Superscript"/>
    <w:basedOn w:val="DefaultParagraphFont"/>
    <w:rsid w:val="00C803BA"/>
    <w:rPr>
      <w:sz w:val="16"/>
      <w:vertAlign w:val="superscript"/>
    </w:rPr>
  </w:style>
  <w:style w:type="character" w:customStyle="1" w:styleId="Symbols">
    <w:name w:val="Symbols"/>
    <w:basedOn w:val="DefaultParagraphFont"/>
    <w:rsid w:val="00C803BA"/>
    <w:rPr>
      <w:rFonts w:ascii="Symbol" w:hAnsi="Symbol"/>
    </w:rPr>
  </w:style>
  <w:style w:type="character" w:customStyle="1" w:styleId="MenuOptions">
    <w:name w:val="Menu Options"/>
    <w:basedOn w:val="DefaultParagraphFont"/>
    <w:rsid w:val="00C803BA"/>
    <w:rPr>
      <w:rFonts w:ascii="Arial Narrow" w:hAnsi="Arial Narrow"/>
      <w:smallCaps/>
    </w:rPr>
  </w:style>
  <w:style w:type="character" w:customStyle="1" w:styleId="Buttons">
    <w:name w:val="Buttons"/>
    <w:basedOn w:val="DefaultParagraphFont"/>
    <w:rsid w:val="00C803BA"/>
    <w:rPr>
      <w:b/>
    </w:rPr>
  </w:style>
  <w:style w:type="character" w:customStyle="1" w:styleId="Underlined">
    <w:name w:val="Underlined"/>
    <w:basedOn w:val="DefaultParagraphFont"/>
    <w:rsid w:val="00C803BA"/>
    <w:rPr>
      <w:u w:val="single"/>
    </w:rPr>
  </w:style>
  <w:style w:type="paragraph" w:customStyle="1" w:styleId="TableBodyTextRight">
    <w:name w:val="Table Body Text Right"/>
    <w:basedOn w:val="TableBodyText"/>
    <w:rsid w:val="00C803BA"/>
    <w:pPr>
      <w:widowControl w:val="0"/>
      <w:autoSpaceDE w:val="0"/>
      <w:autoSpaceDN w:val="0"/>
      <w:adjustRightInd w:val="0"/>
      <w:jc w:val="right"/>
    </w:pPr>
    <w:rPr>
      <w:rFonts w:cs="Arial"/>
      <w:szCs w:val="18"/>
    </w:rPr>
  </w:style>
  <w:style w:type="paragraph" w:customStyle="1" w:styleId="CopyrightText">
    <w:name w:val="Copyright Text"/>
    <w:basedOn w:val="BodyText"/>
    <w:rsid w:val="00C803BA"/>
    <w:rPr>
      <w:sz w:val="18"/>
    </w:rPr>
  </w:style>
  <w:style w:type="paragraph" w:customStyle="1" w:styleId="BodySmallRight">
    <w:name w:val="Body Small Right"/>
    <w:basedOn w:val="BodyTextRight"/>
    <w:rsid w:val="00C803BA"/>
    <w:rPr>
      <w:sz w:val="18"/>
      <w:szCs w:val="18"/>
    </w:rPr>
  </w:style>
  <w:style w:type="paragraph" w:customStyle="1" w:styleId="MarginEdition">
    <w:name w:val="Margin Edition"/>
    <w:basedOn w:val="MarginNote"/>
    <w:rsid w:val="00C803BA"/>
    <w:pPr>
      <w:spacing w:before="0" w:after="0"/>
    </w:pPr>
    <w:rPr>
      <w:rFonts w:ascii="Times New Roman" w:hAnsi="Times New Roman"/>
      <w:color w:val="999999"/>
    </w:rPr>
  </w:style>
  <w:style w:type="paragraph" w:customStyle="1" w:styleId="Spacer">
    <w:name w:val="Spacer"/>
    <w:basedOn w:val="Normal"/>
    <w:rsid w:val="00C803BA"/>
    <w:rPr>
      <w:sz w:val="2"/>
      <w:szCs w:val="2"/>
    </w:rPr>
  </w:style>
  <w:style w:type="character" w:customStyle="1" w:styleId="Small">
    <w:name w:val="Small"/>
    <w:basedOn w:val="DefaultParagraphFont"/>
    <w:rsid w:val="00C803BA"/>
    <w:rPr>
      <w:sz w:val="16"/>
    </w:rPr>
  </w:style>
  <w:style w:type="paragraph" w:customStyle="1" w:styleId="WideTable">
    <w:name w:val="Wide Table"/>
    <w:basedOn w:val="Normal"/>
    <w:rsid w:val="00C803BA"/>
    <w:pPr>
      <w:ind w:left="-1418"/>
    </w:pPr>
    <w:rPr>
      <w:sz w:val="2"/>
      <w:szCs w:val="2"/>
    </w:rPr>
  </w:style>
  <w:style w:type="character" w:styleId="PageNumber">
    <w:name w:val="page number"/>
    <w:basedOn w:val="DefaultParagraphFont"/>
    <w:rsid w:val="00C803BA"/>
  </w:style>
  <w:style w:type="paragraph" w:styleId="Quote">
    <w:name w:val="Quote"/>
    <w:basedOn w:val="Heading1"/>
    <w:link w:val="QuoteChar"/>
    <w:qFormat/>
    <w:rsid w:val="00C803BA"/>
    <w:rPr>
      <w:b w:val="0"/>
      <w:sz w:val="72"/>
      <w:szCs w:val="72"/>
      <w:lang w:val="en-NZ"/>
    </w:rPr>
  </w:style>
  <w:style w:type="character" w:customStyle="1" w:styleId="QuoteChar">
    <w:name w:val="Quote Char"/>
    <w:basedOn w:val="DefaultParagraphFont"/>
    <w:link w:val="Quote"/>
    <w:rsid w:val="00C80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3BA"/>
    <w:pPr>
      <w:pageBreakBefore/>
    </w:pPr>
  </w:style>
  <w:style w:type="paragraph" w:customStyle="1" w:styleId="Border">
    <w:name w:val="Border"/>
    <w:basedOn w:val="Normal"/>
    <w:qFormat/>
    <w:rsid w:val="00C80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3BA"/>
    <w:rPr>
      <w:b/>
      <w:bCs/>
      <w:i/>
      <w:iCs/>
      <w:color w:val="auto"/>
    </w:rPr>
  </w:style>
  <w:style w:type="paragraph" w:styleId="IntenseQuote">
    <w:name w:val="Intense Quote"/>
    <w:basedOn w:val="Normal"/>
    <w:next w:val="Normal"/>
    <w:link w:val="IntenseQuoteChar"/>
    <w:uiPriority w:val="30"/>
    <w:qFormat/>
    <w:rsid w:val="00C80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3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03BA"/>
    <w:rPr>
      <w:smallCaps/>
      <w:color w:val="auto"/>
      <w:u w:val="single"/>
    </w:rPr>
  </w:style>
  <w:style w:type="character" w:styleId="IntenseReference">
    <w:name w:val="Intense Reference"/>
    <w:basedOn w:val="DefaultParagraphFont"/>
    <w:uiPriority w:val="32"/>
    <w:qFormat/>
    <w:rsid w:val="00C803BA"/>
    <w:rPr>
      <w:b/>
      <w:bCs/>
      <w:smallCaps/>
      <w:color w:val="auto"/>
      <w:spacing w:val="5"/>
      <w:u w:val="single"/>
    </w:rPr>
  </w:style>
  <w:style w:type="paragraph" w:customStyle="1" w:styleId="2ColumnHeading">
    <w:name w:val="2Column Heading"/>
    <w:basedOn w:val="BodyText"/>
    <w:qFormat/>
    <w:rsid w:val="00C803BA"/>
    <w:pPr>
      <w:spacing w:after="60"/>
      <w:ind w:left="-2268"/>
    </w:pPr>
    <w:rPr>
      <w:b/>
    </w:rPr>
  </w:style>
  <w:style w:type="paragraph" w:customStyle="1" w:styleId="Heading1TOC">
    <w:name w:val="Heading1 TOC"/>
    <w:basedOn w:val="Normal"/>
    <w:qFormat/>
    <w:rsid w:val="00C803BA"/>
    <w:pPr>
      <w:spacing w:before="240" w:after="120"/>
    </w:pPr>
    <w:rPr>
      <w:rFonts w:ascii="Times New Roman" w:hAnsi="Times New Roman"/>
      <w:b/>
      <w:sz w:val="32"/>
    </w:rPr>
  </w:style>
  <w:style w:type="paragraph" w:customStyle="1" w:styleId="Heading2TOC">
    <w:name w:val="Heading2 TOC"/>
    <w:basedOn w:val="Normal"/>
    <w:qFormat/>
    <w:rsid w:val="00C803BA"/>
    <w:pPr>
      <w:spacing w:before="240" w:after="60"/>
    </w:pPr>
    <w:rPr>
      <w:rFonts w:ascii="Times New Roman" w:hAnsi="Times New Roman"/>
      <w:b/>
      <w:sz w:val="28"/>
    </w:rPr>
  </w:style>
  <w:style w:type="character" w:customStyle="1" w:styleId="Underline">
    <w:name w:val="Underline"/>
    <w:basedOn w:val="DefaultParagraphFont"/>
    <w:qFormat/>
    <w:rsid w:val="00C803BA"/>
    <w:rPr>
      <w:u w:val="single"/>
    </w:rPr>
  </w:style>
  <w:style w:type="character" w:customStyle="1" w:styleId="BoldandItalics">
    <w:name w:val="Bold and Italics"/>
    <w:qFormat/>
    <w:rsid w:val="00C803BA"/>
    <w:rPr>
      <w:b/>
      <w:i/>
      <w:u w:val="none"/>
    </w:rPr>
  </w:style>
  <w:style w:type="paragraph" w:styleId="BalloonText">
    <w:name w:val="Balloon Text"/>
    <w:basedOn w:val="Normal"/>
    <w:link w:val="BalloonTextChar"/>
    <w:rsid w:val="00C803BA"/>
    <w:rPr>
      <w:rFonts w:ascii="Tahoma" w:hAnsi="Tahoma" w:cs="Tahoma"/>
      <w:sz w:val="16"/>
      <w:szCs w:val="16"/>
    </w:rPr>
  </w:style>
  <w:style w:type="character" w:customStyle="1" w:styleId="BalloonTextChar">
    <w:name w:val="Balloon Text Char"/>
    <w:basedOn w:val="DefaultParagraphFont"/>
    <w:link w:val="BalloonText"/>
    <w:rsid w:val="00C803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3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03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2676</Words>
  <Characters>15782</Characters>
  <Application>Microsoft Office Word</Application>
  <DocSecurity>0</DocSecurity>
  <Lines>777</Lines>
  <Paragraphs>305</Paragraphs>
  <ScaleCrop>false</ScaleCrop>
  <Company>Author-it Software Corporation Ltd.</Company>
  <LinksUpToDate>false</LinksUpToDate>
  <CharactersWithSpaces>18181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UEGNSG105A Establish the work site</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2012-05-26T21:59:00Z</dcterms:created>
  <dcterms:modified xsi:type="dcterms:W3CDTF">2012-05-26T22:00:00Z</dcterms:modified>
</cp:coreProperties>
</file>