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F4E" w:rsidP="00030F4E">
      <w:pPr>
        <w:pStyle w:val="Title"/>
      </w:pPr>
      <w:r>
        <w:fldChar w:fldCharType="begin"/>
      </w:r>
      <w:r>
        <w:instrText xml:space="preserve"> TITLE   \* MERGEFORMAT </w:instrText>
      </w:r>
      <w:r>
        <w:fldChar w:fldCharType="separate"/>
      </w:r>
      <w:r>
        <w:t>UEGNSG104A Comply with environmental policies and procedures</w:t>
      </w:r>
      <w:r>
        <w:fldChar w:fldCharType="end"/>
      </w:r>
    </w:p>
    <w:p w:rsidR="00030F4E" w:rsidP="00030F4E">
      <w:pPr>
        <w:pStyle w:val="Version"/>
        <w:sectPr w:rsidSect="007F0B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B8E" w:rsidP="007F0B8E">
      <w:pPr>
        <w:pStyle w:val="SuperHeading"/>
      </w:pPr>
      <w:r w:rsidRPr="007F0B8E">
        <w:t>UEGNSG104A Comply with environmental policies and procedures</w:t>
      </w:r>
    </w:p>
    <w:p w:rsidR="00000000" w:rsidRPr="007F0B8E" w:rsidP="007F0B8E">
      <w:pPr>
        <w:pStyle w:val="Heading1"/>
      </w:pPr>
      <w:bookmarkStart w:id="1" w:name="O_275076"/>
      <w:bookmarkEnd w:id="1"/>
      <w:r w:rsidRPr="007F0B8E">
        <w:t>Modification History</w:t>
      </w:r>
    </w:p>
    <w:p w:rsidR="00000000" w:rsidRPr="007F0B8E" w:rsidP="007F0B8E">
      <w:pPr>
        <w:pStyle w:val="BodyText"/>
      </w:pPr>
      <w:r w:rsidRPr="007F0B8E">
        <w:t>Not Applicable</w:t>
      </w:r>
    </w:p>
    <w:p w:rsidR="00000000" w:rsidRPr="007F0B8E" w:rsidP="007F0B8E">
      <w:pPr>
        <w:pStyle w:val="AllowPageBreak"/>
      </w:pPr>
    </w:p>
    <w:p w:rsidR="00000000" w:rsidRPr="007F0B8E" w:rsidP="007F0B8E">
      <w:pPr>
        <w:pStyle w:val="Heading1"/>
      </w:pPr>
      <w:bookmarkStart w:id="2" w:name="O_229280"/>
      <w:bookmarkEnd w:id="2"/>
      <w:r w:rsidRPr="007F0B8E">
        <w:t>Unit Descriptor</w:t>
      </w:r>
    </w:p>
    <w:tbl>
      <w:tblPr>
        <w:tblW w:w="0" w:type="auto"/>
        <w:tblLayout w:type="fixed"/>
        <w:tblCellMar>
          <w:left w:w="62" w:type="dxa"/>
          <w:right w:w="62" w:type="dxa"/>
        </w:tblCellMar>
        <w:tblLook w:val="0000"/>
      </w:tblPr>
      <w:tblGrid>
        <w:gridCol w:w="2700"/>
        <w:gridCol w:w="5760"/>
      </w:tblGrid>
      <w:tr w:rsidTr="00030F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1</w:t>
            </w:r>
            <w:r w:rsidRPr="007F0B8E">
              <w:t>)</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This Unit covers the compliance of environmental polices and procedures whilst undertaking tasks in a utilities industry workplace and refers to relevant legislation, codes and practices and established procedures. The competency standard refers to complia</w:t>
            </w:r>
            <w:r w:rsidRPr="007F0B8E">
              <w:t xml:space="preserve">nce with relevant sections of Commonwealth and State OHS and Environmental Protection Acts. The checking of plant and equipment should be performed through visual and mechanical checks. The plant and equipment used is that typically used in preparing work </w:t>
            </w:r>
            <w:r w:rsidRPr="007F0B8E">
              <w:t>sites for underground services and compliance with environmental policies and procedures. Relevant regulations and procedures are referred to, but not limited to, the work site and the use of plant; machinery/equipment; cleaning materials and aids; equipme</w:t>
            </w:r>
            <w:r w:rsidRPr="007F0B8E">
              <w:t>nt operation; personal protective equipment.</w:t>
            </w:r>
          </w:p>
        </w:tc>
      </w:tr>
    </w:tbl>
    <w:p w:rsidR="00030F4E" w:rsidP="007F0B8E">
      <w:pPr>
        <w:pStyle w:val="BodyText"/>
      </w:pPr>
    </w:p>
    <w:p w:rsidR="00030F4E" w:rsidP="007F0B8E">
      <w:pPr>
        <w:pStyle w:val="BodyText"/>
      </w:pPr>
    </w:p>
    <w:p w:rsidR="00000000" w:rsidRPr="007F0B8E" w:rsidP="007F0B8E">
      <w:pPr>
        <w:pStyle w:val="Heading1"/>
      </w:pPr>
      <w:bookmarkStart w:id="3" w:name="O_229283"/>
      <w:bookmarkEnd w:id="3"/>
      <w:r w:rsidRPr="007F0B8E">
        <w:t>Application of the Unit</w:t>
      </w:r>
    </w:p>
    <w:tbl>
      <w:tblPr>
        <w:tblW w:w="0" w:type="auto"/>
        <w:tblLayout w:type="fixed"/>
        <w:tblCellMar>
          <w:left w:w="62" w:type="dxa"/>
          <w:right w:w="62" w:type="dxa"/>
        </w:tblCellMar>
        <w:tblLook w:val="0000"/>
      </w:tblPr>
      <w:tblGrid>
        <w:gridCol w:w="2700"/>
        <w:gridCol w:w="5760"/>
      </w:tblGrid>
      <w:tr w:rsidTr="00030F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3</w:t>
            </w:r>
            <w:r w:rsidRPr="007F0B8E">
              <w:t xml:space="preserve">) </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This competency standard shall apply to any basic and safe work site where Gas Industry operations occur. It could also apply, where appl</w:t>
            </w:r>
            <w:r w:rsidRPr="007F0B8E">
              <w:t>icable to other workplaces in the electricity supply industry (transmission and distribution and generation), the electrotechnology industry and the water industry, subject to all Occupational Health and Safety and duty of care requirements being met for t</w:t>
            </w:r>
            <w:r w:rsidRPr="007F0B8E">
              <w:t>he workplace.</w:t>
            </w:r>
          </w:p>
        </w:tc>
      </w:tr>
    </w:tbl>
    <w:p w:rsidR="00030F4E" w:rsidP="007F0B8E">
      <w:pPr>
        <w:pStyle w:val="BodyText"/>
      </w:pPr>
    </w:p>
    <w:p w:rsidR="00030F4E" w:rsidP="007F0B8E">
      <w:pPr>
        <w:pStyle w:val="BodyText"/>
      </w:pPr>
    </w:p>
    <w:p w:rsidR="00000000" w:rsidRPr="007F0B8E" w:rsidP="007F0B8E">
      <w:pPr>
        <w:pStyle w:val="Heading1"/>
      </w:pPr>
      <w:bookmarkStart w:id="4" w:name="O_229284"/>
      <w:bookmarkEnd w:id="4"/>
      <w:r w:rsidRPr="007F0B8E">
        <w:t>Licensing/Regulatory Information</w:t>
      </w:r>
    </w:p>
    <w:tbl>
      <w:tblPr>
        <w:tblW w:w="0" w:type="auto"/>
        <w:tblLayout w:type="fixed"/>
        <w:tblCellMar>
          <w:left w:w="62" w:type="dxa"/>
          <w:right w:w="62" w:type="dxa"/>
        </w:tblCellMar>
        <w:tblLook w:val="0000"/>
      </w:tblPr>
      <w:tblGrid>
        <w:gridCol w:w="2700"/>
        <w:gridCol w:w="5760"/>
      </w:tblGrid>
      <w:tr w:rsidTr="00030F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3</w:t>
            </w:r>
            <w:r w:rsidRPr="007F0B8E">
              <w:t>.</w:t>
            </w:r>
            <w:r w:rsidRPr="007F0B8E">
              <w:rPr>
                <w:rStyle w:val="SpecialBold"/>
              </w:rPr>
              <w:t>1</w:t>
            </w:r>
            <w:r w:rsidRPr="007F0B8E">
              <w:t xml:space="preserve">) </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 xml:space="preserve">The skills and knowledge described in this unit are not subject to licence regulation other than those directly related to Occupational Health </w:t>
            </w:r>
            <w:r w:rsidRPr="007F0B8E">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7F0B8E">
              <w:t>that limit the age at which a person can operate certain equipment.</w:t>
            </w:r>
          </w:p>
        </w:tc>
      </w:tr>
    </w:tbl>
    <w:p w:rsidR="00030F4E" w:rsidP="007F0B8E">
      <w:pPr>
        <w:pStyle w:val="BodyText"/>
      </w:pPr>
    </w:p>
    <w:p w:rsidR="00030F4E" w:rsidP="007F0B8E">
      <w:pPr>
        <w:pStyle w:val="BodyText"/>
      </w:pPr>
    </w:p>
    <w:p w:rsidR="00000000" w:rsidRPr="007F0B8E" w:rsidP="007F0B8E">
      <w:pPr>
        <w:pStyle w:val="Heading1"/>
      </w:pPr>
      <w:bookmarkStart w:id="5" w:name="O_229281"/>
      <w:bookmarkEnd w:id="5"/>
      <w:r w:rsidRPr="007F0B8E">
        <w:t>Pre-Requisites</w:t>
      </w:r>
    </w:p>
    <w:tbl>
      <w:tblPr>
        <w:tblW w:w="0" w:type="auto"/>
        <w:tblLayout w:type="fixed"/>
        <w:tblCellMar>
          <w:left w:w="62" w:type="dxa"/>
          <w:right w:w="62" w:type="dxa"/>
        </w:tblCellMar>
        <w:tblLook w:val="0000"/>
      </w:tblPr>
      <w:tblGrid>
        <w:gridCol w:w="2700"/>
        <w:gridCol w:w="1800"/>
        <w:gridCol w:w="3960"/>
      </w:tblGrid>
      <w:tr w:rsidTr="00030F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Prerequisite Unit</w:t>
            </w:r>
            <w:r w:rsidRPr="007F0B8E">
              <w:t>(</w:t>
            </w:r>
            <w:r w:rsidRPr="007F0B8E">
              <w:rPr>
                <w:rStyle w:val="SpecialBold"/>
              </w:rPr>
              <w:t>s</w:t>
            </w:r>
            <w:r w:rsidRPr="007F0B8E">
              <w:t>)</w:t>
            </w:r>
          </w:p>
        </w:tc>
        <w:tc>
          <w:tcPr>
            <w:tcW w:w="576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2</w:t>
            </w:r>
            <w:r w:rsidRPr="007F0B8E">
              <w:t xml:space="preserve">) </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2</w:t>
            </w:r>
            <w:r w:rsidRPr="007F0B8E">
              <w:t>.</w:t>
            </w:r>
            <w:r w:rsidRPr="007F0B8E">
              <w:rPr>
                <w:rStyle w:val="SpecialBold"/>
              </w:rPr>
              <w:t>1</w:t>
            </w:r>
            <w:r w:rsidRPr="007F0B8E">
              <w:t xml:space="preserve">) </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Granting of competency in this unit shall be made only after competency in the following unit(s) has/have been confirmed:</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Nil</w:t>
            </w:r>
          </w:p>
        </w:tc>
        <w:tc>
          <w:tcPr>
            <w:tcW w:w="3960" w:type="dxa"/>
            <w:tcBorders>
              <w:top w:val="nil"/>
              <w:left w:val="nil"/>
              <w:bottom w:val="nil"/>
              <w:right w:val="nil"/>
            </w:tcBorders>
            <w:tcMar>
              <w:top w:w="0" w:type="dxa"/>
              <w:left w:w="62" w:type="dxa"/>
              <w:bottom w:w="0" w:type="dxa"/>
              <w:right w:w="62" w:type="dxa"/>
            </w:tcMar>
          </w:tcPr>
          <w:p w:rsidR="00000000" w:rsidRPr="007F0B8E" w:rsidP="007F0B8E">
            <w:pPr>
              <w:pStyle w:val="BodyText"/>
            </w:pPr>
          </w:p>
        </w:tc>
      </w:tr>
    </w:tbl>
    <w:p w:rsidR="00030F4E" w:rsidP="007F0B8E">
      <w:pPr>
        <w:pStyle w:val="BodyText"/>
      </w:pPr>
    </w:p>
    <w:p w:rsidR="00030F4E" w:rsidP="007F0B8E">
      <w:pPr>
        <w:pStyle w:val="BodyText"/>
      </w:pPr>
    </w:p>
    <w:p w:rsidR="00000000" w:rsidRPr="007F0B8E" w:rsidP="007F0B8E">
      <w:pPr>
        <w:pStyle w:val="Heading1"/>
      </w:pPr>
      <w:bookmarkStart w:id="6" w:name="O_285325"/>
      <w:bookmarkEnd w:id="6"/>
      <w:r w:rsidRPr="007F0B8E">
        <w:t>Employability Skills Information</w:t>
      </w:r>
    </w:p>
    <w:p w:rsidR="00000000" w:rsidRPr="007F0B8E" w:rsidP="007F0B8E">
      <w:pPr>
        <w:pStyle w:val="BodyText"/>
      </w:pPr>
      <w:r w:rsidRPr="007F0B8E">
        <w:t>Refer to the Evidence Guide</w:t>
      </w:r>
    </w:p>
    <w:p w:rsidR="00000000" w:rsidRPr="007F0B8E" w:rsidP="007F0B8E">
      <w:pPr>
        <w:pStyle w:val="AllowPageBreak"/>
      </w:pPr>
    </w:p>
    <w:p w:rsidR="00000000" w:rsidRPr="007F0B8E" w:rsidP="007F0B8E">
      <w:pPr>
        <w:pStyle w:val="Heading1"/>
      </w:pPr>
      <w:bookmarkStart w:id="7" w:name="O_293122"/>
      <w:bookmarkEnd w:id="7"/>
      <w:r w:rsidRPr="007F0B8E">
        <w:t>Elements and Performance Criteria Pre-Content</w:t>
      </w:r>
    </w:p>
    <w:tbl>
      <w:tblPr>
        <w:tblW w:w="0" w:type="auto"/>
        <w:tblLayout w:type="fixed"/>
        <w:tblCellMar>
          <w:left w:w="62" w:type="dxa"/>
          <w:right w:w="62" w:type="dxa"/>
        </w:tblCellMar>
        <w:tblLook w:val="0000"/>
      </w:tblPr>
      <w:tblGrid>
        <w:gridCol w:w="2700"/>
        <w:gridCol w:w="5760"/>
      </w:tblGrid>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5</w:t>
            </w:r>
            <w:r w:rsidRPr="007F0B8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Performance Criteria describe the required performance needed to demonstrate achievement of the element. Assessment of performance is to</w:t>
            </w:r>
            <w:r w:rsidRPr="007F0B8E">
              <w:t xml:space="preserve"> be consistent with the evidence guide.</w:t>
            </w:r>
          </w:p>
        </w:tc>
      </w:tr>
    </w:tbl>
    <w:p w:rsidR="00000000" w:rsidRPr="007F0B8E" w:rsidP="007F0B8E">
      <w:pPr>
        <w:pStyle w:val="BodyText"/>
      </w:pPr>
    </w:p>
    <w:p w:rsidR="00000000" w:rsidRPr="007F0B8E" w:rsidP="007F0B8E">
      <w:pPr>
        <w:pStyle w:val="AllowPageBreak"/>
      </w:pPr>
    </w:p>
    <w:p w:rsidR="00000000" w:rsidRPr="007F0B8E" w:rsidP="007F0B8E">
      <w:pPr>
        <w:pStyle w:val="Heading1"/>
      </w:pPr>
      <w:bookmarkStart w:id="8" w:name="O_239790"/>
      <w:bookmarkEnd w:id="8"/>
      <w:r w:rsidRPr="007F0B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30F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PERFORMANCE CRITERIA</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w:t>
            </w:r>
          </w:p>
        </w:tc>
        <w:tc>
          <w:tcPr>
            <w:tcW w:w="2296" w:type="dxa"/>
            <w:vMerge w:val="restart"/>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Prepare to comply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1.1</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Work instructions are received and confirmed</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1.2</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Relevant requirements and established procedures to be followed for the work to be performed are discussed with all persons to establish and confirm the work schedule</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1.3</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OHS, sustai</w:t>
            </w:r>
            <w:r w:rsidRPr="007F0B8E">
              <w:t>nable energy and environmental policies and procedures to be followed for the work to be performed are received and confirmed</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1.4</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Suggestions to assist with complying with environmental policies and procedures are made to others involved in the work</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1.5</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Hazards are identified, OHS risks assessed and control measures are prioritised, implemented and monitored including emergency exits kept clear according to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1.6</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Scope of responsibility under any relevant work permits are received and confirmed according to requirements and established procedures with relevant persons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1.7</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Resources including environmental compliance personal protective equipment required for the</w:t>
            </w:r>
            <w:r w:rsidRPr="007F0B8E">
              <w:t xml:space="preserve"> job are obtained and in working order according to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1.8</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Relevant responsibilities associated with First Aid and other related work safety procedures at the work site are confirmed in accordance with requirements and established pr</w:t>
            </w:r>
            <w:r w:rsidRPr="007F0B8E">
              <w:t>ocedures to ensure safety measures are followed in the instance of an incident.</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1.9</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Client issues are referred to appropriate persons in accordance with industry and community standards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1.10</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Site is reviewed according to given instructions and the work schedule for a quality outcome and to minimise risk and damage to property, commerce and individuals in accordance with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1.11</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Road signs, barriers and warning devices re</w:t>
            </w:r>
            <w:r w:rsidRPr="007F0B8E">
              <w:t>quired for the work are identified and positioned in accordance with given instructions and requirements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w:t>
            </w:r>
          </w:p>
        </w:tc>
        <w:tc>
          <w:tcPr>
            <w:tcW w:w="2296" w:type="dxa"/>
            <w:vMerge w:val="restart"/>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Carry out compliance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OHS policies and procedures and safe work practices are followed to eliminate or</w:t>
            </w:r>
            <w:r w:rsidRPr="007F0B8E">
              <w:t xml:space="preserve"> minimise incidents and hazards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2.2</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Environmental requirements for the work are mentioned, reviewed and control measures recommended for inclusion in the work process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2.3</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Any environmental incidents and potential problems are referred to appropriate persons in accordance with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2.4</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 xml:space="preserve">Lifting, climbing, working in confined spaces and or aloft, and use of power tools, techniques and practices are safely </w:t>
            </w:r>
            <w:r w:rsidRPr="007F0B8E">
              <w:t>followed in accordance with given instructions and according to requirements confirmed to eliminate the prospects of incidents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2.5</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Operational knowledge for compliance with environmental policies and procedures is confirmed to ensure completion in an agreed timeframe and to quality standards with a minimum of waste according to requirements and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2.6</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Compliance</w:t>
            </w:r>
            <w:r w:rsidRPr="007F0B8E">
              <w:t xml:space="preserve"> with environmental policies and procedures is carried out in accordance with given instructions and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2.7</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Hazard warnings and safety signs are recognised and hazards assessed and OHS risks are reported to the immediate authorised p</w:t>
            </w:r>
            <w:r w:rsidRPr="007F0B8E">
              <w:t>ersons for directions according to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2.8</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Non-routine events are referred to the immediate authorised persons for directions according to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2.9</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Problems associated with complying with environmental polices and</w:t>
            </w:r>
            <w:r w:rsidRPr="007F0B8E">
              <w:t xml:space="preserve"> procedures are dealt with using acquired known solutions and skills related to routine procedures to ensure work instructions and established procedures are met</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2.10</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Ongoing checks of q</w:t>
            </w:r>
            <w:r w:rsidRPr="007F0B8E">
              <w:t>uality of the work are undertaken in accordance with given instructions and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w:t>
            </w:r>
          </w:p>
        </w:tc>
        <w:tc>
          <w:tcPr>
            <w:tcW w:w="2296" w:type="dxa"/>
            <w:vMerge w:val="restart"/>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Complete the compliance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3.1</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Work undertaken is checked against work schedule and anomalies reported to authoris</w:t>
            </w:r>
            <w:r w:rsidRPr="007F0B8E">
              <w:t>ed persons in accordance with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3.2</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Accidents and incidents are actioned and reported to authorised persons in accordance with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3.3</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Work site is rehabilitated, cleaned up and made safe in accordance with given instructions and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3.4</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Tools, equipment and any surplus resources and materials are, where appropriate, cleaned, checked and returned to storage in accord</w:t>
            </w:r>
            <w:r w:rsidRPr="007F0B8E">
              <w:t>ance with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3.5</w:t>
            </w:r>
          </w:p>
        </w:tc>
        <w:tc>
          <w:tcPr>
            <w:tcW w:w="48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Appropriate persons are notified of work completion according to established procedures</w:t>
            </w:r>
          </w:p>
        </w:tc>
      </w:tr>
      <w:tr w:rsidTr="00030F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3.6</w:t>
            </w:r>
          </w:p>
        </w:tc>
        <w:tc>
          <w:tcPr>
            <w:tcW w:w="48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Environmental completion records, report forms/data sheets are completed accurately in accordance with given instructions and established procedures</w:t>
            </w:r>
          </w:p>
        </w:tc>
      </w:tr>
    </w:tbl>
    <w:p w:rsidR="00030F4E" w:rsidP="007F0B8E">
      <w:pPr>
        <w:pStyle w:val="BodyText"/>
      </w:pPr>
    </w:p>
    <w:p w:rsidR="00030F4E" w:rsidP="007F0B8E">
      <w:pPr>
        <w:pStyle w:val="BodyText"/>
      </w:pPr>
    </w:p>
    <w:p w:rsidR="00000000" w:rsidRPr="007F0B8E" w:rsidP="007F0B8E">
      <w:pPr>
        <w:pStyle w:val="Heading1"/>
      </w:pPr>
      <w:bookmarkStart w:id="9" w:name="O_263581"/>
      <w:bookmarkEnd w:id="9"/>
      <w:r w:rsidRPr="007F0B8E">
        <w:t>Required Skills and Knowledge</w:t>
      </w:r>
    </w:p>
    <w:tbl>
      <w:tblPr>
        <w:tblW w:w="0" w:type="auto"/>
        <w:tblLayout w:type="fixed"/>
        <w:tblCellMar>
          <w:left w:w="62" w:type="dxa"/>
          <w:right w:w="62" w:type="dxa"/>
        </w:tblCellMar>
        <w:tblLook w:val="0000"/>
      </w:tblPr>
      <w:tblGrid>
        <w:gridCol w:w="2700"/>
        <w:gridCol w:w="1080"/>
        <w:gridCol w:w="4680"/>
      </w:tblGrid>
      <w:tr w:rsidTr="00030F4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REQUIRED SKILLS AND KNOWLEDGE</w:t>
            </w:r>
          </w:p>
        </w:tc>
      </w:tr>
      <w:tr w:rsidTr="00030F4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6</w:t>
            </w:r>
            <w:r w:rsidRPr="007F0B8E">
              <w:t>) This describes the essential skills and knowledge and their level, required for this unit.</w:t>
            </w:r>
          </w:p>
        </w:tc>
      </w:tr>
      <w:tr w:rsidTr="00030F4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Evidence shall show that knowledge has been acquired of safe working practices for complying with environmental policies and procedures. The extent of the essen</w:t>
            </w:r>
            <w:r w:rsidRPr="007F0B8E">
              <w:t>tial knowledge and associated skills (EKAS) required is given in Volume 2 - Part 2.2 EKAS.  It forms an integral part of this unit.</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Working in the Gas Sector</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2.1.2</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Identify roles of statutory authorities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2.1.3</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Identify employment roles and responsibilities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2.1.4</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Apply relevant OHS regulations, policies and procedures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2.1.5</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Maintain safe, clean and healthy workplace</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2.1.6</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Work safely with hazardous materials and equipment</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2.1.7</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Apply safe manual handling techniques in the workplace</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2.1.8</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Control traffic at the work site</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2.1.9</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Respond to emergency and accident situations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2.1.10</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Apply relevant environmental legislation, regulations and codes of practice</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2.1.11</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Protect and m</w:t>
            </w:r>
            <w:r w:rsidRPr="007F0B8E">
              <w:t>aintain the environment</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2.1.12</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Communicate in the workplace</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2.1.13</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Communicate effectively in a team</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2.1.14</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Read and interpret workplace documents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2.1.15</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Complete routine workplace forms, memos and reports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2.1.16</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Identify requirements of work activity</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2.1.17</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Apply basic planning skills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2.1.18</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Conduct tasks to complete work activity</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2.1.19</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Review work activity</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2.1.20</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Customer relations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2.1.21</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Problem solving</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2.1.22</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Confined spaces</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2.1.23</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Work site environmental compliance</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2.1.24</w:t>
            </w:r>
          </w:p>
        </w:tc>
        <w:tc>
          <w:tcPr>
            <w:tcW w:w="468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Work site environmental impact</w:t>
            </w:r>
          </w:p>
        </w:tc>
      </w:tr>
    </w:tbl>
    <w:p w:rsidR="00030F4E" w:rsidP="007F0B8E">
      <w:pPr>
        <w:pStyle w:val="BodyText"/>
      </w:pPr>
    </w:p>
    <w:p w:rsidR="00030F4E" w:rsidP="007F0B8E">
      <w:pPr>
        <w:pStyle w:val="BodyText"/>
      </w:pPr>
    </w:p>
    <w:p w:rsidR="00000000" w:rsidRPr="007F0B8E" w:rsidP="007F0B8E">
      <w:pPr>
        <w:pStyle w:val="Heading1"/>
      </w:pPr>
      <w:bookmarkStart w:id="10" w:name="O_247773"/>
      <w:bookmarkEnd w:id="10"/>
      <w:r w:rsidRPr="007F0B8E">
        <w:t>Evidence Guide</w:t>
      </w:r>
    </w:p>
    <w:tbl>
      <w:tblPr>
        <w:tblW w:w="0" w:type="auto"/>
        <w:tblLayout w:type="fixed"/>
        <w:tblCellMar>
          <w:left w:w="62" w:type="dxa"/>
          <w:right w:w="62" w:type="dxa"/>
        </w:tblCellMar>
        <w:tblLook w:val="0000"/>
      </w:tblPr>
      <w:tblGrid>
        <w:gridCol w:w="2160"/>
        <w:gridCol w:w="6300"/>
      </w:tblGrid>
      <w:tr w:rsidTr="00030F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EVIDENCE GUIDE</w:t>
            </w:r>
          </w:p>
        </w:tc>
      </w:tr>
      <w:tr w:rsidTr="00030F4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8</w:t>
            </w:r>
            <w:r w:rsidRPr="007F0B8E">
              <w:t xml:space="preserve">) The Evidence Guide forms an integral part of this Unit and shall be used in conjunction with </w:t>
            </w:r>
            <w:r w:rsidRPr="007F0B8E">
              <w:t>all components parts of this unit and performed in accordance with the Assessment Guidelines of this Training Package.</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8</w:t>
            </w:r>
            <w:r w:rsidRPr="007F0B8E">
              <w:t>.</w:t>
            </w:r>
            <w:r w:rsidRPr="007F0B8E">
              <w:rPr>
                <w:rStyle w:val="SpecialBold"/>
              </w:rPr>
              <w:t>1</w:t>
            </w:r>
            <w:r w:rsidRPr="007F0B8E">
              <w:t xml:space="preserve">) </w:t>
            </w:r>
          </w:p>
          <w:p w:rsidR="00000000" w:rsidRPr="007F0B8E" w:rsidP="007F0B8E">
            <w:pPr>
              <w:pStyle w:val="BodyText"/>
            </w:pPr>
            <w:r w:rsidRPr="007F0B8E">
              <w:t>Longitudinal competency development approaches to assessment, such as Profiling, require data to be reliably gathered in a form that can be consistently interpreted over time. This approach is best utilised in Apprenticeship programs and reduces assessment</w:t>
            </w:r>
            <w:r w:rsidRPr="007F0B8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F0B8E">
              <w:t>tency in a realistically simulated work environment. It is recognised that, in some circumstances, assessment in part or full can occur outside the workplace. However, it must be in accord with industry and regulatory policy in this regard.</w:t>
            </w:r>
          </w:p>
          <w:p w:rsidR="00000000" w:rsidRPr="007F0B8E" w:rsidP="007F0B8E">
            <w:pPr>
              <w:pStyle w:val="BodyText"/>
            </w:pPr>
            <w:r w:rsidRPr="007F0B8E">
              <w:t xml:space="preserve">Methods chosen </w:t>
            </w:r>
            <w:r w:rsidRPr="007F0B8E">
              <w:t>for a particular assessment will be influenced by various factors. These include the extent of the assessment, the most effective locations for the assessment activities to take place, access to physical resources, additional safety measures that may be re</w:t>
            </w:r>
            <w:r w:rsidRPr="007F0B8E">
              <w:t>quired and the critical nature of the competencies being assessed.</w:t>
            </w:r>
          </w:p>
          <w:p w:rsidR="00000000" w:rsidRPr="007F0B8E" w:rsidP="007F0B8E">
            <w:pPr>
              <w:pStyle w:val="BodyText"/>
            </w:pPr>
            <w:r w:rsidRPr="007F0B8E">
              <w:t>The critical safety nature of working with electricity, electrical equipment, gas or any other hazardous substance/material carries risk in deeming a person competent. Hence, sources of evi</w:t>
            </w:r>
            <w:r w:rsidRPr="007F0B8E">
              <w:t>dence need to be 'rich' in nature so as to minimise error in judgment.</w:t>
            </w:r>
          </w:p>
          <w:p w:rsidR="00000000" w:rsidRPr="007F0B8E" w:rsidP="007F0B8E">
            <w:pPr>
              <w:pStyle w:val="BodyText"/>
            </w:pPr>
            <w:r w:rsidRPr="007F0B8E">
              <w:t>Activities associated with normal every day work have a bearing on the decision as to how much and how detailed the data gathered will contribute to its 'richness'. Some skills are more</w:t>
            </w:r>
            <w:r w:rsidRPr="007F0B8E">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7F0B8E">
              <w:t>nt instruments are included in the Assessment Guidelines of this Training Package.</w:t>
            </w:r>
          </w:p>
        </w:tc>
      </w:tr>
    </w:tbl>
    <w:p w:rsidR="00000000" w:rsidRPr="007F0B8E" w:rsidP="007F0B8E">
      <w:pPr>
        <w:pStyle w:val="BodyText"/>
      </w:pPr>
    </w:p>
    <w:tbl>
      <w:tblPr>
        <w:tblW w:w="0" w:type="auto"/>
        <w:tblLayout w:type="fixed"/>
        <w:tblCellMar>
          <w:left w:w="62" w:type="dxa"/>
          <w:right w:w="62" w:type="dxa"/>
        </w:tblCellMar>
        <w:tblLook w:val="0000"/>
      </w:tblPr>
      <w:tblGrid>
        <w:gridCol w:w="2160"/>
        <w:gridCol w:w="540"/>
        <w:gridCol w:w="900"/>
        <w:gridCol w:w="2160"/>
        <w:gridCol w:w="2700"/>
      </w:tblGrid>
      <w:tr w:rsidTr="00030F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8</w:t>
            </w:r>
            <w:r w:rsidRPr="007F0B8E">
              <w:t>.</w:t>
            </w:r>
            <w:r w:rsidRPr="007F0B8E">
              <w:rPr>
                <w:rStyle w:val="SpecialBold"/>
              </w:rPr>
              <w:t>2</w:t>
            </w:r>
            <w:r w:rsidRPr="007F0B8E">
              <w:t xml:space="preserve">) </w:t>
            </w:r>
          </w:p>
          <w:p w:rsidR="00000000" w:rsidP="007F0B8E">
            <w:pPr>
              <w:pStyle w:val="BodyText"/>
              <w:rPr>
                <w:lang w:val="en-NZ"/>
              </w:rPr>
            </w:pPr>
            <w:r w:rsidRPr="007F0B8E">
              <w:t>Before the critical aspects of evidence are considered all prerequisites shall be met.</w:t>
            </w:r>
          </w:p>
        </w:tc>
      </w:tr>
      <w:tr w:rsidTr="00030F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 xml:space="preserve">Evidence for competence in this unit shall be considered holistically. Each element and associated Performance Criteria shall be demonstrated </w:t>
            </w:r>
            <w:r w:rsidRPr="007F0B8E">
              <w:t xml:space="preserve">on at least two occasions in accordance with the 'Assessment Guidelines  UEG06'. Evidence shall also comprise: </w:t>
            </w:r>
          </w:p>
          <w:p w:rsidR="00000000" w:rsidP="007F0B8E">
            <w:pPr>
              <w:pStyle w:val="ListBullet"/>
              <w:rPr>
                <w:lang w:val="en-NZ"/>
              </w:rPr>
            </w:pPr>
            <w:r w:rsidRPr="007F0B8E">
              <w:t>A representative body of Performance Criteria demonstrated within the timeframes typically expected of the discipline, work function and indust</w:t>
            </w:r>
            <w:r w:rsidRPr="007F0B8E">
              <w:t>rial environment. In particular this shall incorporate evidence that shows a candidate is able to:</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F0B8E" w:rsidP="007F0B8E">
            <w:pPr>
              <w:pStyle w:val="ListBullet2"/>
            </w:pPr>
            <w:r w:rsidRPr="007F0B8E">
              <w:t xml:space="preserve">Implement Occupational Health and Safety workplace procedures and practices including the use of risk control measures as specified in the Performance </w:t>
            </w:r>
            <w:r w:rsidRPr="007F0B8E">
              <w:t>Criteria and range</w:t>
            </w:r>
          </w:p>
          <w:p w:rsidR="00000000" w:rsidRPr="007F0B8E" w:rsidP="007F0B8E">
            <w:pPr>
              <w:pStyle w:val="ListBullet2"/>
            </w:pPr>
            <w:r w:rsidRPr="007F0B8E">
              <w:t>Apply sustainable energy principles and practices as specified in the Performance Criteria and range</w:t>
            </w:r>
          </w:p>
          <w:p w:rsidR="00000000" w:rsidRPr="007F0B8E" w:rsidP="007F0B8E">
            <w:pPr>
              <w:pStyle w:val="ListBullet2"/>
            </w:pPr>
            <w:r w:rsidRPr="007F0B8E">
              <w:t>Demonstrate an understanding of the essential knowledge and associated skills as described in this unit to such an extent that the learner's performance outcome is reported in accordance with the preferred approach; namely a percentile graded result, where</w:t>
            </w:r>
            <w:r w:rsidRPr="007F0B8E">
              <w:t xml:space="preserve"> required by the regulated environment</w:t>
            </w:r>
          </w:p>
          <w:p w:rsidR="00000000" w:rsidRPr="007F0B8E" w:rsidP="007F0B8E">
            <w:pPr>
              <w:pStyle w:val="ListBullet2"/>
            </w:pPr>
            <w:r w:rsidRPr="007F0B8E">
              <w:t>Demonstrate an appropriate level of skills enabling employment</w:t>
            </w:r>
          </w:p>
          <w:p w:rsidR="00000000" w:rsidP="007F0B8E">
            <w:pPr>
              <w:pStyle w:val="ListBullet2"/>
              <w:rPr>
                <w:lang w:val="en-NZ"/>
              </w:rPr>
            </w:pPr>
            <w:r w:rsidRPr="007F0B8E">
              <w:t>Conduct work observing the relevant Anti discrimination legislation, regulations, polices and workplace procedures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F0B8E">
            <w:pPr>
              <w:pStyle w:val="ListBullet2"/>
              <w:rPr>
                <w:lang w:val="en-NZ"/>
              </w:rPr>
            </w:pPr>
            <w:r w:rsidRPr="007F0B8E">
              <w:t xml:space="preserve">Demonstrate performance across a </w:t>
            </w:r>
            <w:r w:rsidRPr="007F0B8E">
              <w:t>representative range of contexts from the prescribed items below.</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7F0B8E">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rPr>
                <w:rStyle w:val="SpecialBold"/>
              </w:rPr>
              <w:t>Range of tools</w:t>
            </w:r>
            <w:r w:rsidRPr="007F0B8E">
              <w:t>/</w:t>
            </w:r>
            <w:r w:rsidRPr="007F0B8E">
              <w:rPr>
                <w:rStyle w:val="SpecialBold"/>
              </w:rPr>
              <w:t>equipment</w:t>
            </w:r>
            <w:r w:rsidRPr="007F0B8E">
              <w:t>/</w:t>
            </w:r>
            <w:r w:rsidRPr="007F0B8E">
              <w:rPr>
                <w:rStyle w:val="SpecialBold"/>
              </w:rPr>
              <w:t>procedures</w:t>
            </w:r>
            <w:r w:rsidRPr="007F0B8E">
              <w:t>/</w:t>
            </w:r>
            <w:r w:rsidRPr="007F0B8E">
              <w:rPr>
                <w:rStyle w:val="SpecialBold"/>
              </w:rPr>
              <w:t>workplace</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7F0B8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rPr>
                <w:rStyle w:val="SpecialBold"/>
              </w:rPr>
              <w:t>Group No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rPr>
                <w:rStyle w:val="SpecialBold"/>
              </w:rPr>
              <w:t>Item List</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At least 3</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Interpret alignment sheets, maps, technical drawings and symbols</w:t>
            </w:r>
          </w:p>
          <w:p w:rsidR="00000000" w:rsidRPr="007F0B8E" w:rsidP="007F0B8E">
            <w:pPr>
              <w:pStyle w:val="BodyText"/>
            </w:pPr>
            <w:r w:rsidRPr="007F0B8E">
              <w:t>Identify of potential environmental hazards</w:t>
            </w:r>
          </w:p>
          <w:p w:rsidR="00000000" w:rsidRPr="007F0B8E" w:rsidP="007F0B8E">
            <w:pPr>
              <w:pStyle w:val="BodyText"/>
            </w:pPr>
            <w:r w:rsidRPr="007F0B8E">
              <w:t>Carry out risk assessment, JHA or JSA</w:t>
            </w:r>
          </w:p>
          <w:p w:rsidR="00000000" w:rsidP="007F0B8E">
            <w:pPr>
              <w:pStyle w:val="BodyText"/>
              <w:rPr>
                <w:lang w:val="en-NZ"/>
              </w:rPr>
            </w:pPr>
            <w:r w:rsidRPr="007F0B8E">
              <w:t>Ensure practical application of Environmental legislation and codes of practise (such as APIA)</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B</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 xml:space="preserve">At least </w:t>
            </w:r>
            <w:r w:rsidRPr="007F0B8E">
              <w:t>5</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Prevent environmental incidents by implementing control measures such as:</w:t>
            </w:r>
          </w:p>
          <w:p w:rsidR="00000000" w:rsidRPr="007F0B8E" w:rsidP="007F0B8E">
            <w:pPr>
              <w:pStyle w:val="BodyText"/>
            </w:pPr>
            <w:r w:rsidRPr="007F0B8E">
              <w:t>Install siltation control methods such as straw and synthetic bails</w:t>
            </w:r>
          </w:p>
          <w:p w:rsidR="00000000" w:rsidRPr="007F0B8E" w:rsidP="007F0B8E">
            <w:pPr>
              <w:pStyle w:val="BodyText"/>
            </w:pPr>
            <w:r w:rsidRPr="007F0B8E">
              <w:t>Curb side filter rolls</w:t>
            </w:r>
          </w:p>
          <w:p w:rsidR="00000000" w:rsidRPr="007F0B8E" w:rsidP="007F0B8E">
            <w:pPr>
              <w:pStyle w:val="BodyText"/>
            </w:pPr>
            <w:r w:rsidRPr="007F0B8E">
              <w:t>Erosion prevention</w:t>
            </w:r>
          </w:p>
          <w:p w:rsidR="00000000" w:rsidRPr="007F0B8E" w:rsidP="007F0B8E">
            <w:pPr>
              <w:pStyle w:val="BodyText"/>
            </w:pPr>
            <w:r w:rsidRPr="007F0B8E">
              <w:t>Weed spread mitigation</w:t>
            </w:r>
          </w:p>
          <w:p w:rsidR="00000000" w:rsidRPr="007F0B8E" w:rsidP="007F0B8E">
            <w:pPr>
              <w:pStyle w:val="BodyText"/>
            </w:pPr>
            <w:r w:rsidRPr="007F0B8E">
              <w:t>Apply MSDS information</w:t>
            </w:r>
          </w:p>
          <w:p w:rsidR="00000000" w:rsidRPr="007F0B8E" w:rsidP="007F0B8E">
            <w:pPr>
              <w:pStyle w:val="BodyText"/>
            </w:pPr>
            <w:r w:rsidRPr="007F0B8E">
              <w:t>Noise control techniques</w:t>
            </w:r>
          </w:p>
          <w:p w:rsidR="00000000" w:rsidRPr="007F0B8E" w:rsidP="007F0B8E">
            <w:pPr>
              <w:pStyle w:val="BodyText"/>
            </w:pPr>
            <w:r w:rsidRPr="007F0B8E">
              <w:t>Odourant handling and testing processes</w:t>
            </w:r>
          </w:p>
          <w:p w:rsidR="00000000" w:rsidP="007F0B8E">
            <w:pPr>
              <w:pStyle w:val="BodyText"/>
              <w:rPr>
                <w:lang w:val="en-NZ"/>
              </w:rPr>
            </w:pPr>
            <w:r w:rsidRPr="007F0B8E">
              <w:t>Excavation restoration, compaction and seeding</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At least 2</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Control and minimise the impact of an environmental incident:</w:t>
            </w:r>
          </w:p>
          <w:p w:rsidR="00000000" w:rsidRPr="007F0B8E" w:rsidP="007F0B8E">
            <w:pPr>
              <w:pStyle w:val="BodyText"/>
            </w:pPr>
            <w:r w:rsidRPr="007F0B8E">
              <w:t>Control environment incident·</w:t>
            </w:r>
          </w:p>
          <w:p w:rsidR="00000000" w:rsidRPr="007F0B8E" w:rsidP="007F0B8E">
            <w:pPr>
              <w:pStyle w:val="BodyText"/>
            </w:pPr>
            <w:r w:rsidRPr="007F0B8E">
              <w:t xml:space="preserve">Incident Investigation </w:t>
            </w:r>
          </w:p>
          <w:p w:rsidR="00000000" w:rsidP="007F0B8E">
            <w:pPr>
              <w:pStyle w:val="BodyText"/>
              <w:rPr>
                <w:lang w:val="en-NZ"/>
              </w:rPr>
            </w:pPr>
            <w:r w:rsidRPr="007F0B8E">
              <w:t>Apply incident reporting and notification procedures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D</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At least 2</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Review environmental incident</w:t>
            </w:r>
          </w:p>
          <w:p w:rsidR="00000000" w:rsidRPr="007F0B8E" w:rsidP="007F0B8E">
            <w:pPr>
              <w:pStyle w:val="BodyText"/>
            </w:pPr>
            <w:r w:rsidRPr="007F0B8E">
              <w:t>Make recommendations to prevent reoccurrence</w:t>
            </w:r>
          </w:p>
          <w:p w:rsidR="00000000" w:rsidP="007F0B8E">
            <w:pPr>
              <w:pStyle w:val="BodyText"/>
              <w:rPr>
                <w:lang w:val="en-NZ"/>
              </w:rPr>
            </w:pPr>
            <w:r w:rsidRPr="007F0B8E">
              <w:t>Implement recommendations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All</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Work utilising the relevant OHS legislation, policies and procedures effectively</w:t>
            </w:r>
          </w:p>
          <w:p w:rsidR="00000000" w:rsidRPr="007F0B8E" w:rsidP="007F0B8E">
            <w:pPr>
              <w:pStyle w:val="BodyText"/>
            </w:pPr>
            <w:r w:rsidRPr="007F0B8E">
              <w:t>Maintain a safe and clean workplace environment</w:t>
            </w:r>
          </w:p>
          <w:p w:rsidR="00000000" w:rsidRPr="007F0B8E" w:rsidP="007F0B8E">
            <w:pPr>
              <w:pStyle w:val="BodyText"/>
            </w:pPr>
            <w:r w:rsidRPr="007F0B8E">
              <w:t>Apply safe manual handling techniques</w:t>
            </w:r>
          </w:p>
          <w:p w:rsidR="00000000" w:rsidRPr="007F0B8E" w:rsidP="007F0B8E">
            <w:pPr>
              <w:pStyle w:val="BodyText"/>
            </w:pPr>
            <w:r w:rsidRPr="007F0B8E">
              <w:t>Communicate effectively with others</w:t>
            </w:r>
          </w:p>
          <w:p w:rsidR="00000000" w:rsidP="007F0B8E">
            <w:pPr>
              <w:pStyle w:val="BodyText"/>
              <w:rPr>
                <w:lang w:val="en-NZ"/>
              </w:rPr>
            </w:pPr>
            <w:r w:rsidRPr="007F0B8E">
              <w:t>Apply basic planning techniques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F</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At least one occ</w:t>
            </w:r>
            <w:r w:rsidRPr="007F0B8E">
              <w:t>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Deal with an unplanned event by drawing on essential knowledge and associated skills to provide appropriate solutions incorporated in the holistic assessment with the above listed items</w:t>
            </w:r>
          </w:p>
        </w:tc>
      </w:tr>
    </w:tbl>
    <w:p w:rsidR="00000000" w:rsidRPr="007F0B8E" w:rsidP="007F0B8E">
      <w:pPr>
        <w:pStyle w:val="BodyText"/>
      </w:pPr>
    </w:p>
    <w:p w:rsidR="00000000" w:rsidRPr="007F0B8E" w:rsidP="007F0B8E">
      <w:pPr>
        <w:pStyle w:val="BodyText"/>
      </w:pPr>
    </w:p>
    <w:tbl>
      <w:tblPr>
        <w:tblW w:w="0" w:type="auto"/>
        <w:tblLayout w:type="fixed"/>
        <w:tblCellMar>
          <w:left w:w="62" w:type="dxa"/>
          <w:right w:w="62" w:type="dxa"/>
        </w:tblCellMar>
        <w:tblLook w:val="0000"/>
      </w:tblPr>
      <w:tblGrid>
        <w:gridCol w:w="2160"/>
        <w:gridCol w:w="1620"/>
        <w:gridCol w:w="4680"/>
      </w:tblGrid>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8</w:t>
            </w:r>
            <w:r w:rsidRPr="007F0B8E">
              <w:t>.</w:t>
            </w:r>
            <w:r w:rsidRPr="007F0B8E">
              <w:rPr>
                <w:rStyle w:val="SpecialBold"/>
              </w:rPr>
              <w:t>3</w:t>
            </w:r>
            <w:r w:rsidRPr="007F0B8E">
              <w:t xml:space="preserve">) </w:t>
            </w:r>
          </w:p>
          <w:p w:rsidR="00000000" w:rsidRPr="007F0B8E" w:rsidP="007F0B8E">
            <w:pPr>
              <w:pStyle w:val="BodyText"/>
            </w:pPr>
            <w:r w:rsidRPr="007F0B8E">
              <w:t>This unit should be assessed as it relates to normal work practice using procedures, information and resources typical of a workplace. This should include:</w:t>
            </w:r>
          </w:p>
          <w:p w:rsidR="00000000" w:rsidRPr="007F0B8E" w:rsidP="007F0B8E">
            <w:pPr>
              <w:pStyle w:val="ListBullet"/>
            </w:pPr>
            <w:r w:rsidRPr="007F0B8E">
              <w:t>OHS policy and work procedures and instructions.</w:t>
            </w:r>
          </w:p>
          <w:p w:rsidR="00000000" w:rsidRPr="007F0B8E" w:rsidP="007F0B8E">
            <w:pPr>
              <w:pStyle w:val="ListBullet"/>
            </w:pPr>
            <w:r w:rsidRPr="007F0B8E">
              <w:t>Suitable work environment, facilities, equipment a</w:t>
            </w:r>
            <w:r w:rsidRPr="007F0B8E">
              <w:t>nd materials to undertake actual work as prescribed by this Unit.</w:t>
            </w:r>
          </w:p>
          <w:p w:rsidR="00000000" w:rsidRPr="007F0B8E" w:rsidP="007F0B8E">
            <w:pPr>
              <w:pStyle w:val="ListBullet"/>
            </w:pPr>
            <w:r w:rsidRPr="007F0B8E">
              <w:t>Appropriate environmental regulation and work practices.</w:t>
            </w:r>
          </w:p>
          <w:p w:rsidR="00000000" w:rsidRPr="007F0B8E" w:rsidP="007F0B8E">
            <w:pPr>
              <w:pStyle w:val="ListBullet"/>
            </w:pPr>
            <w:r w:rsidRPr="007F0B8E">
              <w:t>Appropriate organisational requirements.</w:t>
            </w:r>
          </w:p>
          <w:p w:rsidR="00000000" w:rsidP="007F0B8E">
            <w:pPr>
              <w:pStyle w:val="ListBullet"/>
              <w:rPr>
                <w:lang w:val="en-NZ"/>
              </w:rPr>
            </w:pPr>
            <w:r w:rsidRPr="007F0B8E">
              <w:t>Appropriate work environment, equipment and tools.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vMerge w:val="restart"/>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In addition to the resources listed ab</w:t>
            </w:r>
            <w:r w:rsidRPr="007F0B8E">
              <w:t xml:space="preserve">ove, in Context of and specific </w:t>
            </w:r>
            <w:r w:rsidRPr="007F0B8E">
              <w:t>resources for assessment, evidence should show demonstrated competency in complying with environmental policies and procedures.</w:t>
            </w:r>
          </w:p>
          <w:p w:rsidR="00000000" w:rsidP="007F0B8E">
            <w:pPr>
              <w:pStyle w:val="BodyText"/>
              <w:rPr>
                <w:lang w:val="en-NZ"/>
              </w:rPr>
            </w:pPr>
            <w:r w:rsidRPr="007F0B8E">
              <w:t>Assessment of this competency must also be undertaken in either an actual workplace or under a s</w:t>
            </w:r>
            <w:r w:rsidRPr="007F0B8E">
              <w:t>imulated work environment. Assessment must also integrate the key competencies.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vMerge/>
            <w:tcBorders>
              <w:top w:val="nil"/>
              <w:left w:val="nil"/>
              <w:bottom w:val="nil"/>
              <w:right w:val="nil"/>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8</w:t>
            </w:r>
            <w:r w:rsidRPr="007F0B8E">
              <w:t>.</w:t>
            </w:r>
            <w:r w:rsidRPr="007F0B8E">
              <w:rPr>
                <w:rStyle w:val="SpecialBold"/>
              </w:rPr>
              <w:t>4</w:t>
            </w:r>
            <w:r w:rsidRPr="007F0B8E">
              <w:t xml:space="preserve">) </w:t>
            </w:r>
          </w:p>
          <w:p w:rsidR="00000000" w:rsidRPr="007F0B8E" w:rsidP="007F0B8E">
            <w:pPr>
              <w:pStyle w:val="BodyText"/>
            </w:pPr>
            <w:r w:rsidRPr="007F0B8E">
              <w:t>This Unit shall be assessed by methods given in Volume 1, Part 3 'Assessment Guidelines'.</w:t>
            </w:r>
          </w:p>
          <w:p w:rsidR="00000000" w:rsidP="007F0B8E">
            <w:pPr>
              <w:pStyle w:val="BodyText"/>
              <w:rPr>
                <w:lang w:val="en-NZ"/>
              </w:rPr>
            </w:pPr>
            <w:r w:rsidRPr="007F0B8E">
              <w:t>Note: Competent performance wi</w:t>
            </w:r>
            <w:r w:rsidRPr="007F0B8E">
              <w:t>th inherent safe working practices is expected in the Industry to which this Unit applies. This requires that the specified Essential Knowledge and Associated Skills are assessed in a structured environment which is primarily intended for learning/assessme</w:t>
            </w:r>
            <w:r w:rsidRPr="007F0B8E">
              <w:t>nt and incorporates all necessary equipment and facilities for learners to develop and demonstrate the Essential Knowledge and Associated Skills described in this unit.</w:t>
            </w:r>
          </w:p>
        </w:tc>
      </w:tr>
      <w:tr w:rsidTr="00030F4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8</w:t>
            </w:r>
            <w:r w:rsidRPr="007F0B8E">
              <w:t>.</w:t>
            </w:r>
            <w:r w:rsidRPr="007F0B8E">
              <w:rPr>
                <w:rStyle w:val="SpecialBold"/>
              </w:rPr>
              <w:t>5</w:t>
            </w:r>
            <w:r w:rsidRPr="007F0B8E">
              <w:t xml:space="preserve">) </w:t>
            </w:r>
          </w:p>
        </w:tc>
      </w:tr>
      <w:tr w:rsidTr="00030F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There are no recommended concurrent assessments with this unit, however in some cases efficiencies may be gained in terms of learning and assessment effort being concurrently managed with allied Units where listed.</w:t>
            </w:r>
          </w:p>
        </w:tc>
      </w:tr>
      <w:tr w:rsidTr="00030F4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UEGNSG102A</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Carry out work activities in a utilities industry work environment</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UEGNSG103A</w:t>
            </w:r>
          </w:p>
        </w:tc>
        <w:tc>
          <w:tcPr>
            <w:tcW w:w="468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Comply with workplace OHS procedures and practices</w:t>
            </w:r>
          </w:p>
        </w:tc>
      </w:tr>
      <w:tr w:rsidTr="00030F4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UEGNSG105A</w:t>
            </w:r>
          </w:p>
        </w:tc>
        <w:tc>
          <w:tcPr>
            <w:tcW w:w="468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Establish the work site</w:t>
            </w:r>
          </w:p>
        </w:tc>
      </w:tr>
    </w:tbl>
    <w:p w:rsidR="00000000" w:rsidRPr="007F0B8E" w:rsidP="007F0B8E">
      <w:pPr>
        <w:pStyle w:val="BodyText"/>
      </w:pPr>
    </w:p>
    <w:tbl>
      <w:tblPr>
        <w:tblW w:w="0" w:type="auto"/>
        <w:tblLayout w:type="fixed"/>
        <w:tblCellMar>
          <w:left w:w="62" w:type="dxa"/>
          <w:right w:w="62" w:type="dxa"/>
        </w:tblCellMar>
        <w:tblLook w:val="0000"/>
      </w:tblPr>
      <w:tblGrid>
        <w:gridCol w:w="2160"/>
        <w:gridCol w:w="4737"/>
        <w:gridCol w:w="1563"/>
      </w:tblGrid>
      <w:tr w:rsidTr="00030F4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F0B8E" w:rsidP="007F0B8E">
            <w:pPr>
              <w:pStyle w:val="BodyText"/>
            </w:pPr>
            <w:r w:rsidRPr="007F0B8E">
              <w:rPr>
                <w:rStyle w:val="SpecialBold"/>
              </w:rPr>
              <w:t>Key Competencies</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7F0B8E" w:rsidP="007F0B8E">
            <w:pPr>
              <w:pStyle w:val="BodyText"/>
            </w:pPr>
            <w:r w:rsidRPr="007F0B8E">
              <w:rPr>
                <w:rStyle w:val="SpecialBold"/>
              </w:rPr>
              <w:t>8</w:t>
            </w:r>
            <w:r w:rsidRPr="007F0B8E">
              <w:t>.</w:t>
            </w:r>
            <w:r w:rsidRPr="007F0B8E">
              <w:rPr>
                <w:rStyle w:val="SpecialBold"/>
              </w:rPr>
              <w:t>6</w:t>
            </w:r>
            <w:r w:rsidRPr="007F0B8E">
              <w:t xml:space="preserve">) </w:t>
            </w:r>
          </w:p>
          <w:p w:rsidR="00000000" w:rsidP="007F0B8E">
            <w:pPr>
              <w:pStyle w:val="BodyText"/>
              <w:rPr>
                <w:lang w:val="en-NZ"/>
              </w:rPr>
            </w:pPr>
            <w:r w:rsidRPr="007F0B8E">
              <w:t>Evidence that particular key competencies have been achieved wi</w:t>
            </w:r>
            <w:r w:rsidRPr="007F0B8E">
              <w:t>thin this Unit is in the context of the following Performance Criteria of evidence. See Volume 2, Part 4 for an explanation of Key Competencies and levels of this Training Package.</w:t>
            </w:r>
          </w:p>
        </w:tc>
      </w:tr>
      <w:tr w:rsidTr="00030F4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rPr>
                <w:rStyle w:val="SpecialBold"/>
              </w:rPr>
              <w:t>Performance Level</w:t>
            </w: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1</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1.4; 2.8;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1</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1.5; 2.7;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 xml:space="preserve">How are activities planned and </w:t>
            </w:r>
            <w:r w:rsidRPr="007F0B8E">
              <w:t>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1</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1</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N/A</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N/A</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p>
        </w:tc>
      </w:tr>
      <w:tr w:rsidTr="00030F4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p w:rsidR="00000000" w:rsidP="007F0B8E">
            <w:pPr>
              <w:pStyle w:val="BodyText"/>
              <w:rPr>
                <w:lang w:val="en-NZ"/>
              </w:rPr>
            </w:pPr>
            <w:r w:rsidRPr="007F0B8E">
              <w:t>N/A</w:t>
            </w:r>
          </w:p>
        </w:tc>
      </w:tr>
      <w:tr w:rsidTr="00030F4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p>
        </w:tc>
      </w:tr>
    </w:tbl>
    <w:p w:rsidR="00000000" w:rsidRPr="007F0B8E" w:rsidP="007F0B8E">
      <w:pPr>
        <w:pStyle w:val="BodyText"/>
      </w:pPr>
    </w:p>
    <w:tbl>
      <w:tblPr>
        <w:tblW w:w="0" w:type="auto"/>
        <w:tblLayout w:type="fixed"/>
        <w:tblCellMar>
          <w:left w:w="62" w:type="dxa"/>
          <w:right w:w="62" w:type="dxa"/>
        </w:tblCellMar>
        <w:tblLook w:val="0000"/>
      </w:tblPr>
      <w:tblGrid>
        <w:gridCol w:w="326"/>
        <w:gridCol w:w="1834"/>
        <w:gridCol w:w="6300"/>
      </w:tblGrid>
      <w:tr w:rsidTr="00030F4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F0B8E" w:rsidP="007F0B8E">
            <w:pPr>
              <w:pStyle w:val="BodyText"/>
            </w:pPr>
            <w:r w:rsidRPr="007F0B8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F0B8E" w:rsidP="007F0B8E">
            <w:pPr>
              <w:pStyle w:val="BodyText"/>
            </w:pPr>
            <w:r w:rsidRPr="007F0B8E">
              <w:rPr>
                <w:rStyle w:val="SpecialBold"/>
              </w:rPr>
              <w:t>8</w:t>
            </w:r>
            <w:r w:rsidRPr="007F0B8E">
              <w:t>.</w:t>
            </w:r>
            <w:r w:rsidRPr="007F0B8E">
              <w:rPr>
                <w:rStyle w:val="SpecialBold"/>
              </w:rPr>
              <w:t>7</w:t>
            </w:r>
            <w:r w:rsidRPr="007F0B8E">
              <w:t xml:space="preserve">) </w:t>
            </w:r>
          </w:p>
          <w:p w:rsidR="00000000" w:rsidP="007F0B8E">
            <w:pPr>
              <w:pStyle w:val="BodyText"/>
              <w:rPr>
                <w:lang w:val="en-NZ"/>
              </w:rPr>
            </w:pPr>
            <w:r w:rsidRPr="007F0B8E">
              <w:t>Evidence that competency in this unit incorporates skills enabling employment is in the context of the following performance.</w:t>
            </w:r>
          </w:p>
        </w:tc>
      </w:tr>
      <w:tr w:rsidTr="00030F4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rPr>
                <w:rStyle w:val="SpecialBold"/>
              </w:rPr>
              <w:t>Example of Application</w:t>
            </w:r>
          </w:p>
        </w:tc>
      </w:tr>
      <w:tr w:rsidTr="00030F4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r>
      <w:tr w:rsidTr="00030F4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All</w:t>
            </w:r>
          </w:p>
        </w:tc>
      </w:tr>
      <w:tr w:rsidTr="00030F4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r>
      <w:tr w:rsidTr="00030F4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1.1; 1.5</w:t>
            </w:r>
          </w:p>
        </w:tc>
      </w:tr>
      <w:tr w:rsidTr="00030F4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r>
      <w:tr w:rsidTr="00030F4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3.1; 3.6</w:t>
            </w:r>
          </w:p>
        </w:tc>
      </w:tr>
      <w:tr w:rsidTr="00030F4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r>
      <w:tr w:rsidTr="00030F4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1.2; 2.7; 2.10; 3.3</w:t>
            </w:r>
          </w:p>
        </w:tc>
      </w:tr>
      <w:tr w:rsidTr="00030F4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r>
      <w:tr w:rsidTr="00030F4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1.4; 1.5; 1.7</w:t>
            </w:r>
          </w:p>
        </w:tc>
      </w:tr>
      <w:tr w:rsidTr="00030F4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8E">
            <w:pPr>
              <w:pStyle w:val="BodyText"/>
              <w:rPr>
                <w:lang w:val="en-NZ"/>
              </w:rPr>
            </w:pPr>
            <w:r w:rsidRPr="007F0B8E">
              <w:t xml:space="preserve">Performing the work task in </w:t>
            </w:r>
            <w:r w:rsidRPr="007F0B8E">
              <w:t>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B8E">
            <w:pPr>
              <w:pStyle w:val="BodyText"/>
              <w:rPr>
                <w:lang w:val="en-NZ"/>
              </w:rPr>
            </w:pPr>
            <w:r w:rsidRPr="007F0B8E">
              <w:t>Refer to the following Performance Criteria for examples of application:</w:t>
            </w:r>
          </w:p>
        </w:tc>
      </w:tr>
      <w:tr w:rsidTr="00030F4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F0B8E" w:rsidP="007F0B8E">
            <w:pPr>
              <w:pStyle w:val="BodyText"/>
            </w:pPr>
            <w:r w:rsidRPr="007F0B8E">
              <w:t>2.6; 2.7</w:t>
            </w:r>
          </w:p>
        </w:tc>
      </w:tr>
    </w:tbl>
    <w:p w:rsidR="00030F4E" w:rsidP="007F0B8E">
      <w:pPr>
        <w:pStyle w:val="BodyText"/>
      </w:pPr>
    </w:p>
    <w:p w:rsidR="00030F4E" w:rsidP="007F0B8E">
      <w:pPr>
        <w:pStyle w:val="BodyText"/>
      </w:pPr>
    </w:p>
    <w:p w:rsidR="00000000" w:rsidRPr="007F0B8E" w:rsidP="007F0B8E">
      <w:pPr>
        <w:pStyle w:val="Heading1"/>
      </w:pPr>
      <w:bookmarkStart w:id="11" w:name="O_255757"/>
      <w:bookmarkEnd w:id="11"/>
      <w:r w:rsidRPr="007F0B8E">
        <w:t>Range Statement</w:t>
      </w:r>
    </w:p>
    <w:tbl>
      <w:tblPr>
        <w:tblW w:w="0" w:type="auto"/>
        <w:tblLayout w:type="fixed"/>
        <w:tblCellMar>
          <w:left w:w="62" w:type="dxa"/>
          <w:right w:w="62" w:type="dxa"/>
        </w:tblCellMar>
        <w:tblLook w:val="0000"/>
      </w:tblPr>
      <w:tblGrid>
        <w:gridCol w:w="8460"/>
      </w:tblGrid>
      <w:tr w:rsidTr="00030F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RANGE STATEMENT</w:t>
            </w:r>
          </w:p>
        </w:tc>
      </w:tr>
      <w:tr w:rsidTr="00030F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7</w:t>
            </w:r>
            <w:r w:rsidRPr="007F0B8E">
              <w:t>) This relates to the competency standard unit as a whole providing the range of contexts and conditions to which the Performance Criteria apply. It allows for different work environments and situations that will affect performance.</w:t>
            </w:r>
          </w:p>
        </w:tc>
      </w:tr>
      <w:tr w:rsidTr="00030F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This Unit shall/may be</w:t>
            </w:r>
            <w:r w:rsidRPr="007F0B8E">
              <w:t xml:space="preserve"> demonstrated in relation to compliance with environmental policies and procedures.</w:t>
            </w:r>
          </w:p>
          <w:p w:rsidR="00000000" w:rsidRPr="007F0B8E" w:rsidP="007F0B8E">
            <w:pPr>
              <w:pStyle w:val="BodyText"/>
            </w:pPr>
            <w:r w:rsidRPr="007F0B8E">
              <w:t>The following constants and variables included in the element/Performance Criteria in this unit are fully described in the Definitions Section of this volume and form an in</w:t>
            </w:r>
            <w:r w:rsidRPr="007F0B8E">
              <w:t>tegral part of the Range Statement of this unit:</w:t>
            </w:r>
          </w:p>
          <w:p w:rsidR="00000000" w:rsidRPr="007F0B8E" w:rsidP="007F0B8E">
            <w:pPr>
              <w:pStyle w:val="BodyText"/>
            </w:pPr>
            <w:r w:rsidRPr="007F0B8E">
              <w:t xml:space="preserve">Legislation (2) </w:t>
            </w:r>
          </w:p>
          <w:p w:rsidR="00000000" w:rsidRPr="007F0B8E" w:rsidP="007F0B8E">
            <w:pPr>
              <w:pStyle w:val="BodyText"/>
            </w:pPr>
            <w:r w:rsidRPr="007F0B8E">
              <w:t>Inspection (2)</w:t>
            </w:r>
          </w:p>
          <w:p w:rsidR="00000000" w:rsidRPr="007F0B8E" w:rsidP="007F0B8E">
            <w:pPr>
              <w:pStyle w:val="BodyText"/>
            </w:pPr>
            <w:r w:rsidRPr="007F0B8E">
              <w:t>Safety equipment (2)</w:t>
            </w:r>
          </w:p>
          <w:p w:rsidR="00000000" w:rsidRPr="007F0B8E" w:rsidP="007F0B8E">
            <w:pPr>
              <w:pStyle w:val="BodyText"/>
            </w:pPr>
            <w:r w:rsidRPr="007F0B8E">
              <w:t>Personal Protective Equipment (2)</w:t>
            </w:r>
          </w:p>
          <w:p w:rsidR="00000000" w:rsidRPr="007F0B8E" w:rsidP="007F0B8E">
            <w:pPr>
              <w:pStyle w:val="BodyText"/>
            </w:pPr>
            <w:r w:rsidRPr="007F0B8E">
              <w:t>Relevant regulation and procedures (2)</w:t>
            </w:r>
          </w:p>
          <w:p w:rsidR="00000000" w:rsidRPr="007F0B8E" w:rsidP="007F0B8E">
            <w:pPr>
              <w:pStyle w:val="BodyText"/>
            </w:pPr>
            <w:r w:rsidRPr="007F0B8E">
              <w:t>Emergency and hazardous work situations (2)</w:t>
            </w:r>
          </w:p>
          <w:p w:rsidR="00000000" w:rsidRPr="007F0B8E" w:rsidP="007F0B8E">
            <w:pPr>
              <w:pStyle w:val="BodyText"/>
            </w:pPr>
            <w:r w:rsidRPr="007F0B8E">
              <w:t>Relevant sections of standard operati</w:t>
            </w:r>
            <w:r w:rsidRPr="007F0B8E">
              <w:t>ng procedures (2)</w:t>
            </w:r>
          </w:p>
        </w:tc>
      </w:tr>
    </w:tbl>
    <w:p w:rsidR="00030F4E" w:rsidP="007F0B8E">
      <w:pPr>
        <w:pStyle w:val="BodyText"/>
      </w:pPr>
    </w:p>
    <w:p w:rsidR="00030F4E" w:rsidP="007F0B8E">
      <w:pPr>
        <w:pStyle w:val="BodyText"/>
      </w:pPr>
    </w:p>
    <w:p w:rsidR="00000000" w:rsidRPr="007F0B8E" w:rsidP="007F0B8E">
      <w:pPr>
        <w:pStyle w:val="Heading1"/>
      </w:pPr>
      <w:bookmarkStart w:id="12" w:name="O_296770"/>
      <w:bookmarkEnd w:id="12"/>
      <w:r w:rsidRPr="007F0B8E">
        <w:t>Unit Sector(s)</w:t>
      </w:r>
    </w:p>
    <w:p w:rsidR="00000000" w:rsidRPr="007F0B8E" w:rsidP="007F0B8E">
      <w:pPr>
        <w:pStyle w:val="BodyText"/>
      </w:pPr>
      <w:r w:rsidRPr="007F0B8E">
        <w:t>Not Applicable</w:t>
      </w:r>
    </w:p>
    <w:p w:rsidR="00000000" w:rsidRPr="007F0B8E" w:rsidP="007F0B8E">
      <w:pPr>
        <w:pStyle w:val="AllowPageBreak"/>
      </w:pPr>
    </w:p>
    <w:p w:rsidR="00000000" w:rsidRPr="007F0B8E" w:rsidP="007F0B8E">
      <w:pPr>
        <w:pStyle w:val="Heading1"/>
      </w:pPr>
      <w:bookmarkStart w:id="13" w:name="O_229282"/>
      <w:bookmarkEnd w:id="13"/>
      <w:r w:rsidRPr="007F0B8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30F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2</w:t>
            </w:r>
            <w:r w:rsidRPr="007F0B8E">
              <w:t>.</w:t>
            </w:r>
            <w:r w:rsidRPr="007F0B8E">
              <w:rPr>
                <w:rStyle w:val="SpecialBold"/>
              </w:rPr>
              <w:t>2</w:t>
            </w:r>
            <w:r w:rsidRPr="007F0B8E">
              <w:t xml:space="preserve">) </w:t>
            </w:r>
          </w:p>
          <w:p w:rsidR="00000000" w:rsidP="007F0B8E">
            <w:pPr>
              <w:pStyle w:val="BodyText"/>
              <w:rPr>
                <w:lang w:val="en-NZ"/>
              </w:rPr>
            </w:pPr>
            <w:r w:rsidRPr="007F0B8E">
              <w:t>Partic</w:t>
            </w:r>
            <w:r w:rsidRPr="007F0B8E">
              <w:t>ipants are best equipped to achieve this unit if they have reading, writing and numeracy skills indicated by the following scales. Description of each scale is given in Volume 2, Part 3 'Literacy and Numeracy'</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Reading</w:t>
            </w:r>
          </w:p>
        </w:tc>
        <w:tc>
          <w:tcPr>
            <w:tcW w:w="805"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w:t>
            </w:r>
          </w:p>
        </w:tc>
        <w:tc>
          <w:tcPr>
            <w:tcW w:w="1184"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Writing</w:t>
            </w:r>
          </w:p>
        </w:tc>
        <w:tc>
          <w:tcPr>
            <w:tcW w:w="805"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3</w:t>
            </w:r>
          </w:p>
        </w:tc>
        <w:tc>
          <w:tcPr>
            <w:tcW w:w="1172"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t>Numeracy</w:t>
            </w:r>
          </w:p>
        </w:tc>
        <w:tc>
          <w:tcPr>
            <w:tcW w:w="805"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3</w:t>
            </w:r>
          </w:p>
        </w:tc>
      </w:tr>
    </w:tbl>
    <w:p w:rsidR="00030F4E" w:rsidP="007F0B8E">
      <w:pPr>
        <w:pStyle w:val="BodyText"/>
      </w:pPr>
    </w:p>
    <w:p w:rsidR="00030F4E" w:rsidP="007F0B8E">
      <w:pPr>
        <w:pStyle w:val="BodyText"/>
      </w:pPr>
    </w:p>
    <w:p w:rsidR="00000000" w:rsidRPr="007F0B8E" w:rsidP="007F0B8E">
      <w:pPr>
        <w:pStyle w:val="Heading1"/>
      </w:pPr>
      <w:bookmarkStart w:id="14" w:name="O_229285"/>
      <w:bookmarkEnd w:id="14"/>
      <w:r w:rsidRPr="007F0B8E">
        <w:t>Competency Field</w:t>
      </w:r>
    </w:p>
    <w:tbl>
      <w:tblPr>
        <w:tblW w:w="0" w:type="auto"/>
        <w:tblLayout w:type="fixed"/>
        <w:tblCellMar>
          <w:left w:w="62" w:type="dxa"/>
          <w:right w:w="62" w:type="dxa"/>
        </w:tblCellMar>
        <w:tblLook w:val="0000"/>
      </w:tblPr>
      <w:tblGrid>
        <w:gridCol w:w="2700"/>
        <w:gridCol w:w="5760"/>
      </w:tblGrid>
      <w:tr w:rsidTr="00030F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F0B8E">
            <w:pPr>
              <w:pStyle w:val="BodyText"/>
              <w:rPr>
                <w:lang w:val="en-NZ"/>
              </w:rPr>
            </w:pPr>
            <w:r w:rsidRPr="007F0B8E">
              <w:rPr>
                <w:rStyle w:val="SpecialBold"/>
              </w:rPr>
              <w:t>4</w:t>
            </w:r>
            <w:r w:rsidRPr="007F0B8E">
              <w:t xml:space="preserve">) </w:t>
            </w:r>
          </w:p>
        </w:tc>
      </w:tr>
      <w:tr w:rsidTr="00030F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0B8E" w:rsidP="007F0B8E">
            <w:pPr>
              <w:pStyle w:val="BodyText"/>
            </w:pPr>
            <w:r w:rsidRPr="007F0B8E">
              <w:t>Cross discipline.</w:t>
            </w:r>
          </w:p>
        </w:tc>
      </w:tr>
    </w:tbl>
    <w:p w:rsidR="00030F4E" w:rsidP="007F0B8E">
      <w:pPr>
        <w:pStyle w:val="BodyText"/>
      </w:pPr>
    </w:p>
    <w:p w:rsidR="00030F4E" w:rsidP="007F0B8E">
      <w:pPr>
        <w:pStyle w:val="BodyText"/>
      </w:pPr>
    </w:p>
    <w:p w:rsidR="00000000" w:rsidRPr="007F0B8E" w:rsidP="007F0B8E"/>
    <w:sectPr w:rsidSect="007F0B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F4E" w:rsidP="00030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4E" w:rsidP="007F0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30F4E" w:rsidP="007F0B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0F4E" w:rsidP="007F0B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F4E" w:rsidP="00030F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4E" w:rsidP="007F0B8E">
    <w:pPr>
      <w:pStyle w:val="Header"/>
      <w:framePr w:wrap="around"/>
    </w:pPr>
    <w:r>
      <w:fldChar w:fldCharType="begin"/>
    </w:r>
    <w:r>
      <w:instrText xml:space="preserve"> TITLE   \* MERGEFORMAT </w:instrText>
    </w:r>
    <w:r>
      <w:fldChar w:fldCharType="separate"/>
    </w:r>
    <w:r>
      <w:t>UEGNSG104A Comply with environmental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0F4E" w:rsidP="007F0B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E4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0C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CB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0B8E"/>
    <w:pPr>
      <w:spacing w:before="360" w:after="60"/>
      <w:outlineLvl w:val="0"/>
    </w:pPr>
    <w:rPr>
      <w:sz w:val="32"/>
    </w:rPr>
  </w:style>
  <w:style w:type="paragraph" w:styleId="Heading2">
    <w:name w:val="heading 2"/>
    <w:basedOn w:val="HeadingBase"/>
    <w:next w:val="BodyText"/>
    <w:link w:val="Heading2Char"/>
    <w:qFormat/>
    <w:rsid w:val="007F0B8E"/>
    <w:pPr>
      <w:keepLines/>
      <w:spacing w:before="240" w:after="120"/>
      <w:outlineLvl w:val="1"/>
    </w:pPr>
    <w:rPr>
      <w:sz w:val="28"/>
      <w:szCs w:val="40"/>
    </w:rPr>
  </w:style>
  <w:style w:type="paragraph" w:styleId="Heading3">
    <w:name w:val="heading 3"/>
    <w:basedOn w:val="HeadingBase"/>
    <w:next w:val="BodyText"/>
    <w:link w:val="Heading3Char"/>
    <w:qFormat/>
    <w:rsid w:val="007F0B8E"/>
    <w:pPr>
      <w:spacing w:before="180" w:after="120"/>
      <w:outlineLvl w:val="2"/>
    </w:pPr>
    <w:rPr>
      <w:spacing w:val="-10"/>
      <w:kern w:val="32"/>
    </w:rPr>
  </w:style>
  <w:style w:type="paragraph" w:styleId="Heading4">
    <w:name w:val="heading 4"/>
    <w:basedOn w:val="HeadingBase"/>
    <w:next w:val="BodyText"/>
    <w:link w:val="Heading4Char"/>
    <w:qFormat/>
    <w:rsid w:val="007F0B8E"/>
    <w:pPr>
      <w:spacing w:before="160" w:after="120"/>
      <w:outlineLvl w:val="3"/>
    </w:pPr>
    <w:rPr>
      <w:sz w:val="22"/>
    </w:rPr>
  </w:style>
  <w:style w:type="paragraph" w:styleId="Heading5">
    <w:name w:val="heading 5"/>
    <w:basedOn w:val="HeadingBase"/>
    <w:next w:val="Normal"/>
    <w:link w:val="Heading5Char"/>
    <w:qFormat/>
    <w:rsid w:val="007F0B8E"/>
    <w:pPr>
      <w:spacing w:before="80"/>
      <w:outlineLvl w:val="4"/>
    </w:pPr>
    <w:rPr>
      <w:color w:val="918585"/>
      <w:sz w:val="20"/>
    </w:rPr>
  </w:style>
  <w:style w:type="paragraph" w:styleId="Heading6">
    <w:name w:val="heading 6"/>
    <w:basedOn w:val="HeadingBase"/>
    <w:next w:val="Normal"/>
    <w:link w:val="Heading6Char"/>
    <w:qFormat/>
    <w:rsid w:val="007F0B8E"/>
    <w:pPr>
      <w:spacing w:before="60"/>
      <w:outlineLvl w:val="5"/>
    </w:pPr>
    <w:rPr>
      <w:color w:val="918585"/>
      <w:sz w:val="20"/>
    </w:rPr>
  </w:style>
  <w:style w:type="paragraph" w:styleId="Heading7">
    <w:name w:val="heading 7"/>
    <w:basedOn w:val="Normal"/>
    <w:next w:val="Normal"/>
    <w:link w:val="Heading7Char"/>
    <w:qFormat/>
    <w:rsid w:val="007F0B8E"/>
    <w:pPr>
      <w:ind w:left="720"/>
      <w:outlineLvl w:val="6"/>
    </w:pPr>
    <w:rPr>
      <w:i/>
    </w:rPr>
  </w:style>
  <w:style w:type="paragraph" w:styleId="Heading8">
    <w:name w:val="heading 8"/>
    <w:basedOn w:val="Normal"/>
    <w:next w:val="Normal"/>
    <w:link w:val="Heading8Char"/>
    <w:qFormat/>
    <w:rsid w:val="007F0B8E"/>
    <w:pPr>
      <w:ind w:left="720"/>
      <w:outlineLvl w:val="7"/>
    </w:pPr>
    <w:rPr>
      <w:i/>
    </w:rPr>
  </w:style>
  <w:style w:type="paragraph" w:styleId="Heading9">
    <w:name w:val="heading 9"/>
    <w:basedOn w:val="Normal"/>
    <w:next w:val="Normal"/>
    <w:link w:val="Heading9Char"/>
    <w:qFormat/>
    <w:rsid w:val="007F0B8E"/>
    <w:pPr>
      <w:ind w:left="720"/>
      <w:outlineLvl w:val="8"/>
    </w:pPr>
    <w:rPr>
      <w:i/>
    </w:rPr>
  </w:style>
  <w:style w:type="character" w:default="1" w:styleId="DefaultParagraphFont">
    <w:name w:val="Default Paragraph Font"/>
    <w:uiPriority w:val="1"/>
    <w:unhideWhenUsed/>
    <w:rsid w:val="007F0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B8E"/>
  </w:style>
  <w:style w:type="character" w:customStyle="1" w:styleId="Heading1Char">
    <w:name w:val="Heading 1 Char"/>
    <w:basedOn w:val="DefaultParagraphFont"/>
    <w:link w:val="Heading1"/>
    <w:rsid w:val="007F0B8E"/>
    <w:rPr>
      <w:rFonts w:ascii="Times New Roman" w:eastAsia="Times New Roman" w:hAnsi="Times New Roman" w:cs="Times New Roman"/>
      <w:b/>
      <w:sz w:val="32"/>
      <w:szCs w:val="20"/>
      <w:lang w:eastAsia="en-US"/>
    </w:rPr>
  </w:style>
  <w:style w:type="paragraph" w:styleId="BodyText">
    <w:name w:val="Body Text"/>
    <w:basedOn w:val="Normal"/>
    <w:link w:val="BodyTextChar"/>
    <w:rsid w:val="007F0B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B8E"/>
    <w:rPr>
      <w:rFonts w:ascii="Times New Roman" w:eastAsia="Times New Roman" w:hAnsi="Times New Roman" w:cs="Times New Roman"/>
      <w:sz w:val="24"/>
      <w:lang w:val="en-US" w:eastAsia="en-US"/>
    </w:rPr>
  </w:style>
  <w:style w:type="paragraph" w:styleId="Footer">
    <w:name w:val="footer"/>
    <w:basedOn w:val="Normal"/>
    <w:link w:val="FooterChar"/>
    <w:rsid w:val="007F0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B8E"/>
    <w:rPr>
      <w:rFonts w:ascii="Times New Roman" w:eastAsia="Times New Roman" w:hAnsi="Times New Roman" w:cs="Times New Roman"/>
      <w:sz w:val="16"/>
      <w:lang w:val="en-US" w:eastAsia="en-US"/>
    </w:rPr>
  </w:style>
  <w:style w:type="paragraph" w:styleId="ListBullet">
    <w:name w:val="List Bullet"/>
    <w:basedOn w:val="List"/>
    <w:rsid w:val="007F0B8E"/>
    <w:pPr>
      <w:numPr>
        <w:numId w:val="13"/>
      </w:numPr>
      <w:tabs>
        <w:tab w:val="clear" w:pos="340"/>
      </w:tabs>
      <w:spacing w:before="40" w:after="40"/>
    </w:pPr>
  </w:style>
  <w:style w:type="character" w:customStyle="1" w:styleId="SpecialBold">
    <w:name w:val="Special Bold"/>
    <w:basedOn w:val="DefaultParagraphFont"/>
    <w:rsid w:val="007F0B8E"/>
    <w:rPr>
      <w:b/>
      <w:spacing w:val="0"/>
    </w:rPr>
  </w:style>
  <w:style w:type="paragraph" w:styleId="ListBullet2">
    <w:name w:val="List Bullet 2"/>
    <w:basedOn w:val="List2"/>
    <w:rsid w:val="007F0B8E"/>
    <w:pPr>
      <w:numPr>
        <w:numId w:val="14"/>
      </w:numPr>
      <w:tabs>
        <w:tab w:val="clear" w:pos="680"/>
      </w:tabs>
    </w:pPr>
  </w:style>
  <w:style w:type="paragraph" w:styleId="Header">
    <w:name w:val="header"/>
    <w:basedOn w:val="Normal"/>
    <w:link w:val="HeaderChar"/>
    <w:rsid w:val="007F0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B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0B8E"/>
    <w:pPr>
      <w:spacing w:before="240" w:after="120"/>
      <w:outlineLvl w:val="0"/>
    </w:pPr>
    <w:rPr>
      <w:rFonts w:ascii="Times New Roman" w:hAnsi="Times New Roman"/>
      <w:b/>
      <w:sz w:val="28"/>
    </w:rPr>
  </w:style>
  <w:style w:type="paragraph" w:customStyle="1" w:styleId="AllowPageBreak">
    <w:name w:val="AllowPageBreak"/>
    <w:rsid w:val="007F0B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B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0B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0B8E"/>
    <w:rPr>
      <w:rFonts w:ascii="Courier New" w:eastAsia="Times New Roman" w:hAnsi="Courier New" w:cs="Times New Roman"/>
      <w:i/>
      <w:szCs w:val="20"/>
      <w:lang w:val="en-US" w:eastAsia="en-US"/>
    </w:rPr>
  </w:style>
  <w:style w:type="paragraph" w:customStyle="1" w:styleId="HeadingBase">
    <w:name w:val="Heading Base"/>
    <w:rsid w:val="007F0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B8E"/>
    <w:pPr>
      <w:tabs>
        <w:tab w:val="right" w:leader="dot" w:pos="9072"/>
      </w:tabs>
      <w:ind w:left="567"/>
    </w:pPr>
    <w:rPr>
      <w:szCs w:val="22"/>
    </w:rPr>
  </w:style>
  <w:style w:type="paragraph" w:customStyle="1" w:styleId="TOCBase">
    <w:name w:val="TOC Base"/>
    <w:rsid w:val="007F0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B8E"/>
    <w:pPr>
      <w:tabs>
        <w:tab w:val="right" w:leader="dot" w:pos="9072"/>
      </w:tabs>
      <w:spacing w:before="40" w:after="40"/>
      <w:ind w:left="284"/>
    </w:pPr>
    <w:rPr>
      <w:rFonts w:ascii="Times New Roman" w:hAnsi="Times New Roman"/>
    </w:rPr>
  </w:style>
  <w:style w:type="paragraph" w:styleId="TOC1">
    <w:name w:val="toc 1"/>
    <w:basedOn w:val="TOCBase"/>
    <w:next w:val="Normal"/>
    <w:rsid w:val="007F0B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B8E"/>
    <w:pPr>
      <w:spacing w:before="5040"/>
      <w:jc w:val="center"/>
    </w:pPr>
    <w:rPr>
      <w:sz w:val="48"/>
      <w:szCs w:val="72"/>
      <w:lang w:val="en-US"/>
    </w:rPr>
  </w:style>
  <w:style w:type="character" w:customStyle="1" w:styleId="TitleChar">
    <w:name w:val="Title Char"/>
    <w:basedOn w:val="DefaultParagraphFont"/>
    <w:link w:val="Title"/>
    <w:rsid w:val="007F0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B8E"/>
    <w:pPr>
      <w:tabs>
        <w:tab w:val="left" w:pos="3600"/>
        <w:tab w:val="left" w:pos="3958"/>
      </w:tabs>
    </w:pPr>
  </w:style>
  <w:style w:type="paragraph" w:styleId="List">
    <w:name w:val="List"/>
    <w:basedOn w:val="BodyText"/>
    <w:next w:val="BodyText"/>
    <w:rsid w:val="007F0B8E"/>
    <w:pPr>
      <w:tabs>
        <w:tab w:val="left" w:pos="340"/>
      </w:tabs>
      <w:spacing w:before="60" w:after="60"/>
      <w:ind w:left="340" w:hanging="340"/>
    </w:pPr>
  </w:style>
  <w:style w:type="paragraph" w:customStyle="1" w:styleId="Note">
    <w:name w:val="Note"/>
    <w:basedOn w:val="BodyText"/>
    <w:rsid w:val="007F0B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B8E"/>
    <w:pPr>
      <w:framePr w:wrap="auto" w:hAnchor="text" w:y="6049"/>
    </w:pPr>
    <w:rPr>
      <w:color w:val="000000"/>
      <w:sz w:val="40"/>
    </w:rPr>
  </w:style>
  <w:style w:type="paragraph" w:customStyle="1" w:styleId="TOCTitle">
    <w:name w:val="TOCTitle"/>
    <w:basedOn w:val="Heading1"/>
    <w:rsid w:val="007F0B8E"/>
    <w:pPr>
      <w:spacing w:after="240"/>
      <w:jc w:val="center"/>
      <w:outlineLvl w:val="9"/>
    </w:pPr>
    <w:rPr>
      <w:caps/>
    </w:rPr>
  </w:style>
  <w:style w:type="paragraph" w:customStyle="1" w:styleId="Version">
    <w:name w:val="Version"/>
    <w:rsid w:val="007F0B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B8E"/>
    <w:pPr>
      <w:keepNext w:val="0"/>
      <w:tabs>
        <w:tab w:val="right" w:pos="4176"/>
      </w:tabs>
      <w:ind w:left="198" w:hanging="198"/>
    </w:pPr>
    <w:rPr>
      <w:rFonts w:ascii="Garamond" w:hAnsi="Garamond"/>
    </w:rPr>
  </w:style>
  <w:style w:type="paragraph" w:styleId="IndexHeading">
    <w:name w:val="index heading"/>
    <w:basedOn w:val="Normal"/>
    <w:next w:val="Index1"/>
    <w:semiHidden/>
    <w:rsid w:val="007F0B8E"/>
    <w:pPr>
      <w:spacing w:before="120" w:after="120"/>
    </w:pPr>
    <w:rPr>
      <w:rFonts w:ascii="Arial" w:hAnsi="Arial"/>
      <w:b/>
      <w:color w:val="918585"/>
      <w:sz w:val="24"/>
    </w:rPr>
  </w:style>
  <w:style w:type="paragraph" w:customStyle="1" w:styleId="Chapter">
    <w:name w:val="Chapter"/>
    <w:basedOn w:val="Normal"/>
    <w:rsid w:val="007F0B8E"/>
    <w:pPr>
      <w:spacing w:before="240"/>
    </w:pPr>
    <w:rPr>
      <w:rFonts w:ascii="Times New Roman" w:hAnsi="Times New Roman"/>
      <w:smallCaps/>
      <w:spacing w:val="80"/>
      <w:sz w:val="28"/>
    </w:rPr>
  </w:style>
  <w:style w:type="paragraph" w:customStyle="1" w:styleId="InChapter">
    <w:name w:val="InChapter"/>
    <w:basedOn w:val="Heading3"/>
    <w:rsid w:val="007F0B8E"/>
    <w:pPr>
      <w:spacing w:after="240"/>
      <w:outlineLvl w:val="9"/>
    </w:pPr>
    <w:rPr>
      <w:noProof/>
    </w:rPr>
  </w:style>
  <w:style w:type="paragraph" w:styleId="Index2">
    <w:name w:val="index 2"/>
    <w:basedOn w:val="Normal"/>
    <w:next w:val="Normal"/>
    <w:semiHidden/>
    <w:rsid w:val="007F0B8E"/>
    <w:pPr>
      <w:tabs>
        <w:tab w:val="right" w:pos="4176"/>
      </w:tabs>
      <w:ind w:left="568" w:hanging="284"/>
    </w:pPr>
    <w:rPr>
      <w:rFonts w:ascii="Garamond" w:hAnsi="Garamond"/>
    </w:rPr>
  </w:style>
  <w:style w:type="paragraph" w:customStyle="1" w:styleId="Byline">
    <w:name w:val="Byline"/>
    <w:rsid w:val="007F0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B8E"/>
    <w:pPr>
      <w:tabs>
        <w:tab w:val="clear" w:pos="3600"/>
        <w:tab w:val="clear" w:pos="3958"/>
      </w:tabs>
      <w:jc w:val="right"/>
    </w:pPr>
  </w:style>
  <w:style w:type="character" w:styleId="Emphasis">
    <w:name w:val="Emphasis"/>
    <w:basedOn w:val="DefaultParagraphFont"/>
    <w:qFormat/>
    <w:rsid w:val="007F0B8E"/>
    <w:rPr>
      <w:i/>
    </w:rPr>
  </w:style>
  <w:style w:type="paragraph" w:styleId="Caption">
    <w:name w:val="caption"/>
    <w:basedOn w:val="BodyText"/>
    <w:next w:val="Normal"/>
    <w:qFormat/>
    <w:rsid w:val="007F0B8E"/>
    <w:pPr>
      <w:framePr w:w="2268" w:hSpace="181" w:vSpace="181" w:wrap="around" w:vAnchor="text" w:hAnchor="page" w:x="1135" w:y="285" w:anchorLock="1"/>
    </w:pPr>
    <w:rPr>
      <w:i/>
    </w:rPr>
  </w:style>
  <w:style w:type="paragraph" w:customStyle="1" w:styleId="MiniTOCTitle">
    <w:name w:val="MiniTOCTitle"/>
    <w:basedOn w:val="Heading4"/>
    <w:rsid w:val="007F0B8E"/>
    <w:pPr>
      <w:spacing w:before="240"/>
      <w:outlineLvl w:val="9"/>
    </w:pPr>
    <w:rPr>
      <w:noProof/>
      <w:sz w:val="24"/>
    </w:rPr>
  </w:style>
  <w:style w:type="paragraph" w:customStyle="1" w:styleId="MiniTOCItem">
    <w:name w:val="MiniTOCItem"/>
    <w:basedOn w:val="ListBullet"/>
    <w:rsid w:val="007F0B8E"/>
    <w:pPr>
      <w:numPr>
        <w:numId w:val="0"/>
      </w:numPr>
      <w:tabs>
        <w:tab w:val="right" w:leader="dot" w:pos="6521"/>
      </w:tabs>
      <w:spacing w:before="0" w:after="0"/>
    </w:pPr>
  </w:style>
  <w:style w:type="paragraph" w:customStyle="1" w:styleId="TOFTitle">
    <w:name w:val="TOFTitle"/>
    <w:basedOn w:val="TOCTitle"/>
    <w:rsid w:val="007F0B8E"/>
  </w:style>
  <w:style w:type="paragraph" w:styleId="TableofFigures">
    <w:name w:val="table of figures"/>
    <w:basedOn w:val="Normal"/>
    <w:next w:val="Normal"/>
    <w:semiHidden/>
    <w:rsid w:val="007F0B8E"/>
    <w:pPr>
      <w:tabs>
        <w:tab w:val="right" w:leader="dot" w:pos="9072"/>
      </w:tabs>
      <w:ind w:left="970" w:hanging="403"/>
    </w:pPr>
    <w:rPr>
      <w:rFonts w:ascii="Times New Roman" w:hAnsi="Times New Roman"/>
      <w:b/>
    </w:rPr>
  </w:style>
  <w:style w:type="paragraph" w:styleId="ListNumber">
    <w:name w:val="List Number"/>
    <w:basedOn w:val="List"/>
    <w:rsid w:val="007F0B8E"/>
    <w:pPr>
      <w:numPr>
        <w:numId w:val="11"/>
      </w:numPr>
    </w:pPr>
  </w:style>
  <w:style w:type="character" w:customStyle="1" w:styleId="WingdingSymbols">
    <w:name w:val="Wingding Symbols"/>
    <w:rsid w:val="007F0B8E"/>
    <w:rPr>
      <w:rFonts w:ascii="Wingdings" w:hAnsi="Wingdings"/>
    </w:rPr>
  </w:style>
  <w:style w:type="paragraph" w:customStyle="1" w:styleId="TableHeading">
    <w:name w:val="Table Heading"/>
    <w:basedOn w:val="HeadingBase"/>
    <w:rsid w:val="007F0B8E"/>
    <w:pPr>
      <w:keepLines/>
      <w:pBdr>
        <w:bottom w:val="single" w:sz="6" w:space="1" w:color="918585"/>
      </w:pBdr>
      <w:spacing w:before="240"/>
    </w:pPr>
  </w:style>
  <w:style w:type="character" w:customStyle="1" w:styleId="HotSpot">
    <w:name w:val="HotSpot"/>
    <w:rsid w:val="007F0B8E"/>
    <w:rPr>
      <w:color w:val="0033CC"/>
      <w:u w:val="none"/>
    </w:rPr>
  </w:style>
  <w:style w:type="paragraph" w:customStyle="1" w:styleId="BodyTextRight">
    <w:name w:val="Body Text Right"/>
    <w:basedOn w:val="BodyText"/>
    <w:rsid w:val="007F0B8E"/>
    <w:pPr>
      <w:spacing w:before="0" w:after="0"/>
      <w:jc w:val="right"/>
    </w:pPr>
  </w:style>
  <w:style w:type="paragraph" w:styleId="Index3">
    <w:name w:val="index 3"/>
    <w:basedOn w:val="ListNumber2"/>
    <w:next w:val="Normal"/>
    <w:semiHidden/>
    <w:rsid w:val="007F0B8E"/>
    <w:pPr>
      <w:numPr>
        <w:numId w:val="0"/>
      </w:numPr>
      <w:tabs>
        <w:tab w:val="right" w:leader="dot" w:pos="4176"/>
      </w:tabs>
    </w:pPr>
  </w:style>
  <w:style w:type="paragraph" w:styleId="ListNumber2">
    <w:name w:val="List Number 2"/>
    <w:basedOn w:val="List2"/>
    <w:rsid w:val="007F0B8E"/>
    <w:pPr>
      <w:numPr>
        <w:numId w:val="10"/>
      </w:numPr>
      <w:tabs>
        <w:tab w:val="clear" w:pos="1060"/>
      </w:tabs>
    </w:pPr>
  </w:style>
  <w:style w:type="paragraph" w:customStyle="1" w:styleId="MarginNote">
    <w:name w:val="Margin Note"/>
    <w:basedOn w:val="BodyText"/>
    <w:rsid w:val="007F0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B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0B8E"/>
    <w:rPr>
      <w:sz w:val="32"/>
    </w:rPr>
  </w:style>
  <w:style w:type="paragraph" w:customStyle="1" w:styleId="HeadingProcedure">
    <w:name w:val="Heading Procedure"/>
    <w:basedOn w:val="HeadingBase"/>
    <w:next w:val="Normal"/>
    <w:rsid w:val="007F0B8E"/>
    <w:pPr>
      <w:tabs>
        <w:tab w:val="left" w:pos="0"/>
      </w:tabs>
      <w:spacing w:before="120" w:after="60"/>
    </w:pPr>
    <w:rPr>
      <w:i/>
      <w:color w:val="918585"/>
      <w:sz w:val="22"/>
    </w:rPr>
  </w:style>
  <w:style w:type="paragraph" w:customStyle="1" w:styleId="TableBodyText">
    <w:name w:val="Table Body Text"/>
    <w:basedOn w:val="BodyText"/>
    <w:rsid w:val="007F0B8E"/>
    <w:pPr>
      <w:spacing w:before="60" w:after="60"/>
    </w:pPr>
  </w:style>
  <w:style w:type="paragraph" w:styleId="ListContinue">
    <w:name w:val="List Continue"/>
    <w:basedOn w:val="List"/>
    <w:rsid w:val="007F0B8E"/>
    <w:pPr>
      <w:ind w:firstLine="0"/>
    </w:pPr>
  </w:style>
  <w:style w:type="paragraph" w:customStyle="1" w:styleId="ListNote">
    <w:name w:val="List Note"/>
    <w:basedOn w:val="List"/>
    <w:rsid w:val="007F0B8E"/>
    <w:pPr>
      <w:pBdr>
        <w:top w:val="single" w:sz="6" w:space="2" w:color="918585"/>
        <w:bottom w:val="single" w:sz="6" w:space="2" w:color="918585"/>
      </w:pBdr>
      <w:tabs>
        <w:tab w:val="left" w:pos="1021"/>
      </w:tabs>
      <w:ind w:firstLine="0"/>
    </w:pPr>
  </w:style>
  <w:style w:type="paragraph" w:customStyle="1" w:styleId="Warning">
    <w:name w:val="Warning"/>
    <w:basedOn w:val="BodyText"/>
    <w:rsid w:val="007F0B8E"/>
    <w:pPr>
      <w:shd w:val="clear" w:color="auto" w:fill="D9D9D9"/>
      <w:tabs>
        <w:tab w:val="left" w:pos="992"/>
      </w:tabs>
      <w:ind w:left="119" w:right="119"/>
    </w:pPr>
    <w:rPr>
      <w:sz w:val="20"/>
    </w:rPr>
  </w:style>
  <w:style w:type="paragraph" w:customStyle="1" w:styleId="MarginIcons">
    <w:name w:val="Margin Icons"/>
    <w:basedOn w:val="BodyText"/>
    <w:rsid w:val="007F0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B8E"/>
    <w:rPr>
      <w:rFonts w:ascii="Courier New" w:hAnsi="Courier New"/>
    </w:rPr>
  </w:style>
  <w:style w:type="paragraph" w:customStyle="1" w:styleId="NoteBullet">
    <w:name w:val="Note Bullet"/>
    <w:basedOn w:val="Note"/>
    <w:rsid w:val="007F0B8E"/>
    <w:pPr>
      <w:tabs>
        <w:tab w:val="clear" w:pos="680"/>
      </w:tabs>
      <w:spacing w:before="60" w:after="60"/>
    </w:pPr>
  </w:style>
  <w:style w:type="paragraph" w:customStyle="1" w:styleId="SubHeading2">
    <w:name w:val="SubHeading2"/>
    <w:basedOn w:val="HeadingBase"/>
    <w:rsid w:val="007F0B8E"/>
    <w:pPr>
      <w:spacing w:before="240" w:after="60"/>
    </w:pPr>
    <w:rPr>
      <w:sz w:val="20"/>
    </w:rPr>
  </w:style>
  <w:style w:type="paragraph" w:customStyle="1" w:styleId="SubHeading1">
    <w:name w:val="SubHeading1"/>
    <w:basedOn w:val="HeadingBase"/>
    <w:rsid w:val="007F0B8E"/>
    <w:pPr>
      <w:spacing w:before="240" w:after="60"/>
    </w:pPr>
    <w:rPr>
      <w:color w:val="918585"/>
      <w:sz w:val="22"/>
    </w:rPr>
  </w:style>
  <w:style w:type="paragraph" w:customStyle="1" w:styleId="SideHeading">
    <w:name w:val="Side Heading"/>
    <w:basedOn w:val="HeadingBase"/>
    <w:rsid w:val="007F0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B8E"/>
    <w:pPr>
      <w:numPr>
        <w:numId w:val="12"/>
      </w:numPr>
    </w:pPr>
  </w:style>
  <w:style w:type="paragraph" w:styleId="PlainText">
    <w:name w:val="Plain Text"/>
    <w:basedOn w:val="Normal"/>
    <w:link w:val="PlainTextChar"/>
    <w:rsid w:val="007F0B8E"/>
    <w:rPr>
      <w:sz w:val="20"/>
    </w:rPr>
  </w:style>
  <w:style w:type="character" w:customStyle="1" w:styleId="PlainTextChar">
    <w:name w:val="Plain Text Char"/>
    <w:basedOn w:val="DefaultParagraphFont"/>
    <w:link w:val="PlainText"/>
    <w:rsid w:val="007F0B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0B8E"/>
    <w:rPr>
      <w:b/>
      <w:smallCaps/>
    </w:rPr>
  </w:style>
  <w:style w:type="paragraph" w:customStyle="1" w:styleId="TableListNumber">
    <w:name w:val="Table List Number"/>
    <w:basedOn w:val="ListNumber"/>
    <w:rsid w:val="007F0B8E"/>
    <w:pPr>
      <w:numPr>
        <w:numId w:val="0"/>
      </w:numPr>
    </w:pPr>
  </w:style>
  <w:style w:type="paragraph" w:styleId="TOC4">
    <w:name w:val="toc 4"/>
    <w:basedOn w:val="TOCBase"/>
    <w:next w:val="Normal"/>
    <w:semiHidden/>
    <w:rsid w:val="007F0B8E"/>
    <w:pPr>
      <w:tabs>
        <w:tab w:val="right" w:leader="dot" w:pos="9071"/>
      </w:tabs>
      <w:ind w:left="1701"/>
    </w:pPr>
  </w:style>
  <w:style w:type="paragraph" w:customStyle="1" w:styleId="ListAlpha">
    <w:name w:val="List Alpha"/>
    <w:basedOn w:val="List"/>
    <w:rsid w:val="007F0B8E"/>
    <w:pPr>
      <w:numPr>
        <w:numId w:val="9"/>
      </w:numPr>
    </w:pPr>
  </w:style>
  <w:style w:type="paragraph" w:customStyle="1" w:styleId="ListAlpha2">
    <w:name w:val="List Alpha 2"/>
    <w:basedOn w:val="List2"/>
    <w:rsid w:val="007F0B8E"/>
    <w:pPr>
      <w:numPr>
        <w:numId w:val="8"/>
      </w:numPr>
    </w:pPr>
  </w:style>
  <w:style w:type="paragraph" w:styleId="List2">
    <w:name w:val="List 2"/>
    <w:basedOn w:val="BodyText"/>
    <w:rsid w:val="007F0B8E"/>
    <w:pPr>
      <w:tabs>
        <w:tab w:val="left" w:pos="680"/>
      </w:tabs>
      <w:spacing w:before="60" w:after="60"/>
      <w:ind w:left="680" w:hanging="340"/>
    </w:pPr>
  </w:style>
  <w:style w:type="paragraph" w:styleId="List3">
    <w:name w:val="List 3"/>
    <w:basedOn w:val="BodyText"/>
    <w:rsid w:val="007F0B8E"/>
    <w:pPr>
      <w:tabs>
        <w:tab w:val="left" w:pos="1021"/>
      </w:tabs>
      <w:spacing w:before="60" w:after="60"/>
      <w:ind w:left="1020" w:hanging="340"/>
    </w:pPr>
  </w:style>
  <w:style w:type="paragraph" w:styleId="List4">
    <w:name w:val="List 4"/>
    <w:basedOn w:val="BodyText"/>
    <w:rsid w:val="007F0B8E"/>
    <w:pPr>
      <w:tabs>
        <w:tab w:val="left" w:pos="1361"/>
      </w:tabs>
      <w:spacing w:before="60" w:after="60"/>
      <w:ind w:left="1361" w:hanging="340"/>
    </w:pPr>
  </w:style>
  <w:style w:type="paragraph" w:styleId="List5">
    <w:name w:val="List 5"/>
    <w:basedOn w:val="BodyText"/>
    <w:rsid w:val="007F0B8E"/>
    <w:pPr>
      <w:tabs>
        <w:tab w:val="left" w:pos="1701"/>
      </w:tabs>
      <w:spacing w:before="60" w:after="60"/>
      <w:ind w:left="1701" w:hanging="340"/>
    </w:pPr>
  </w:style>
  <w:style w:type="paragraph" w:styleId="ListBullet3">
    <w:name w:val="List Bullet 3"/>
    <w:basedOn w:val="List3"/>
    <w:rsid w:val="007F0B8E"/>
    <w:pPr>
      <w:numPr>
        <w:numId w:val="15"/>
      </w:numPr>
      <w:tabs>
        <w:tab w:val="clear" w:pos="1021"/>
      </w:tabs>
      <w:ind w:left="1037" w:hanging="357"/>
    </w:pPr>
  </w:style>
  <w:style w:type="paragraph" w:styleId="ListBullet4">
    <w:name w:val="List Bullet 4"/>
    <w:basedOn w:val="List4"/>
    <w:rsid w:val="007F0B8E"/>
    <w:pPr>
      <w:numPr>
        <w:numId w:val="3"/>
      </w:numPr>
    </w:pPr>
  </w:style>
  <w:style w:type="paragraph" w:styleId="ListBullet5">
    <w:name w:val="List Bullet 5"/>
    <w:basedOn w:val="List5"/>
    <w:rsid w:val="007F0B8E"/>
    <w:pPr>
      <w:numPr>
        <w:numId w:val="4"/>
      </w:numPr>
    </w:pPr>
  </w:style>
  <w:style w:type="paragraph" w:styleId="ListContinue2">
    <w:name w:val="List Continue 2"/>
    <w:basedOn w:val="List2"/>
    <w:rsid w:val="007F0B8E"/>
    <w:pPr>
      <w:ind w:firstLine="0"/>
    </w:pPr>
  </w:style>
  <w:style w:type="paragraph" w:styleId="ListContinue3">
    <w:name w:val="List Continue 3"/>
    <w:basedOn w:val="List3"/>
    <w:rsid w:val="007F0B8E"/>
    <w:pPr>
      <w:ind w:left="1021" w:firstLine="0"/>
    </w:pPr>
  </w:style>
  <w:style w:type="paragraph" w:styleId="ListContinue4">
    <w:name w:val="List Continue 4"/>
    <w:basedOn w:val="List4"/>
    <w:rsid w:val="007F0B8E"/>
    <w:pPr>
      <w:ind w:firstLine="0"/>
    </w:pPr>
  </w:style>
  <w:style w:type="paragraph" w:styleId="ListContinue5">
    <w:name w:val="List Continue 5"/>
    <w:basedOn w:val="List5"/>
    <w:rsid w:val="007F0B8E"/>
    <w:pPr>
      <w:ind w:firstLine="0"/>
    </w:pPr>
  </w:style>
  <w:style w:type="paragraph" w:styleId="ListNumber3">
    <w:name w:val="List Number 3"/>
    <w:basedOn w:val="List3"/>
    <w:rsid w:val="007F0B8E"/>
    <w:pPr>
      <w:numPr>
        <w:numId w:val="5"/>
      </w:numPr>
    </w:pPr>
  </w:style>
  <w:style w:type="paragraph" w:styleId="ListNumber4">
    <w:name w:val="List Number 4"/>
    <w:basedOn w:val="List4"/>
    <w:rsid w:val="007F0B8E"/>
    <w:pPr>
      <w:numPr>
        <w:numId w:val="6"/>
      </w:numPr>
    </w:pPr>
  </w:style>
  <w:style w:type="paragraph" w:styleId="ListNumber5">
    <w:name w:val="List Number 5"/>
    <w:basedOn w:val="List5"/>
    <w:rsid w:val="007F0B8E"/>
    <w:pPr>
      <w:numPr>
        <w:numId w:val="7"/>
      </w:numPr>
    </w:pPr>
  </w:style>
  <w:style w:type="paragraph" w:styleId="BlockText">
    <w:name w:val="Block Text"/>
    <w:basedOn w:val="Normal"/>
    <w:rsid w:val="007F0B8E"/>
    <w:pPr>
      <w:spacing w:after="120"/>
      <w:ind w:left="1440" w:right="1440"/>
    </w:pPr>
  </w:style>
  <w:style w:type="character" w:customStyle="1" w:styleId="Subscript">
    <w:name w:val="Subscript"/>
    <w:basedOn w:val="DefaultParagraphFont"/>
    <w:rsid w:val="007F0B8E"/>
    <w:rPr>
      <w:sz w:val="16"/>
      <w:vertAlign w:val="subscript"/>
    </w:rPr>
  </w:style>
  <w:style w:type="character" w:customStyle="1" w:styleId="Superscript">
    <w:name w:val="Superscript"/>
    <w:basedOn w:val="DefaultParagraphFont"/>
    <w:rsid w:val="007F0B8E"/>
    <w:rPr>
      <w:sz w:val="16"/>
      <w:vertAlign w:val="superscript"/>
    </w:rPr>
  </w:style>
  <w:style w:type="character" w:customStyle="1" w:styleId="Symbols">
    <w:name w:val="Symbols"/>
    <w:basedOn w:val="DefaultParagraphFont"/>
    <w:rsid w:val="007F0B8E"/>
    <w:rPr>
      <w:rFonts w:ascii="Symbol" w:hAnsi="Symbol"/>
    </w:rPr>
  </w:style>
  <w:style w:type="character" w:customStyle="1" w:styleId="MenuOptions">
    <w:name w:val="Menu Options"/>
    <w:basedOn w:val="DefaultParagraphFont"/>
    <w:rsid w:val="007F0B8E"/>
    <w:rPr>
      <w:rFonts w:ascii="Arial Narrow" w:hAnsi="Arial Narrow"/>
      <w:smallCaps/>
    </w:rPr>
  </w:style>
  <w:style w:type="character" w:customStyle="1" w:styleId="Buttons">
    <w:name w:val="Buttons"/>
    <w:basedOn w:val="DefaultParagraphFont"/>
    <w:rsid w:val="007F0B8E"/>
    <w:rPr>
      <w:b/>
    </w:rPr>
  </w:style>
  <w:style w:type="character" w:customStyle="1" w:styleId="Underlined">
    <w:name w:val="Underlined"/>
    <w:basedOn w:val="DefaultParagraphFont"/>
    <w:rsid w:val="007F0B8E"/>
    <w:rPr>
      <w:u w:val="single"/>
    </w:rPr>
  </w:style>
  <w:style w:type="paragraph" w:customStyle="1" w:styleId="TableBodyTextRight">
    <w:name w:val="Table Body Text Right"/>
    <w:basedOn w:val="TableBodyText"/>
    <w:rsid w:val="007F0B8E"/>
    <w:pPr>
      <w:widowControl w:val="0"/>
      <w:autoSpaceDE w:val="0"/>
      <w:autoSpaceDN w:val="0"/>
      <w:adjustRightInd w:val="0"/>
      <w:jc w:val="right"/>
    </w:pPr>
    <w:rPr>
      <w:rFonts w:cs="Arial"/>
      <w:szCs w:val="18"/>
    </w:rPr>
  </w:style>
  <w:style w:type="paragraph" w:customStyle="1" w:styleId="CopyrightText">
    <w:name w:val="Copyright Text"/>
    <w:basedOn w:val="BodyText"/>
    <w:rsid w:val="007F0B8E"/>
    <w:rPr>
      <w:sz w:val="18"/>
    </w:rPr>
  </w:style>
  <w:style w:type="paragraph" w:customStyle="1" w:styleId="BodySmallRight">
    <w:name w:val="Body Small Right"/>
    <w:basedOn w:val="BodyTextRight"/>
    <w:rsid w:val="007F0B8E"/>
    <w:rPr>
      <w:sz w:val="18"/>
      <w:szCs w:val="18"/>
    </w:rPr>
  </w:style>
  <w:style w:type="paragraph" w:customStyle="1" w:styleId="MarginEdition">
    <w:name w:val="Margin Edition"/>
    <w:basedOn w:val="MarginNote"/>
    <w:rsid w:val="007F0B8E"/>
    <w:pPr>
      <w:spacing w:before="0" w:after="0"/>
    </w:pPr>
    <w:rPr>
      <w:rFonts w:ascii="Times New Roman" w:hAnsi="Times New Roman"/>
      <w:color w:val="999999"/>
    </w:rPr>
  </w:style>
  <w:style w:type="paragraph" w:customStyle="1" w:styleId="Spacer">
    <w:name w:val="Spacer"/>
    <w:basedOn w:val="Normal"/>
    <w:rsid w:val="007F0B8E"/>
    <w:rPr>
      <w:sz w:val="2"/>
      <w:szCs w:val="2"/>
    </w:rPr>
  </w:style>
  <w:style w:type="character" w:customStyle="1" w:styleId="Small">
    <w:name w:val="Small"/>
    <w:basedOn w:val="DefaultParagraphFont"/>
    <w:rsid w:val="007F0B8E"/>
    <w:rPr>
      <w:sz w:val="16"/>
    </w:rPr>
  </w:style>
  <w:style w:type="paragraph" w:customStyle="1" w:styleId="WideTable">
    <w:name w:val="Wide Table"/>
    <w:basedOn w:val="Normal"/>
    <w:rsid w:val="007F0B8E"/>
    <w:pPr>
      <w:ind w:left="-1418"/>
    </w:pPr>
    <w:rPr>
      <w:sz w:val="2"/>
      <w:szCs w:val="2"/>
    </w:rPr>
  </w:style>
  <w:style w:type="character" w:styleId="PageNumber">
    <w:name w:val="page number"/>
    <w:basedOn w:val="DefaultParagraphFont"/>
    <w:rsid w:val="007F0B8E"/>
  </w:style>
  <w:style w:type="paragraph" w:styleId="Quote">
    <w:name w:val="Quote"/>
    <w:basedOn w:val="Heading1"/>
    <w:link w:val="QuoteChar"/>
    <w:qFormat/>
    <w:rsid w:val="007F0B8E"/>
    <w:rPr>
      <w:b w:val="0"/>
      <w:sz w:val="72"/>
      <w:szCs w:val="72"/>
      <w:lang w:val="en-NZ"/>
    </w:rPr>
  </w:style>
  <w:style w:type="character" w:customStyle="1" w:styleId="QuoteChar">
    <w:name w:val="Quote Char"/>
    <w:basedOn w:val="DefaultParagraphFont"/>
    <w:link w:val="Quote"/>
    <w:rsid w:val="007F0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B8E"/>
    <w:pPr>
      <w:pageBreakBefore/>
    </w:pPr>
  </w:style>
  <w:style w:type="paragraph" w:customStyle="1" w:styleId="Border">
    <w:name w:val="Border"/>
    <w:basedOn w:val="Normal"/>
    <w:qFormat/>
    <w:rsid w:val="007F0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B8E"/>
    <w:rPr>
      <w:b/>
      <w:bCs/>
      <w:i/>
      <w:iCs/>
      <w:color w:val="auto"/>
    </w:rPr>
  </w:style>
  <w:style w:type="paragraph" w:styleId="IntenseQuote">
    <w:name w:val="Intense Quote"/>
    <w:basedOn w:val="Normal"/>
    <w:next w:val="Normal"/>
    <w:link w:val="IntenseQuoteChar"/>
    <w:uiPriority w:val="30"/>
    <w:qFormat/>
    <w:rsid w:val="007F0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B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0B8E"/>
    <w:rPr>
      <w:smallCaps/>
      <w:color w:val="auto"/>
      <w:u w:val="single"/>
    </w:rPr>
  </w:style>
  <w:style w:type="character" w:styleId="IntenseReference">
    <w:name w:val="Intense Reference"/>
    <w:basedOn w:val="DefaultParagraphFont"/>
    <w:uiPriority w:val="32"/>
    <w:qFormat/>
    <w:rsid w:val="007F0B8E"/>
    <w:rPr>
      <w:b/>
      <w:bCs/>
      <w:smallCaps/>
      <w:color w:val="auto"/>
      <w:spacing w:val="5"/>
      <w:u w:val="single"/>
    </w:rPr>
  </w:style>
  <w:style w:type="paragraph" w:customStyle="1" w:styleId="2ColumnHeading">
    <w:name w:val="2Column Heading"/>
    <w:basedOn w:val="BodyText"/>
    <w:qFormat/>
    <w:rsid w:val="007F0B8E"/>
    <w:pPr>
      <w:spacing w:after="60"/>
      <w:ind w:left="-2268"/>
    </w:pPr>
    <w:rPr>
      <w:b/>
    </w:rPr>
  </w:style>
  <w:style w:type="paragraph" w:customStyle="1" w:styleId="Heading1TOC">
    <w:name w:val="Heading1 TOC"/>
    <w:basedOn w:val="Normal"/>
    <w:qFormat/>
    <w:rsid w:val="007F0B8E"/>
    <w:pPr>
      <w:spacing w:before="240" w:after="120"/>
    </w:pPr>
    <w:rPr>
      <w:rFonts w:ascii="Times New Roman" w:hAnsi="Times New Roman"/>
      <w:b/>
      <w:sz w:val="32"/>
    </w:rPr>
  </w:style>
  <w:style w:type="paragraph" w:customStyle="1" w:styleId="Heading2TOC">
    <w:name w:val="Heading2 TOC"/>
    <w:basedOn w:val="Normal"/>
    <w:qFormat/>
    <w:rsid w:val="007F0B8E"/>
    <w:pPr>
      <w:spacing w:before="240" w:after="60"/>
    </w:pPr>
    <w:rPr>
      <w:rFonts w:ascii="Times New Roman" w:hAnsi="Times New Roman"/>
      <w:b/>
      <w:sz w:val="28"/>
    </w:rPr>
  </w:style>
  <w:style w:type="character" w:customStyle="1" w:styleId="Underline">
    <w:name w:val="Underline"/>
    <w:basedOn w:val="DefaultParagraphFont"/>
    <w:qFormat/>
    <w:rsid w:val="007F0B8E"/>
    <w:rPr>
      <w:u w:val="single"/>
    </w:rPr>
  </w:style>
  <w:style w:type="character" w:customStyle="1" w:styleId="BoldandItalics">
    <w:name w:val="Bold and Italics"/>
    <w:qFormat/>
    <w:rsid w:val="007F0B8E"/>
    <w:rPr>
      <w:b/>
      <w:i/>
      <w:u w:val="none"/>
    </w:rPr>
  </w:style>
  <w:style w:type="paragraph" w:styleId="BalloonText">
    <w:name w:val="Balloon Text"/>
    <w:basedOn w:val="Normal"/>
    <w:link w:val="BalloonTextChar"/>
    <w:rsid w:val="007F0B8E"/>
    <w:rPr>
      <w:rFonts w:ascii="Tahoma" w:hAnsi="Tahoma" w:cs="Tahoma"/>
      <w:sz w:val="16"/>
      <w:szCs w:val="16"/>
    </w:rPr>
  </w:style>
  <w:style w:type="character" w:customStyle="1" w:styleId="BalloonTextChar">
    <w:name w:val="Balloon Text Char"/>
    <w:basedOn w:val="DefaultParagraphFont"/>
    <w:link w:val="BalloonText"/>
    <w:rsid w:val="007F0B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0B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B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2721</Words>
  <Characters>16345</Characters>
  <Application>Microsoft Office Word</Application>
  <DocSecurity>0</DocSecurity>
  <Lines>814</Lines>
  <Paragraphs>317</Paragraphs>
  <ScaleCrop>false</ScaleCrop>
  <Company>Author-it Software Corporation Ltd.</Company>
  <LinksUpToDate>false</LinksUpToDate>
  <CharactersWithSpaces>18778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UEGNSG104A Comply with environmental policies and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2012-05-26T22:00:00Z</dcterms:created>
  <dcterms:modified xsi:type="dcterms:W3CDTF">2012-05-26T22:00:00Z</dcterms:modified>
</cp:coreProperties>
</file>