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BF2" w:rsidP="00224BF2">
      <w:pPr>
        <w:pStyle w:val="Title"/>
      </w:pPr>
      <w:bookmarkStart w:id="0" w:name="_GoBack"/>
      <w:bookmarkEnd w:id="0"/>
      <w:r>
        <w:fldChar w:fldCharType="begin"/>
      </w:r>
      <w:r>
        <w:instrText xml:space="preserve"> TITLE   \* MERGEFORMAT </w:instrText>
      </w:r>
      <w:r>
        <w:fldChar w:fldCharType="separate"/>
      </w:r>
      <w:r>
        <w:t>UEGNSG101A Use equipment and tools to perform work in a utilities industry work environment</w:t>
      </w:r>
      <w:r>
        <w:fldChar w:fldCharType="end"/>
      </w:r>
    </w:p>
    <w:p w:rsidR="00224BF2" w:rsidP="00224BF2">
      <w:pPr>
        <w:pStyle w:val="Version"/>
        <w:sectPr w:rsidSect="002A73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3FA" w:rsidP="002A73FA">
      <w:pPr>
        <w:pStyle w:val="SuperHeading"/>
      </w:pPr>
      <w:r w:rsidRPr="002A73FA">
        <w:t>UEGNSG101A Use equipment and tools to perform work in a utilities industry work environment</w:t>
      </w:r>
    </w:p>
    <w:p w:rsidR="00000000" w:rsidRPr="002A73FA" w:rsidP="002A73FA">
      <w:pPr>
        <w:pStyle w:val="Heading1"/>
      </w:pPr>
      <w:bookmarkStart w:id="1" w:name="O_275073"/>
      <w:bookmarkEnd w:id="1"/>
      <w:r w:rsidRPr="002A73FA">
        <w:t>Modification History</w:t>
      </w:r>
    </w:p>
    <w:p w:rsidR="00000000" w:rsidRPr="002A73FA" w:rsidP="002A73FA">
      <w:pPr>
        <w:pStyle w:val="BodyText"/>
      </w:pPr>
      <w:r w:rsidRPr="002A73FA">
        <w:t>Not Applicable</w:t>
      </w:r>
    </w:p>
    <w:p w:rsidR="00000000" w:rsidRPr="002A73FA" w:rsidP="002A73FA">
      <w:pPr>
        <w:pStyle w:val="AllowPageBreak"/>
      </w:pPr>
    </w:p>
    <w:p w:rsidR="00000000" w:rsidRPr="002A73FA" w:rsidP="002A73FA">
      <w:pPr>
        <w:pStyle w:val="Heading1"/>
      </w:pPr>
      <w:bookmarkStart w:id="2" w:name="O_229263"/>
      <w:bookmarkEnd w:id="2"/>
      <w:r w:rsidRPr="002A73FA">
        <w:t>Unit Descriptor</w:t>
      </w:r>
    </w:p>
    <w:tbl>
      <w:tblPr>
        <w:tblW w:w="0" w:type="auto"/>
        <w:tblLayout w:type="fixed"/>
        <w:tblCellMar>
          <w:left w:w="62" w:type="dxa"/>
          <w:right w:w="62" w:type="dxa"/>
        </w:tblCellMar>
        <w:tblLook w:val="0000"/>
      </w:tblPr>
      <w:tblGrid>
        <w:gridCol w:w="2700"/>
        <w:gridCol w:w="5760"/>
      </w:tblGrid>
      <w:tr w:rsidTr="00224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1</w:t>
            </w:r>
            <w:r w:rsidRPr="002A73FA">
              <w:t>)</w:t>
            </w:r>
          </w:p>
        </w:tc>
      </w:tr>
      <w:tr w:rsidTr="00224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t>This unit covers the basic use of equipment, plant and tools for general safe work in a utilities industry work environment. The use of equipment and tools is done in accordance with a schedule of work and in a safe manner utilising any personal protective</w:t>
            </w:r>
            <w:r w:rsidRPr="002A73FA">
              <w:t xml:space="preserve"> equipment as required. The types of equipment and tools used in this competency are those used to carry out basic Gas Industry operations such as a general concrete mixer, general vacuum cleaner, general trolley, non pressurised pumps and hoses, wheelbarr</w:t>
            </w:r>
            <w:r w:rsidRPr="002A73FA">
              <w:t>ows, traffic barriers, extra low voltage lighting equipment, hand held tools.</w:t>
            </w:r>
          </w:p>
        </w:tc>
      </w:tr>
    </w:tbl>
    <w:p w:rsidR="00224BF2" w:rsidP="002A73FA">
      <w:pPr>
        <w:pStyle w:val="BodyText"/>
      </w:pPr>
    </w:p>
    <w:p w:rsidR="00224BF2" w:rsidP="002A73FA">
      <w:pPr>
        <w:pStyle w:val="BodyText"/>
      </w:pPr>
    </w:p>
    <w:p w:rsidR="00000000" w:rsidRPr="002A73FA" w:rsidP="002A73FA">
      <w:pPr>
        <w:pStyle w:val="Heading1"/>
      </w:pPr>
      <w:bookmarkStart w:id="3" w:name="O_229266"/>
      <w:bookmarkEnd w:id="3"/>
      <w:r w:rsidRPr="002A73FA">
        <w:t>Application of the Unit</w:t>
      </w:r>
    </w:p>
    <w:tbl>
      <w:tblPr>
        <w:tblW w:w="0" w:type="auto"/>
        <w:tblLayout w:type="fixed"/>
        <w:tblCellMar>
          <w:left w:w="62" w:type="dxa"/>
          <w:right w:w="62" w:type="dxa"/>
        </w:tblCellMar>
        <w:tblLook w:val="0000"/>
      </w:tblPr>
      <w:tblGrid>
        <w:gridCol w:w="2700"/>
        <w:gridCol w:w="5760"/>
      </w:tblGrid>
      <w:tr w:rsidTr="00224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3</w:t>
            </w:r>
            <w:r w:rsidRPr="002A73FA">
              <w:t xml:space="preserve">) </w:t>
            </w:r>
          </w:p>
        </w:tc>
      </w:tr>
      <w:tr w:rsidTr="00224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t>This competency standard shall apply to any basic and safe work site where Gas Industry operations occur</w:t>
            </w:r>
            <w:r w:rsidRPr="002A73FA">
              <w:t xml:space="preserve">. It could also apply, where applicable to other workplaces in the electricity supply industry (transmission and distribution and generation), the electrotechnology industry and the water industry, subject to all Occupational Health and Safety and duty of </w:t>
            </w:r>
            <w:r w:rsidRPr="002A73FA">
              <w:t>care requirements being met for the workplace.</w:t>
            </w:r>
          </w:p>
        </w:tc>
      </w:tr>
    </w:tbl>
    <w:p w:rsidR="00224BF2" w:rsidP="002A73FA">
      <w:pPr>
        <w:pStyle w:val="BodyText"/>
      </w:pPr>
    </w:p>
    <w:p w:rsidR="00224BF2" w:rsidP="002A73FA">
      <w:pPr>
        <w:pStyle w:val="BodyText"/>
      </w:pPr>
    </w:p>
    <w:p w:rsidR="00000000" w:rsidRPr="002A73FA" w:rsidP="002A73FA">
      <w:pPr>
        <w:pStyle w:val="Heading1"/>
      </w:pPr>
      <w:bookmarkStart w:id="4" w:name="O_229267"/>
      <w:bookmarkEnd w:id="4"/>
      <w:r w:rsidRPr="002A73FA">
        <w:t>Licensing/Regulatory Information</w:t>
      </w:r>
    </w:p>
    <w:tbl>
      <w:tblPr>
        <w:tblW w:w="0" w:type="auto"/>
        <w:tblLayout w:type="fixed"/>
        <w:tblCellMar>
          <w:left w:w="62" w:type="dxa"/>
          <w:right w:w="62" w:type="dxa"/>
        </w:tblCellMar>
        <w:tblLook w:val="0000"/>
      </w:tblPr>
      <w:tblGrid>
        <w:gridCol w:w="2700"/>
        <w:gridCol w:w="5760"/>
      </w:tblGrid>
      <w:tr w:rsidTr="00224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3</w:t>
            </w:r>
            <w:r w:rsidRPr="002A73FA">
              <w:t>.</w:t>
            </w:r>
            <w:r w:rsidRPr="002A73FA">
              <w:rPr>
                <w:rStyle w:val="SpecialBold"/>
              </w:rPr>
              <w:t>1</w:t>
            </w:r>
            <w:r w:rsidRPr="002A73FA">
              <w:t xml:space="preserve">) </w:t>
            </w:r>
          </w:p>
        </w:tc>
      </w:tr>
      <w:tr w:rsidTr="00224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t>The skills and knowledge described in this unit are not subject to licence regulation other than those directly related to Occupational Health and Safety, gas/electricity/water industry safety and compliance, industrial relations, environmental protection,</w:t>
            </w:r>
            <w:r w:rsidRPr="002A73FA">
              <w:t xml:space="preserve"> telecommunications, anti discrimination and training. Commonwealth, State/Territory or Local government legislation and regulations may exist that limit the age at which a person can operate certain equipment.</w:t>
            </w:r>
          </w:p>
        </w:tc>
      </w:tr>
    </w:tbl>
    <w:p w:rsidR="00224BF2" w:rsidP="002A73FA">
      <w:pPr>
        <w:pStyle w:val="BodyText"/>
      </w:pPr>
    </w:p>
    <w:p w:rsidR="00224BF2" w:rsidP="002A73FA">
      <w:pPr>
        <w:pStyle w:val="BodyText"/>
      </w:pPr>
    </w:p>
    <w:p w:rsidR="00000000" w:rsidRPr="002A73FA" w:rsidP="002A73FA">
      <w:pPr>
        <w:pStyle w:val="Heading1"/>
      </w:pPr>
      <w:bookmarkStart w:id="5" w:name="O_229264"/>
      <w:bookmarkEnd w:id="5"/>
      <w:r w:rsidRPr="002A73FA">
        <w:t>Pre-Requisites</w:t>
      </w:r>
    </w:p>
    <w:tbl>
      <w:tblPr>
        <w:tblW w:w="0" w:type="auto"/>
        <w:tblLayout w:type="fixed"/>
        <w:tblCellMar>
          <w:left w:w="62" w:type="dxa"/>
          <w:right w:w="62" w:type="dxa"/>
        </w:tblCellMar>
        <w:tblLook w:val="0000"/>
      </w:tblPr>
      <w:tblGrid>
        <w:gridCol w:w="2700"/>
        <w:gridCol w:w="1800"/>
        <w:gridCol w:w="3960"/>
      </w:tblGrid>
      <w:tr w:rsidTr="00224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Prerequisi</w:t>
            </w:r>
            <w:r w:rsidRPr="002A73FA">
              <w:rPr>
                <w:rStyle w:val="SpecialBold"/>
              </w:rPr>
              <w:t>te Unit</w:t>
            </w:r>
            <w:r w:rsidRPr="002A73FA">
              <w:t>(</w:t>
            </w:r>
            <w:r w:rsidRPr="002A73FA">
              <w:rPr>
                <w:rStyle w:val="SpecialBold"/>
              </w:rPr>
              <w:t>s</w:t>
            </w:r>
            <w:r w:rsidRPr="002A73FA">
              <w:t>)</w:t>
            </w:r>
          </w:p>
        </w:tc>
        <w:tc>
          <w:tcPr>
            <w:tcW w:w="5760" w:type="dxa"/>
            <w:gridSpan w:val="2"/>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2</w:t>
            </w:r>
            <w:r w:rsidRPr="002A73FA">
              <w:t xml:space="preserve">) </w:t>
            </w:r>
          </w:p>
        </w:tc>
      </w:tr>
      <w:tr w:rsidTr="00224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2</w:t>
            </w:r>
            <w:r w:rsidRPr="002A73FA">
              <w:t>.</w:t>
            </w:r>
            <w:r w:rsidRPr="002A73FA">
              <w:rPr>
                <w:rStyle w:val="SpecialBold"/>
              </w:rPr>
              <w:t>1</w:t>
            </w:r>
            <w:r w:rsidRPr="002A73FA">
              <w:t xml:space="preserve">) </w:t>
            </w:r>
          </w:p>
        </w:tc>
      </w:tr>
      <w:tr w:rsidTr="00224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Granting of competency in this unit shall be made only after competency in the following unit(s) has/have been confirmed:</w:t>
            </w:r>
          </w:p>
        </w:tc>
      </w:tr>
      <w:tr w:rsidTr="00224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Nil</w:t>
            </w:r>
          </w:p>
        </w:tc>
        <w:tc>
          <w:tcPr>
            <w:tcW w:w="3960" w:type="dxa"/>
            <w:tcBorders>
              <w:top w:val="nil"/>
              <w:left w:val="nil"/>
              <w:bottom w:val="nil"/>
              <w:right w:val="nil"/>
            </w:tcBorders>
            <w:tcMar>
              <w:top w:w="0" w:type="dxa"/>
              <w:left w:w="62" w:type="dxa"/>
              <w:bottom w:w="0" w:type="dxa"/>
              <w:right w:w="62" w:type="dxa"/>
            </w:tcMar>
          </w:tcPr>
          <w:p w:rsidR="00000000" w:rsidRPr="002A73FA" w:rsidP="002A73FA">
            <w:pPr>
              <w:pStyle w:val="BodyText"/>
            </w:pPr>
          </w:p>
        </w:tc>
      </w:tr>
    </w:tbl>
    <w:p w:rsidR="00224BF2" w:rsidP="002A73FA">
      <w:pPr>
        <w:pStyle w:val="BodyText"/>
      </w:pPr>
    </w:p>
    <w:p w:rsidR="00224BF2" w:rsidP="002A73FA">
      <w:pPr>
        <w:pStyle w:val="BodyText"/>
      </w:pPr>
    </w:p>
    <w:p w:rsidR="00000000" w:rsidRPr="002A73FA" w:rsidP="002A73FA">
      <w:pPr>
        <w:pStyle w:val="Heading1"/>
      </w:pPr>
      <w:bookmarkStart w:id="6" w:name="O_285322"/>
      <w:bookmarkEnd w:id="6"/>
      <w:r w:rsidRPr="002A73FA">
        <w:t>Employability Skills Information</w:t>
      </w:r>
    </w:p>
    <w:p w:rsidR="00000000" w:rsidRPr="002A73FA" w:rsidP="002A73FA">
      <w:pPr>
        <w:pStyle w:val="BodyText"/>
      </w:pPr>
      <w:r w:rsidRPr="002A73FA">
        <w:t>Refer to the Evidence Guide</w:t>
      </w:r>
    </w:p>
    <w:p w:rsidR="00000000" w:rsidRPr="002A73FA" w:rsidP="002A73FA">
      <w:pPr>
        <w:pStyle w:val="AllowPageBreak"/>
      </w:pPr>
    </w:p>
    <w:p w:rsidR="00000000" w:rsidRPr="002A73FA" w:rsidP="002A73FA">
      <w:pPr>
        <w:pStyle w:val="Heading1"/>
      </w:pPr>
      <w:bookmarkStart w:id="7" w:name="O_293119"/>
      <w:bookmarkEnd w:id="7"/>
      <w:r w:rsidRPr="002A73FA">
        <w:t>Elements and Performance Criteria Pre-Content</w:t>
      </w:r>
    </w:p>
    <w:tbl>
      <w:tblPr>
        <w:tblW w:w="0" w:type="auto"/>
        <w:tblLayout w:type="fixed"/>
        <w:tblCellMar>
          <w:left w:w="62" w:type="dxa"/>
          <w:right w:w="62" w:type="dxa"/>
        </w:tblCellMar>
        <w:tblLook w:val="0000"/>
      </w:tblPr>
      <w:tblGrid>
        <w:gridCol w:w="2700"/>
        <w:gridCol w:w="5760"/>
      </w:tblGrid>
      <w:tr w:rsidTr="00224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5</w:t>
            </w:r>
            <w:r w:rsidRPr="002A73F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t>Performance Criteria describe the required performance needed to demonstrate achievement of the element. Assessment of p</w:t>
            </w:r>
            <w:r w:rsidRPr="002A73FA">
              <w:t>erformance is to be consistent with the evidence guide.</w:t>
            </w:r>
          </w:p>
        </w:tc>
      </w:tr>
    </w:tbl>
    <w:p w:rsidR="00000000" w:rsidRPr="002A73FA" w:rsidP="002A73FA">
      <w:pPr>
        <w:pStyle w:val="BodyText"/>
      </w:pPr>
    </w:p>
    <w:p w:rsidR="00000000" w:rsidRPr="002A73FA" w:rsidP="002A73FA">
      <w:pPr>
        <w:pStyle w:val="AllowPageBreak"/>
      </w:pPr>
    </w:p>
    <w:p w:rsidR="00000000" w:rsidRPr="002A73FA" w:rsidP="002A73FA">
      <w:pPr>
        <w:pStyle w:val="Heading1"/>
      </w:pPr>
      <w:bookmarkStart w:id="8" w:name="O_239787"/>
      <w:bookmarkEnd w:id="8"/>
      <w:r w:rsidRPr="002A73F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24BF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PERFORMANCE CRITERIA</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1</w:t>
            </w:r>
          </w:p>
        </w:tc>
        <w:tc>
          <w:tcPr>
            <w:tcW w:w="2296" w:type="dxa"/>
            <w:vMerge w:val="restart"/>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Prepare to use equipment and tools to perform work</w:t>
            </w: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1.1</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Instructions for preparation in the use</w:t>
            </w:r>
            <w:r w:rsidRPr="002A73FA">
              <w:t xml:space="preserve"> of routine equipment, plant and tools are received and confirmed to ensure clear understanding</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1.2</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OHS, environmental and sustainable energy policies and procedures are received and confirmed to ensure they are understood as to be applied in the carryi</w:t>
            </w:r>
            <w:r w:rsidRPr="002A73FA">
              <w:t>ng out of the work</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1.3</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Equipment, plant, tools and personal protective equipment needed to do the work are identified, scheduled and checked to ensure they work correctly as intended and are safe to use in accordance with established procedures</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1.4</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Appropriate persons are consulted to ensure the work is coordinated effectively with others involved</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1.5</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Resources and materials needed to do the work are confirmed, scheduled and obtained in accordance with established procedures</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1.6</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Schedule of work including practices for working safely are confirmed as in accordance with established procedures and requirements</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2</w:t>
            </w:r>
          </w:p>
        </w:tc>
        <w:tc>
          <w:tcPr>
            <w:tcW w:w="2296" w:type="dxa"/>
            <w:vMerge w:val="restart"/>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Use equipment and tools to perform work</w:t>
            </w: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2.1</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OHS policies and procedures and safe work practices are followed to eliminate</w:t>
            </w:r>
            <w:r w:rsidRPr="002A73FA">
              <w:t xml:space="preserve"> or minimise incidents and hazards</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2.2</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Equipment and tools are used in accordance with schedule of work to ensure work is completed in an agreed time and to a quality standard and with a minimum of waste</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2.3</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Operational knowledge for utilising correct and safe use of basic equipment and tools to perform work is confirmed to ensure completion in an agreed time and to a quality standard with a minimum of waste according to requirements and established procedures</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2.4</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Further instructions are sought from appropriate persons in the event of unplanned events or conditions occurring</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2.5</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Ongoing checks of quality of the work are undertaken in accordance with instructions and requirements</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3</w:t>
            </w:r>
          </w:p>
        </w:tc>
        <w:tc>
          <w:tcPr>
            <w:tcW w:w="2296" w:type="dxa"/>
            <w:vMerge w:val="restart"/>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Completion procedures for using equipment and tools to perform work</w:t>
            </w: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3.1</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Final checks are made to ensure the use of equipment and tools conforms with instructions and to requirements</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3.2</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Appropriate persons are notified of completion of the work using ro</w:t>
            </w:r>
            <w:r w:rsidRPr="002A73FA">
              <w:t>utine equipment and tools</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3.3</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Equipment and tools and any surplus resources and materials are, where appropriate, cleaned, checked and returned to storage in accordance with established procedures</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3.4</w:t>
            </w:r>
          </w:p>
        </w:tc>
        <w:tc>
          <w:tcPr>
            <w:tcW w:w="48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Work area is cleaned up and made s</w:t>
            </w:r>
            <w:r w:rsidRPr="002A73FA">
              <w:t>afe and sustainable energy practices are followed</w:t>
            </w:r>
          </w:p>
        </w:tc>
      </w:tr>
      <w:tr w:rsidTr="00224B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3.5</w:t>
            </w:r>
          </w:p>
        </w:tc>
        <w:tc>
          <w:tcPr>
            <w:tcW w:w="486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t>Appropriate records are updated in accordance with instructions and established procedures</w:t>
            </w:r>
          </w:p>
        </w:tc>
      </w:tr>
    </w:tbl>
    <w:p w:rsidR="00224BF2" w:rsidP="002A73FA">
      <w:pPr>
        <w:pStyle w:val="BodyText"/>
      </w:pPr>
    </w:p>
    <w:p w:rsidR="00224BF2" w:rsidP="002A73FA">
      <w:pPr>
        <w:pStyle w:val="BodyText"/>
      </w:pPr>
    </w:p>
    <w:p w:rsidR="00000000" w:rsidRPr="002A73FA" w:rsidP="002A73FA">
      <w:pPr>
        <w:pStyle w:val="Heading1"/>
      </w:pPr>
      <w:bookmarkStart w:id="9" w:name="O_263578"/>
      <w:bookmarkEnd w:id="9"/>
      <w:r w:rsidRPr="002A73FA">
        <w:t>Required Skills and Knowledge</w:t>
      </w:r>
    </w:p>
    <w:tbl>
      <w:tblPr>
        <w:tblW w:w="0" w:type="auto"/>
        <w:tblLayout w:type="fixed"/>
        <w:tblCellMar>
          <w:left w:w="62" w:type="dxa"/>
          <w:right w:w="62" w:type="dxa"/>
        </w:tblCellMar>
        <w:tblLook w:val="0000"/>
      </w:tblPr>
      <w:tblGrid>
        <w:gridCol w:w="2835"/>
        <w:gridCol w:w="945"/>
        <w:gridCol w:w="4680"/>
      </w:tblGrid>
      <w:tr w:rsidTr="00224BF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REQUIRED SKILLS AND KNOWLEDGE</w:t>
            </w:r>
          </w:p>
        </w:tc>
      </w:tr>
      <w:tr w:rsidTr="00224BF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6</w:t>
            </w:r>
            <w:r w:rsidRPr="002A73FA">
              <w:t>) This describes the essential skills and knowledge and their level, required for this unit.</w:t>
            </w:r>
          </w:p>
        </w:tc>
      </w:tr>
      <w:tr w:rsidTr="00224BF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 xml:space="preserve">Evidence shall show that knowledge has been acquired of safe working practices for using of equipment and tools to perform work in a utilities </w:t>
            </w:r>
            <w:r w:rsidRPr="002A73FA">
              <w:t>industry work environment. The extent of the essential knowledge and associated skills (EKAS) required is given in Volume 2 - Part 2.2 EKAS.  It forms an integral part of this unit.</w:t>
            </w:r>
          </w:p>
        </w:tc>
      </w:tr>
      <w:tr w:rsidTr="00224BF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G 1.1.1</w:t>
            </w:r>
          </w:p>
        </w:tc>
        <w:tc>
          <w:tcPr>
            <w:tcW w:w="468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Utilities industries calculations</w:t>
            </w:r>
          </w:p>
        </w:tc>
      </w:tr>
      <w:tr w:rsidTr="00224BF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G 1.1.2</w:t>
            </w:r>
          </w:p>
        </w:tc>
        <w:tc>
          <w:tcPr>
            <w:tcW w:w="468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Use of equipment a</w:t>
            </w:r>
            <w:r w:rsidRPr="002A73FA">
              <w:t>nd tools in the utilities industries</w:t>
            </w:r>
          </w:p>
        </w:tc>
      </w:tr>
      <w:tr w:rsidTr="00224BF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5"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G 1.1.3</w:t>
            </w:r>
          </w:p>
        </w:tc>
        <w:tc>
          <w:tcPr>
            <w:tcW w:w="468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t>Overview of working in the utilities industries</w:t>
            </w:r>
          </w:p>
        </w:tc>
      </w:tr>
    </w:tbl>
    <w:p w:rsidR="00224BF2" w:rsidP="002A73FA">
      <w:pPr>
        <w:pStyle w:val="BodyText"/>
      </w:pPr>
    </w:p>
    <w:p w:rsidR="00224BF2" w:rsidP="002A73FA">
      <w:pPr>
        <w:pStyle w:val="BodyText"/>
      </w:pPr>
    </w:p>
    <w:p w:rsidR="00000000" w:rsidRPr="002A73FA" w:rsidP="002A73FA">
      <w:pPr>
        <w:pStyle w:val="Heading1"/>
      </w:pPr>
      <w:bookmarkStart w:id="10" w:name="O_247770"/>
      <w:bookmarkEnd w:id="10"/>
      <w:r w:rsidRPr="002A73FA">
        <w:t>Evidence Guide</w:t>
      </w:r>
    </w:p>
    <w:tbl>
      <w:tblPr>
        <w:tblW w:w="0" w:type="auto"/>
        <w:tblLayout w:type="fixed"/>
        <w:tblCellMar>
          <w:left w:w="62" w:type="dxa"/>
          <w:right w:w="62" w:type="dxa"/>
        </w:tblCellMar>
        <w:tblLook w:val="0000"/>
      </w:tblPr>
      <w:tblGrid>
        <w:gridCol w:w="2160"/>
        <w:gridCol w:w="360"/>
        <w:gridCol w:w="900"/>
        <w:gridCol w:w="360"/>
        <w:gridCol w:w="1620"/>
        <w:gridCol w:w="1497"/>
        <w:gridCol w:w="1563"/>
      </w:tblGrid>
      <w:tr w:rsidTr="00224BF2">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EVIDENCE GUIDE</w:t>
            </w:r>
          </w:p>
        </w:tc>
      </w:tr>
      <w:tr w:rsidTr="00224BF2">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8</w:t>
            </w:r>
            <w:r w:rsidRPr="002A73FA">
              <w:t xml:space="preserve">) The Evidence Guide forms an integral part of this Unit and shall be used in conjunction with </w:t>
            </w:r>
            <w:r w:rsidRPr="002A73FA">
              <w:t>all components parts of this unit and performed in accordance with the Assessment Guidelines of this Training Package.</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8</w:t>
            </w:r>
            <w:r w:rsidRPr="002A73FA">
              <w:t>.</w:t>
            </w:r>
            <w:r w:rsidRPr="002A73FA">
              <w:rPr>
                <w:rStyle w:val="SpecialBold"/>
              </w:rPr>
              <w:t>1</w:t>
            </w:r>
            <w:r w:rsidRPr="002A73FA">
              <w:t xml:space="preserve">) </w:t>
            </w:r>
          </w:p>
          <w:p w:rsidR="00000000" w:rsidRPr="002A73FA" w:rsidP="002A73FA">
            <w:pPr>
              <w:pStyle w:val="BodyText"/>
            </w:pPr>
            <w:r w:rsidRPr="002A73FA">
              <w:t>Longitudinal competency development approaches to assessment, such as Profiling, require data to be reliably gathered in a form that can be consistently interpreted over time. This approach is best utilised in Apprenticeship programs and reduces assessment</w:t>
            </w:r>
            <w:r w:rsidRPr="002A73F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A73FA">
              <w:t>tency in a realistically simulated work environment. It is recognised that, in some circumstances, assessment in part or full can occur outside the workplace. However, it must be in accord with industry and regulatory policy in this regard.</w:t>
            </w:r>
          </w:p>
          <w:p w:rsidR="00000000" w:rsidRPr="002A73FA" w:rsidP="002A73FA">
            <w:pPr>
              <w:pStyle w:val="BodyText"/>
            </w:pPr>
            <w:r w:rsidRPr="002A73FA">
              <w:t xml:space="preserve">Methods chosen </w:t>
            </w:r>
            <w:r w:rsidRPr="002A73FA">
              <w:t>for a particular assessment will be influenced by various factors. These include the extent of the assessment, the most effective locations for the assessment activities to take place, access to physical resources, additional safety measures that may be re</w:t>
            </w:r>
            <w:r w:rsidRPr="002A73FA">
              <w:t>quired and the critical nature of the competencies being assessed.</w:t>
            </w:r>
          </w:p>
          <w:p w:rsidR="00000000" w:rsidRPr="002A73FA" w:rsidP="002A73FA">
            <w:pPr>
              <w:pStyle w:val="BodyText"/>
            </w:pPr>
            <w:r w:rsidRPr="002A73FA">
              <w:t>The critical safety nature of working with electricity, electrical equipment, gas or any other hazardous substance/material carries risk in deeming a person competent. Hence, sources of evi</w:t>
            </w:r>
            <w:r w:rsidRPr="002A73FA">
              <w:t>dence need to be 'rich' in nature so as to minimise error in judgment.</w:t>
            </w:r>
          </w:p>
          <w:p w:rsidR="00000000" w:rsidP="002A73FA">
            <w:pPr>
              <w:pStyle w:val="BodyText"/>
              <w:rPr>
                <w:lang w:val="en-NZ"/>
              </w:rPr>
            </w:pPr>
            <w:r w:rsidRPr="002A73FA">
              <w:t>Activities associated with normal every day work have a bearing on the decision as to how much and how detailed the data gathered will contribute to its 'richness'. Some skills are more</w:t>
            </w:r>
            <w:r w:rsidRPr="002A73FA">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2A73FA">
              <w:t>nt instruments are included in the Assessment Guidelines of this Training Package.</w:t>
            </w:r>
          </w:p>
        </w:tc>
      </w:tr>
      <w:tr w:rsidTr="00224BF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 xml:space="preserve">Critical aspects of evidence required to demonstrate </w:t>
            </w:r>
            <w:r w:rsidRPr="002A73FA">
              <w:rPr>
                <w:rStyle w:val="SpecialBold"/>
              </w:rPr>
              <w:t>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8</w:t>
            </w:r>
            <w:r w:rsidRPr="002A73FA">
              <w:t>.</w:t>
            </w:r>
            <w:r w:rsidRPr="002A73FA">
              <w:rPr>
                <w:rStyle w:val="SpecialBold"/>
              </w:rPr>
              <w:t>2</w:t>
            </w:r>
            <w:r w:rsidRPr="002A73FA">
              <w:t xml:space="preserve">) </w:t>
            </w:r>
          </w:p>
          <w:p w:rsidR="00000000" w:rsidP="002A73FA">
            <w:pPr>
              <w:pStyle w:val="BodyText"/>
              <w:rPr>
                <w:lang w:val="en-NZ"/>
              </w:rPr>
            </w:pPr>
            <w:r w:rsidRPr="002A73FA">
              <w:t>Before the critical aspects of evidence are considered all prerequisites shall be met.</w:t>
            </w:r>
          </w:p>
        </w:tc>
      </w:tr>
      <w:tr w:rsidTr="00224BF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t>Evidence for competence in this unit shall be considered holistically. Each element and associated Performance Criteria shall be demonstrated on at least two occa</w:t>
            </w:r>
            <w:r w:rsidRPr="002A73FA">
              <w:t>sions in accordance with the 'Assessment Guidelines  UEG06'. Evidence shall also comprise:</w:t>
            </w:r>
          </w:p>
          <w:p w:rsidR="00000000" w:rsidP="002A73FA">
            <w:pPr>
              <w:pStyle w:val="ListBullet"/>
              <w:rPr>
                <w:lang w:val="en-NZ"/>
              </w:rPr>
            </w:pPr>
            <w:r w:rsidRPr="002A73FA">
              <w:t>A representative body of Performance Criteria demonstrated within the timeframes typically expected of the discipline, work function and industrial environment. In p</w:t>
            </w:r>
            <w:r w:rsidRPr="002A73FA">
              <w:t>articular this shall incorporate evidence that shows a candidate is able to:</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2A73FA" w:rsidP="002A73FA">
            <w:pPr>
              <w:pStyle w:val="ListBullet2"/>
            </w:pPr>
            <w:r w:rsidRPr="002A73FA">
              <w:t>Implement Occupational Health and Safety workplace procedures and practices including the use of risk control measures as specified in the Performance Criteria and range</w:t>
            </w:r>
          </w:p>
          <w:p w:rsidR="00000000" w:rsidRPr="002A73FA" w:rsidP="002A73FA">
            <w:pPr>
              <w:pStyle w:val="ListBullet2"/>
            </w:pPr>
            <w:r w:rsidRPr="002A73FA">
              <w:t>Apply sustainable energy principles and practices as specified in the Performance Criteria and range</w:t>
            </w:r>
          </w:p>
          <w:p w:rsidR="00000000" w:rsidRPr="002A73FA" w:rsidP="002A73FA">
            <w:pPr>
              <w:pStyle w:val="ListBullet2"/>
            </w:pPr>
            <w:r w:rsidRPr="002A73FA">
              <w:t>Demonstrate an understanding of the essential knowledge and associated skills as described in this unit to such an extent that the learner's performance ou</w:t>
            </w:r>
            <w:r w:rsidRPr="002A73FA">
              <w:t>tcome is reported in accordance with the preferred approach; namely a percentile graded result, where required by the regulated environment</w:t>
            </w:r>
          </w:p>
          <w:p w:rsidR="00000000" w:rsidRPr="002A73FA" w:rsidP="002A73FA">
            <w:pPr>
              <w:pStyle w:val="ListBullet2"/>
            </w:pPr>
            <w:r w:rsidRPr="002A73FA">
              <w:t>Demonstrate an appropriate level of skills enabling employment</w:t>
            </w:r>
          </w:p>
          <w:p w:rsidR="00000000" w:rsidP="002A73FA">
            <w:pPr>
              <w:pStyle w:val="ListBullet2"/>
              <w:rPr>
                <w:lang w:val="en-NZ"/>
              </w:rPr>
            </w:pPr>
            <w:r w:rsidRPr="002A73FA">
              <w:t>Conduct work observing the relevant Anti discrimination legislation, regulations, polices and workplace procedures</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A73FA">
            <w:pPr>
              <w:pStyle w:val="ListBullet"/>
              <w:rPr>
                <w:lang w:val="en-NZ"/>
              </w:rPr>
            </w:pPr>
            <w:r w:rsidRPr="002A73FA">
              <w:t>Demonstrate performance across a representative range of contexts from the prescribed items below:</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A73FA">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rPr>
                <w:rStyle w:val="SpecialBold"/>
              </w:rPr>
              <w:t>Range of tools</w:t>
            </w:r>
            <w:r w:rsidRPr="002A73FA">
              <w:t>/</w:t>
            </w:r>
            <w:r w:rsidRPr="002A73FA">
              <w:rPr>
                <w:rStyle w:val="SpecialBold"/>
              </w:rPr>
              <w:t>equipment</w:t>
            </w:r>
            <w:r w:rsidRPr="002A73FA">
              <w:t>/</w:t>
            </w:r>
            <w:r w:rsidRPr="002A73FA">
              <w:rPr>
                <w:rStyle w:val="SpecialBold"/>
              </w:rPr>
              <w:t>procedures</w:t>
            </w:r>
            <w:r w:rsidRPr="002A73FA">
              <w:t>/</w:t>
            </w:r>
            <w:r w:rsidRPr="002A73FA">
              <w:rPr>
                <w:rStyle w:val="SpecialBold"/>
              </w:rPr>
              <w:t>workplace</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A73FA">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r w:rsidRPr="002A73FA">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r w:rsidRPr="002A73FA">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rPr>
                <w:rStyle w:val="SpecialBold"/>
              </w:rPr>
              <w:t>Item List</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Occupational Health and Safety policies and procedures followed</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At least 6</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r w:rsidRPr="002A73FA">
              <w:t>Tools and equipment:</w:t>
            </w:r>
          </w:p>
          <w:p w:rsidR="00000000" w:rsidRPr="002A73FA" w:rsidP="002A73FA">
            <w:pPr>
              <w:pStyle w:val="BodyText"/>
            </w:pPr>
            <w:r w:rsidRPr="002A73FA">
              <w:t>General concrete mixer</w:t>
            </w:r>
          </w:p>
          <w:p w:rsidR="00000000" w:rsidRPr="002A73FA" w:rsidP="002A73FA">
            <w:pPr>
              <w:pStyle w:val="BodyText"/>
            </w:pPr>
            <w:r w:rsidRPr="002A73FA">
              <w:t>General vacuum cleaner</w:t>
            </w:r>
          </w:p>
          <w:p w:rsidR="00000000" w:rsidRPr="002A73FA" w:rsidP="002A73FA">
            <w:pPr>
              <w:pStyle w:val="BodyText"/>
            </w:pPr>
            <w:r w:rsidRPr="002A73FA">
              <w:t>General trolley</w:t>
            </w:r>
          </w:p>
          <w:p w:rsidR="00000000" w:rsidRPr="002A73FA" w:rsidP="002A73FA">
            <w:pPr>
              <w:pStyle w:val="BodyText"/>
            </w:pPr>
            <w:r w:rsidRPr="002A73FA">
              <w:t>Non pressurised pumps and hoses</w:t>
            </w:r>
          </w:p>
          <w:p w:rsidR="00000000" w:rsidRPr="002A73FA" w:rsidP="002A73FA">
            <w:pPr>
              <w:pStyle w:val="BodyText"/>
            </w:pPr>
            <w:r w:rsidRPr="002A73FA">
              <w:t>Wheelbarrows</w:t>
            </w:r>
          </w:p>
          <w:p w:rsidR="00000000" w:rsidRPr="002A73FA" w:rsidP="002A73FA">
            <w:pPr>
              <w:pStyle w:val="BodyText"/>
            </w:pPr>
            <w:r w:rsidRPr="002A73FA">
              <w:t>Traffic barriers</w:t>
            </w:r>
          </w:p>
          <w:p w:rsidR="00000000" w:rsidRPr="002A73FA" w:rsidP="002A73FA">
            <w:pPr>
              <w:pStyle w:val="BodyText"/>
            </w:pPr>
            <w:r w:rsidRPr="002A73FA">
              <w:t>Extra low voltage lighting equipment</w:t>
            </w:r>
          </w:p>
          <w:p w:rsidR="00000000" w:rsidP="002A73FA">
            <w:pPr>
              <w:pStyle w:val="BodyText"/>
              <w:rPr>
                <w:lang w:val="en-NZ"/>
              </w:rPr>
            </w:pPr>
            <w:r w:rsidRPr="002A73FA">
              <w:t>Hand held tools</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Utilities industries calculations</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r w:rsidRPr="002A73FA">
              <w:t>Read and interpret workplace documents</w:t>
            </w:r>
          </w:p>
          <w:p w:rsidR="00000000" w:rsidP="002A73FA">
            <w:pPr>
              <w:pStyle w:val="BodyText"/>
              <w:rPr>
                <w:lang w:val="en-NZ"/>
              </w:rPr>
            </w:pPr>
            <w:r w:rsidRPr="002A73FA">
              <w:t>Communicate in a team environment</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E</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Deal with an unplanned event by drawing on essential knowledge and associated skills to provide appropriate solutions incorporated in the holistic assessment with the above listed items</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Conte</w:t>
            </w:r>
            <w:r w:rsidRPr="002A73FA">
              <w:rPr>
                <w:rStyle w:val="SpecialBold"/>
              </w:rPr>
              <w:t>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8</w:t>
            </w:r>
            <w:r w:rsidRPr="002A73FA">
              <w:t>.</w:t>
            </w:r>
            <w:r w:rsidRPr="002A73FA">
              <w:rPr>
                <w:rStyle w:val="SpecialBold"/>
              </w:rPr>
              <w:t>3</w:t>
            </w:r>
            <w:r w:rsidRPr="002A73FA">
              <w:t xml:space="preserve">) </w:t>
            </w:r>
          </w:p>
          <w:p w:rsidR="00000000" w:rsidRPr="002A73FA" w:rsidP="002A73FA">
            <w:pPr>
              <w:pStyle w:val="BodyText"/>
            </w:pPr>
            <w:r w:rsidRPr="002A73FA">
              <w:t>This unit should be assessed as it relates to normal work practice using procedures, information and resources typical of a workplace. This should include:</w:t>
            </w:r>
          </w:p>
          <w:p w:rsidR="00000000" w:rsidRPr="002A73FA" w:rsidP="002A73FA">
            <w:pPr>
              <w:pStyle w:val="ListBullet"/>
            </w:pPr>
            <w:r w:rsidRPr="002A73FA">
              <w:t>OHS policy and work procedures and instructions.</w:t>
            </w:r>
          </w:p>
          <w:p w:rsidR="00000000" w:rsidRPr="002A73FA" w:rsidP="002A73FA">
            <w:pPr>
              <w:pStyle w:val="ListBullet"/>
            </w:pPr>
            <w:r w:rsidRPr="002A73FA">
              <w:t>Suitable work environment, facilities, equipment and materials to undertake actual work as prescribed by this Unit.</w:t>
            </w:r>
          </w:p>
          <w:p w:rsidR="00000000" w:rsidRPr="002A73FA" w:rsidP="002A73FA">
            <w:pPr>
              <w:pStyle w:val="ListBullet"/>
            </w:pPr>
            <w:r w:rsidRPr="002A73FA">
              <w:t>Appropriate environmental regulation and work practices.</w:t>
            </w:r>
          </w:p>
          <w:p w:rsidR="00000000" w:rsidRPr="002A73FA" w:rsidP="002A73FA">
            <w:pPr>
              <w:pStyle w:val="ListBullet"/>
            </w:pPr>
            <w:r w:rsidRPr="002A73FA">
              <w:t>Appropriate organisational requirements.</w:t>
            </w:r>
          </w:p>
          <w:p w:rsidR="00000000" w:rsidP="002A73FA">
            <w:pPr>
              <w:pStyle w:val="ListBullet"/>
              <w:rPr>
                <w:lang w:val="en-NZ"/>
              </w:rPr>
            </w:pPr>
            <w:r w:rsidRPr="002A73FA">
              <w:t>Appropriate work environment, equipment an</w:t>
            </w:r>
            <w:r w:rsidRPr="002A73FA">
              <w:t>d tools.</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In addition to the resources listed above in Context of and specific resources for assessment, evidence should show demonstrated competency in using equipment and tools to perform work in a utilities industry work environment.</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Assessment of this competency must also be undertaken in either an actual workplace or under a simulated work environment. Assessment must also integrate the key competencies.</w:t>
            </w:r>
          </w:p>
        </w:tc>
      </w:tr>
      <w:tr w:rsidTr="00224BF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8</w:t>
            </w:r>
            <w:r w:rsidRPr="002A73FA">
              <w:t>.</w:t>
            </w:r>
            <w:r w:rsidRPr="002A73FA">
              <w:rPr>
                <w:rStyle w:val="SpecialBold"/>
              </w:rPr>
              <w:t>4</w:t>
            </w:r>
            <w:r w:rsidRPr="002A73FA">
              <w:t xml:space="preserve">) </w:t>
            </w:r>
          </w:p>
          <w:p w:rsidR="00000000" w:rsidRPr="002A73FA" w:rsidP="002A73FA">
            <w:pPr>
              <w:pStyle w:val="BodyText"/>
            </w:pPr>
            <w:r w:rsidRPr="002A73FA">
              <w:t>This Unit shall be assessed by methods given in</w:t>
            </w:r>
            <w:r w:rsidRPr="002A73FA">
              <w:t xml:space="preserve"> Volume 1, Part 3 'Assessment Guidelines'.</w:t>
            </w:r>
          </w:p>
          <w:p w:rsidR="00000000" w:rsidP="002A73FA">
            <w:pPr>
              <w:pStyle w:val="BodyText"/>
              <w:rPr>
                <w:lang w:val="en-NZ"/>
              </w:rPr>
            </w:pPr>
            <w:r w:rsidRPr="002A73FA">
              <w:rPr>
                <w:rStyle w:val="SpecialBold"/>
              </w:rPr>
              <w:t>Note</w:t>
            </w:r>
            <w:r w:rsidRPr="002A73FA">
              <w:t xml:space="preserve">: Competent performance with inherent safe working practices is expected in the Industry to which this Unit applies. This requires that the specified Essential Knowledge and Associated </w:t>
            </w:r>
            <w:r w:rsidRPr="002A73FA">
              <w:t>Skills are assessed in a structured environment which is primarily intended for learning/assessment and incorporates all necessary equipment and facilities for learners to develop and demonstrate the Essential Knowledge and Associated Skills described in t</w:t>
            </w:r>
            <w:r w:rsidRPr="002A73FA">
              <w:t>his unit.</w:t>
            </w:r>
          </w:p>
        </w:tc>
      </w:tr>
      <w:tr w:rsidTr="00224BF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8</w:t>
            </w:r>
            <w:r w:rsidRPr="002A73FA">
              <w:t>.</w:t>
            </w:r>
            <w:r w:rsidRPr="002A73FA">
              <w:rPr>
                <w:rStyle w:val="SpecialBold"/>
              </w:rPr>
              <w:t>5</w:t>
            </w:r>
            <w:r w:rsidRPr="002A73FA">
              <w:t xml:space="preserve">) </w:t>
            </w:r>
          </w:p>
        </w:tc>
      </w:tr>
      <w:tr w:rsidTr="00224BF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 xml:space="preserve">There are no recommended concurrent assessments with this unit, however in some cases efficiencies may be gained in terms of learning and assessment </w:t>
            </w:r>
            <w:r w:rsidRPr="002A73FA">
              <w:t>effort being concurrently managed with allied Units where listed.</w:t>
            </w:r>
          </w:p>
        </w:tc>
      </w:tr>
      <w:tr w:rsidTr="00224BF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UEGNSG102A</w:t>
            </w:r>
          </w:p>
        </w:tc>
        <w:tc>
          <w:tcPr>
            <w:tcW w:w="4680" w:type="dxa"/>
            <w:gridSpan w:val="3"/>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Carry out work activities in a utilities industry work environment</w:t>
            </w:r>
          </w:p>
        </w:tc>
      </w:tr>
      <w:tr w:rsidTr="00224BF2">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A73FA" w:rsidP="002A73FA">
            <w:pPr>
              <w:pStyle w:val="BodyText"/>
            </w:pPr>
            <w:r w:rsidRPr="002A73FA">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8</w:t>
            </w:r>
            <w:r w:rsidRPr="002A73FA">
              <w:t>.</w:t>
            </w:r>
            <w:r w:rsidRPr="002A73FA">
              <w:rPr>
                <w:rStyle w:val="SpecialBold"/>
              </w:rPr>
              <w:t>6</w:t>
            </w:r>
            <w:r w:rsidRPr="002A73FA">
              <w:t xml:space="preserve">) </w:t>
            </w:r>
          </w:p>
          <w:p w:rsidR="00000000" w:rsidP="002A73FA">
            <w:pPr>
              <w:pStyle w:val="BodyText"/>
              <w:rPr>
                <w:lang w:val="en-NZ"/>
              </w:rPr>
            </w:pPr>
            <w:r w:rsidRPr="002A73FA">
              <w:t>Evidence that particular key competencies have been achieved within this Unit is in the context of the following Performance Criteria of evidence. See Volume 2, Part 4 for an explanation of Key Competencies and levels of this Training Package.</w:t>
            </w:r>
          </w:p>
        </w:tc>
      </w:tr>
      <w:tr w:rsidTr="00224BF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r w:rsidRPr="002A73FA">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r w:rsidRPr="002A73F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rPr>
                <w:rStyle w:val="SpecialBold"/>
              </w:rPr>
              <w:t>Performance Level</w:t>
            </w:r>
          </w:p>
        </w:tc>
      </w:tr>
      <w:tr w:rsidTr="00224BF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p>
          <w:p w:rsidR="00000000" w:rsidP="002A73FA">
            <w:pPr>
              <w:pStyle w:val="BodyText"/>
              <w:rPr>
                <w:lang w:val="en-NZ"/>
              </w:rPr>
            </w:pPr>
            <w:r w:rsidRPr="002A73FA">
              <w:t>1</w:t>
            </w:r>
          </w:p>
        </w:tc>
      </w:tr>
      <w:tr w:rsidTr="00224BF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1.2; 1.4; 2.3;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p>
        </w:tc>
      </w:tr>
      <w:tr w:rsidTr="00224BF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p>
          <w:p w:rsidR="00000000" w:rsidP="002A73FA">
            <w:pPr>
              <w:pStyle w:val="BodyText"/>
              <w:rPr>
                <w:lang w:val="en-NZ"/>
              </w:rPr>
            </w:pPr>
            <w:r w:rsidRPr="002A73FA">
              <w:t>1</w:t>
            </w:r>
          </w:p>
        </w:tc>
      </w:tr>
      <w:tr w:rsidTr="00224BF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1.1; 2.1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p>
        </w:tc>
      </w:tr>
      <w:tr w:rsidTr="00224BF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p>
          <w:p w:rsidR="00000000" w:rsidP="002A73FA">
            <w:pPr>
              <w:pStyle w:val="BodyText"/>
              <w:rPr>
                <w:lang w:val="en-NZ"/>
              </w:rPr>
            </w:pPr>
            <w:r w:rsidRPr="002A73FA">
              <w:t>1</w:t>
            </w:r>
          </w:p>
        </w:tc>
      </w:tr>
      <w:tr w:rsidTr="00224BF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1.3; 1.5; 1.6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p>
        </w:tc>
      </w:tr>
      <w:tr w:rsidTr="00224BF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p>
          <w:p w:rsidR="00000000" w:rsidP="002A73FA">
            <w:pPr>
              <w:pStyle w:val="BodyText"/>
              <w:rPr>
                <w:lang w:val="en-NZ"/>
              </w:rPr>
            </w:pPr>
            <w:r w:rsidRPr="002A73FA">
              <w:t>1</w:t>
            </w:r>
          </w:p>
        </w:tc>
      </w:tr>
      <w:tr w:rsidTr="00224BF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1.4; 2.3;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p>
        </w:tc>
      </w:tr>
      <w:tr w:rsidTr="00224BF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p>
          <w:p w:rsidR="00000000" w:rsidP="002A73FA">
            <w:pPr>
              <w:pStyle w:val="BodyText"/>
              <w:rPr>
                <w:lang w:val="en-NZ"/>
              </w:rPr>
            </w:pPr>
            <w:r w:rsidRPr="002A73FA">
              <w:t>N/A</w:t>
            </w:r>
          </w:p>
        </w:tc>
      </w:tr>
      <w:tr w:rsidTr="00224BF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p>
        </w:tc>
      </w:tr>
      <w:tr w:rsidTr="00224BF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p>
          <w:p w:rsidR="00000000" w:rsidP="002A73FA">
            <w:pPr>
              <w:pStyle w:val="BodyText"/>
              <w:rPr>
                <w:lang w:val="en-NZ"/>
              </w:rPr>
            </w:pPr>
            <w:r w:rsidRPr="002A73FA">
              <w:t>N/A</w:t>
            </w:r>
          </w:p>
        </w:tc>
      </w:tr>
      <w:tr w:rsidTr="00224BF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p>
        </w:tc>
      </w:tr>
    </w:tbl>
    <w:p w:rsidR="00000000" w:rsidRPr="002A73FA" w:rsidP="002A73FA">
      <w:pPr>
        <w:pStyle w:val="BodyText"/>
      </w:pPr>
    </w:p>
    <w:tbl>
      <w:tblPr>
        <w:tblW w:w="0" w:type="auto"/>
        <w:tblLayout w:type="fixed"/>
        <w:tblCellMar>
          <w:left w:w="62" w:type="dxa"/>
          <w:right w:w="62" w:type="dxa"/>
        </w:tblCellMar>
        <w:tblLook w:val="0000"/>
      </w:tblPr>
      <w:tblGrid>
        <w:gridCol w:w="326"/>
        <w:gridCol w:w="1834"/>
        <w:gridCol w:w="4737"/>
        <w:gridCol w:w="1563"/>
      </w:tblGrid>
      <w:tr w:rsidTr="00224BF2">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p>
          <w:p w:rsidR="00000000" w:rsidP="002A73FA">
            <w:pPr>
              <w:pStyle w:val="BodyText"/>
              <w:rPr>
                <w:lang w:val="en-NZ"/>
              </w:rPr>
            </w:pPr>
            <w:r w:rsidRPr="002A73FA">
              <w:t>N/A</w:t>
            </w:r>
          </w:p>
        </w:tc>
      </w:tr>
      <w:tr w:rsidTr="00224BF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p>
        </w:tc>
      </w:tr>
      <w:tr w:rsidTr="00224BF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A73FA">
            <w:pPr>
              <w:pStyle w:val="BodyText"/>
              <w:rPr>
                <w:lang w:val="en-NZ"/>
              </w:rPr>
            </w:pPr>
          </w:p>
        </w:tc>
      </w:tr>
      <w:tr w:rsidTr="00224BF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A73FA" w:rsidP="002A73FA">
            <w:pPr>
              <w:pStyle w:val="BodyText"/>
            </w:pPr>
            <w:r w:rsidRPr="002A73FA">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A73FA" w:rsidP="002A73FA">
            <w:pPr>
              <w:pStyle w:val="BodyText"/>
            </w:pPr>
            <w:r w:rsidRPr="002A73FA">
              <w:rPr>
                <w:rStyle w:val="SpecialBold"/>
              </w:rPr>
              <w:t>8</w:t>
            </w:r>
            <w:r w:rsidRPr="002A73FA">
              <w:t>.</w:t>
            </w:r>
            <w:r w:rsidRPr="002A73FA">
              <w:rPr>
                <w:rStyle w:val="SpecialBold"/>
              </w:rPr>
              <w:t>7</w:t>
            </w:r>
            <w:r w:rsidRPr="002A73FA">
              <w:t xml:space="preserve">) </w:t>
            </w:r>
          </w:p>
          <w:p w:rsidR="00000000" w:rsidP="002A73FA">
            <w:pPr>
              <w:pStyle w:val="BodyText"/>
              <w:rPr>
                <w:lang w:val="en-NZ"/>
              </w:rPr>
            </w:pPr>
            <w:r w:rsidRPr="002A73FA">
              <w:t>Evidence that competency in this unit incorporates sk</w:t>
            </w:r>
            <w:r w:rsidRPr="002A73FA">
              <w:t>ills enabling employment is in the context of the following performance.</w:t>
            </w:r>
          </w:p>
        </w:tc>
      </w:tr>
      <w:tr w:rsidTr="00224BF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r w:rsidRPr="002A73FA">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rPr>
                <w:rStyle w:val="SpecialBold"/>
              </w:rPr>
              <w:t>Example of Application</w:t>
            </w:r>
          </w:p>
        </w:tc>
      </w:tr>
      <w:tr w:rsidTr="00224B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r>
      <w:tr w:rsidTr="00224B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All</w:t>
            </w:r>
          </w:p>
        </w:tc>
      </w:tr>
      <w:tr w:rsidTr="00224B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r>
      <w:tr w:rsidTr="00224B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1.1</w:t>
            </w:r>
          </w:p>
        </w:tc>
      </w:tr>
      <w:tr w:rsidTr="00224B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r>
      <w:tr w:rsidTr="00224B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2.4; 3.5</w:t>
            </w:r>
          </w:p>
        </w:tc>
      </w:tr>
      <w:tr w:rsidTr="00224B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r>
      <w:tr w:rsidTr="00224B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1.4; 2.3; 3.2</w:t>
            </w:r>
          </w:p>
        </w:tc>
      </w:tr>
      <w:tr w:rsidTr="00224B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r>
      <w:tr w:rsidTr="00224B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1.3; 1.5; 1.6</w:t>
            </w:r>
          </w:p>
        </w:tc>
      </w:tr>
      <w:tr w:rsidTr="00224BF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FA">
            <w:pPr>
              <w:pStyle w:val="BodyText"/>
              <w:rPr>
                <w:lang w:val="en-NZ"/>
              </w:rPr>
            </w:pPr>
            <w:r w:rsidRPr="002A73FA">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FA">
            <w:pPr>
              <w:pStyle w:val="BodyText"/>
              <w:rPr>
                <w:lang w:val="en-NZ"/>
              </w:rPr>
            </w:pPr>
            <w:r w:rsidRPr="002A73FA">
              <w:t>Refer to the following Performance Criteria for examples of application:</w:t>
            </w:r>
          </w:p>
        </w:tc>
      </w:tr>
      <w:tr w:rsidTr="00224BF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A73FA" w:rsidP="002A73FA">
            <w:pPr>
              <w:pStyle w:val="BodyText"/>
            </w:pPr>
            <w:r w:rsidRPr="002A73FA">
              <w:t>2.3</w:t>
            </w:r>
          </w:p>
        </w:tc>
      </w:tr>
    </w:tbl>
    <w:p w:rsidR="00224BF2" w:rsidP="002A73FA">
      <w:pPr>
        <w:pStyle w:val="BodyText"/>
      </w:pPr>
    </w:p>
    <w:p w:rsidR="00224BF2" w:rsidP="002A73FA">
      <w:pPr>
        <w:pStyle w:val="BodyText"/>
      </w:pPr>
    </w:p>
    <w:p w:rsidR="00000000" w:rsidRPr="002A73FA" w:rsidP="002A73FA">
      <w:pPr>
        <w:pStyle w:val="Heading1"/>
      </w:pPr>
      <w:bookmarkStart w:id="11" w:name="O_255754"/>
      <w:bookmarkEnd w:id="11"/>
      <w:r w:rsidRPr="002A73FA">
        <w:t>Range Statement</w:t>
      </w:r>
    </w:p>
    <w:tbl>
      <w:tblPr>
        <w:tblW w:w="0" w:type="auto"/>
        <w:tblLayout w:type="fixed"/>
        <w:tblCellMar>
          <w:left w:w="62" w:type="dxa"/>
          <w:right w:w="62" w:type="dxa"/>
        </w:tblCellMar>
        <w:tblLook w:val="0000"/>
      </w:tblPr>
      <w:tblGrid>
        <w:gridCol w:w="8460"/>
      </w:tblGrid>
      <w:tr w:rsidTr="00224B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RANGE STATEMENT</w:t>
            </w:r>
          </w:p>
        </w:tc>
      </w:tr>
      <w:tr w:rsidTr="00224B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7</w:t>
            </w:r>
            <w:r w:rsidRPr="002A73FA">
              <w:t>) This relates to the competency standard unit as a whole providing the range of contexts and conditions to which the Performance Criteria apply. It allows for different work environments and situations tha</w:t>
            </w:r>
            <w:r w:rsidRPr="002A73FA">
              <w:t>t will affect performance.</w:t>
            </w:r>
          </w:p>
        </w:tc>
      </w:tr>
      <w:tr w:rsidTr="00224B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t xml:space="preserve">This Unit shall/may be demonstrated in relation to basic use of equipment and tools to perform work in a utilities industry work environment. </w:t>
            </w:r>
          </w:p>
          <w:p w:rsidR="00000000" w:rsidRPr="002A73FA" w:rsidP="002A73FA">
            <w:pPr>
              <w:pStyle w:val="BodyText"/>
            </w:pPr>
            <w:r w:rsidRPr="002A73FA">
              <w:t>The following constants and variables included in the element/Performance Criteria in</w:t>
            </w:r>
            <w:r w:rsidRPr="002A73FA">
              <w:t xml:space="preserve"> this unit are fully described in the Definitions Section of this volume and form an integral part of the Range Statement of this unit: </w:t>
            </w:r>
          </w:p>
          <w:p w:rsidR="00000000" w:rsidRPr="002A73FA" w:rsidP="002A73FA">
            <w:pPr>
              <w:pStyle w:val="BodyText"/>
            </w:pPr>
            <w:r w:rsidRPr="002A73FA">
              <w:tab/>
              <w:t xml:space="preserve">OHS policies and procedures </w:t>
            </w:r>
          </w:p>
          <w:p w:rsidR="00000000" w:rsidRPr="002A73FA" w:rsidP="002A73FA">
            <w:pPr>
              <w:pStyle w:val="BodyText"/>
            </w:pPr>
            <w:r w:rsidRPr="002A73FA">
              <w:tab/>
              <w:t>Tools and equipment (1)</w:t>
            </w:r>
          </w:p>
          <w:p w:rsidR="00000000" w:rsidRPr="002A73FA" w:rsidP="002A73FA">
            <w:pPr>
              <w:pStyle w:val="BodyText"/>
            </w:pPr>
            <w:r w:rsidRPr="002A73FA">
              <w:tab/>
              <w:t>Appropriate persons (1)</w:t>
            </w:r>
          </w:p>
          <w:p w:rsidR="00000000" w:rsidRPr="002A73FA" w:rsidP="002A73FA">
            <w:pPr>
              <w:pStyle w:val="BodyText"/>
            </w:pPr>
            <w:r w:rsidRPr="002A73FA">
              <w:tab/>
              <w:t>Established procedures and requirement</w:t>
            </w:r>
            <w:r w:rsidRPr="002A73FA">
              <w:t xml:space="preserve">s </w:t>
            </w:r>
          </w:p>
          <w:p w:rsidR="00000000" w:rsidRPr="002A73FA" w:rsidP="002A73FA">
            <w:pPr>
              <w:pStyle w:val="BodyText"/>
            </w:pPr>
            <w:r w:rsidRPr="002A73FA">
              <w:tab/>
              <w:t xml:space="preserve">Legislation </w:t>
            </w:r>
          </w:p>
          <w:p w:rsidR="00000000" w:rsidRPr="002A73FA" w:rsidP="002A73FA">
            <w:pPr>
              <w:pStyle w:val="BodyText"/>
            </w:pPr>
            <w:r w:rsidRPr="002A73FA">
              <w:tab/>
              <w:t xml:space="preserve">Safety Equipment </w:t>
            </w:r>
          </w:p>
          <w:p w:rsidR="00000000" w:rsidRPr="002A73FA" w:rsidP="002A73FA">
            <w:pPr>
              <w:pStyle w:val="BodyText"/>
            </w:pPr>
            <w:r w:rsidRPr="002A73FA">
              <w:tab/>
              <w:t>Personal Protective Equipment</w:t>
            </w:r>
          </w:p>
          <w:p w:rsidR="00000000" w:rsidRPr="002A73FA" w:rsidP="002A73FA">
            <w:pPr>
              <w:pStyle w:val="BodyText"/>
            </w:pPr>
            <w:r w:rsidRPr="002A73FA">
              <w:tab/>
              <w:t>Emergency and Hazardous Work Situations</w:t>
            </w:r>
          </w:p>
        </w:tc>
      </w:tr>
    </w:tbl>
    <w:p w:rsidR="00224BF2" w:rsidP="002A73FA">
      <w:pPr>
        <w:pStyle w:val="BodyText"/>
      </w:pPr>
    </w:p>
    <w:p w:rsidR="00224BF2" w:rsidP="002A73FA">
      <w:pPr>
        <w:pStyle w:val="BodyText"/>
      </w:pPr>
    </w:p>
    <w:p w:rsidR="00000000" w:rsidRPr="002A73FA" w:rsidP="002A73FA">
      <w:pPr>
        <w:pStyle w:val="Heading1"/>
      </w:pPr>
      <w:bookmarkStart w:id="12" w:name="O_296767"/>
      <w:bookmarkEnd w:id="12"/>
      <w:r w:rsidRPr="002A73FA">
        <w:t>Unit Sector(s)</w:t>
      </w:r>
    </w:p>
    <w:p w:rsidR="00000000" w:rsidRPr="002A73FA" w:rsidP="002A73FA">
      <w:pPr>
        <w:pStyle w:val="BodyText"/>
      </w:pPr>
      <w:r w:rsidRPr="002A73FA">
        <w:t>Not Applicable</w:t>
      </w:r>
    </w:p>
    <w:p w:rsidR="00000000" w:rsidRPr="002A73FA" w:rsidP="002A73FA">
      <w:pPr>
        <w:pStyle w:val="AllowPageBreak"/>
      </w:pPr>
    </w:p>
    <w:p w:rsidR="00000000" w:rsidRPr="002A73FA" w:rsidP="002A73FA">
      <w:pPr>
        <w:pStyle w:val="Heading1"/>
      </w:pPr>
      <w:bookmarkStart w:id="13" w:name="O_229265"/>
      <w:bookmarkEnd w:id="13"/>
      <w:r w:rsidRPr="002A73F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24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2</w:t>
            </w:r>
            <w:r w:rsidRPr="002A73FA">
              <w:t>.</w:t>
            </w:r>
            <w:r w:rsidRPr="002A73FA">
              <w:rPr>
                <w:rStyle w:val="SpecialBold"/>
              </w:rPr>
              <w:t>2</w:t>
            </w:r>
            <w:r w:rsidRPr="002A73FA">
              <w:t xml:space="preserve">) </w:t>
            </w:r>
          </w:p>
          <w:p w:rsidR="00000000" w:rsidP="002A73FA">
            <w:pPr>
              <w:pStyle w:val="BodyText"/>
              <w:rPr>
                <w:lang w:val="en-NZ"/>
              </w:rPr>
            </w:pPr>
            <w:r w:rsidRPr="002A73FA">
              <w:t>Participants are best equipped to achieve this unit if they have reading, writing and numeracy skills indicated by the following scales. Description of each scale is given in Volume 2, Part 3 'Literacy and Numeracy'</w:t>
            </w:r>
          </w:p>
        </w:tc>
      </w:tr>
      <w:tr w:rsidTr="00224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Reading</w:t>
            </w:r>
          </w:p>
        </w:tc>
        <w:tc>
          <w:tcPr>
            <w:tcW w:w="805"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3</w:t>
            </w:r>
          </w:p>
        </w:tc>
        <w:tc>
          <w:tcPr>
            <w:tcW w:w="1184"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Writing</w:t>
            </w:r>
          </w:p>
        </w:tc>
        <w:tc>
          <w:tcPr>
            <w:tcW w:w="805"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3</w:t>
            </w:r>
          </w:p>
        </w:tc>
        <w:tc>
          <w:tcPr>
            <w:tcW w:w="1172"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t>Numeracy</w:t>
            </w:r>
          </w:p>
        </w:tc>
        <w:tc>
          <w:tcPr>
            <w:tcW w:w="805"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t>3</w:t>
            </w:r>
          </w:p>
        </w:tc>
      </w:tr>
    </w:tbl>
    <w:p w:rsidR="00224BF2" w:rsidP="002A73FA">
      <w:pPr>
        <w:pStyle w:val="BodyText"/>
      </w:pPr>
    </w:p>
    <w:p w:rsidR="00224BF2" w:rsidP="002A73FA">
      <w:pPr>
        <w:pStyle w:val="BodyText"/>
      </w:pPr>
    </w:p>
    <w:p w:rsidR="00000000" w:rsidRPr="002A73FA" w:rsidP="002A73FA">
      <w:pPr>
        <w:pStyle w:val="Heading1"/>
      </w:pPr>
      <w:bookmarkStart w:id="14" w:name="O_229268"/>
      <w:bookmarkEnd w:id="14"/>
      <w:r w:rsidRPr="002A73FA">
        <w:t>Competency Field</w:t>
      </w:r>
    </w:p>
    <w:tbl>
      <w:tblPr>
        <w:tblW w:w="0" w:type="auto"/>
        <w:tblLayout w:type="fixed"/>
        <w:tblCellMar>
          <w:left w:w="62" w:type="dxa"/>
          <w:right w:w="62" w:type="dxa"/>
        </w:tblCellMar>
        <w:tblLook w:val="0000"/>
      </w:tblPr>
      <w:tblGrid>
        <w:gridCol w:w="2700"/>
        <w:gridCol w:w="5760"/>
      </w:tblGrid>
      <w:tr w:rsidTr="00224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73FA">
            <w:pPr>
              <w:pStyle w:val="BodyText"/>
              <w:rPr>
                <w:lang w:val="en-NZ"/>
              </w:rPr>
            </w:pPr>
            <w:r w:rsidRPr="002A73FA">
              <w:rPr>
                <w:rStyle w:val="SpecialBold"/>
              </w:rPr>
              <w:t>4</w:t>
            </w:r>
            <w:r w:rsidRPr="002A73FA">
              <w:t xml:space="preserve">) </w:t>
            </w:r>
          </w:p>
        </w:tc>
      </w:tr>
      <w:tr w:rsidTr="00224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3FA" w:rsidP="002A73FA">
            <w:pPr>
              <w:pStyle w:val="BodyText"/>
            </w:pPr>
            <w:r w:rsidRPr="002A73FA">
              <w:t>Cross discipline.</w:t>
            </w:r>
          </w:p>
        </w:tc>
      </w:tr>
    </w:tbl>
    <w:p w:rsidR="00224BF2" w:rsidP="002A73FA">
      <w:pPr>
        <w:pStyle w:val="BodyText"/>
      </w:pPr>
    </w:p>
    <w:p w:rsidR="00224BF2" w:rsidP="002A73FA">
      <w:pPr>
        <w:pStyle w:val="BodyText"/>
      </w:pPr>
    </w:p>
    <w:p w:rsidR="00000000" w:rsidRPr="002A73FA" w:rsidP="002A73FA"/>
    <w:sectPr w:rsidSect="002A73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4BF2" w:rsidP="00224B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BF2" w:rsidP="002A73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24BF2" w:rsidP="002A73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24BF2" w:rsidP="002A73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FA" w:rsidRPr="00224BF2" w:rsidP="00224B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BF2" w:rsidRPr="002D2AF8" w:rsidP="002A73FA">
    <w:pPr>
      <w:pStyle w:val="Header"/>
      <w:framePr w:wrap="around"/>
    </w:pPr>
    <w:r>
      <w:fldChar w:fldCharType="begin"/>
    </w:r>
    <w:r>
      <w:instrText xml:space="preserve"> TITLE   \* MERGEFORMAT </w:instrText>
    </w:r>
    <w:r>
      <w:fldChar w:fldCharType="separate"/>
    </w:r>
    <w:r>
      <w:t>UEGNSG101A Use equipment and tools to perform work in a utilities industry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24BF2" w:rsidP="002A7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A6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022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2C6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3FA"/>
    <w:pPr>
      <w:spacing w:before="360" w:after="60"/>
      <w:outlineLvl w:val="0"/>
    </w:pPr>
    <w:rPr>
      <w:sz w:val="32"/>
    </w:rPr>
  </w:style>
  <w:style w:type="paragraph" w:styleId="Heading2">
    <w:name w:val="heading 2"/>
    <w:basedOn w:val="HeadingBase"/>
    <w:next w:val="BodyText"/>
    <w:link w:val="Heading2Char"/>
    <w:qFormat/>
    <w:rsid w:val="002A73FA"/>
    <w:pPr>
      <w:keepLines/>
      <w:spacing w:before="240" w:after="120"/>
      <w:outlineLvl w:val="1"/>
    </w:pPr>
    <w:rPr>
      <w:sz w:val="28"/>
      <w:szCs w:val="40"/>
    </w:rPr>
  </w:style>
  <w:style w:type="paragraph" w:styleId="Heading3">
    <w:name w:val="heading 3"/>
    <w:basedOn w:val="HeadingBase"/>
    <w:next w:val="BodyText"/>
    <w:link w:val="Heading3Char"/>
    <w:qFormat/>
    <w:rsid w:val="002A73FA"/>
    <w:pPr>
      <w:spacing w:before="180" w:after="120"/>
      <w:outlineLvl w:val="2"/>
    </w:pPr>
    <w:rPr>
      <w:spacing w:val="-10"/>
      <w:kern w:val="32"/>
    </w:rPr>
  </w:style>
  <w:style w:type="paragraph" w:styleId="Heading4">
    <w:name w:val="heading 4"/>
    <w:basedOn w:val="HeadingBase"/>
    <w:next w:val="BodyText"/>
    <w:link w:val="Heading4Char"/>
    <w:qFormat/>
    <w:rsid w:val="002A73FA"/>
    <w:pPr>
      <w:spacing w:before="160" w:after="120"/>
      <w:outlineLvl w:val="3"/>
    </w:pPr>
    <w:rPr>
      <w:sz w:val="22"/>
    </w:rPr>
  </w:style>
  <w:style w:type="paragraph" w:styleId="Heading5">
    <w:name w:val="heading 5"/>
    <w:basedOn w:val="HeadingBase"/>
    <w:next w:val="Normal"/>
    <w:link w:val="Heading5Char"/>
    <w:qFormat/>
    <w:rsid w:val="002A73FA"/>
    <w:pPr>
      <w:spacing w:before="80"/>
      <w:outlineLvl w:val="4"/>
    </w:pPr>
    <w:rPr>
      <w:color w:val="918585"/>
      <w:sz w:val="20"/>
    </w:rPr>
  </w:style>
  <w:style w:type="paragraph" w:styleId="Heading6">
    <w:name w:val="heading 6"/>
    <w:basedOn w:val="HeadingBase"/>
    <w:next w:val="Normal"/>
    <w:link w:val="Heading6Char"/>
    <w:qFormat/>
    <w:rsid w:val="002A73FA"/>
    <w:pPr>
      <w:spacing w:before="60"/>
      <w:outlineLvl w:val="5"/>
    </w:pPr>
    <w:rPr>
      <w:color w:val="918585"/>
      <w:sz w:val="20"/>
    </w:rPr>
  </w:style>
  <w:style w:type="paragraph" w:styleId="Heading7">
    <w:name w:val="heading 7"/>
    <w:basedOn w:val="Normal"/>
    <w:next w:val="Normal"/>
    <w:link w:val="Heading7Char"/>
    <w:qFormat/>
    <w:rsid w:val="002A73FA"/>
    <w:pPr>
      <w:ind w:left="720"/>
      <w:outlineLvl w:val="6"/>
    </w:pPr>
    <w:rPr>
      <w:i/>
    </w:rPr>
  </w:style>
  <w:style w:type="paragraph" w:styleId="Heading8">
    <w:name w:val="heading 8"/>
    <w:basedOn w:val="Normal"/>
    <w:next w:val="Normal"/>
    <w:link w:val="Heading8Char"/>
    <w:qFormat/>
    <w:rsid w:val="002A73FA"/>
    <w:pPr>
      <w:ind w:left="720"/>
      <w:outlineLvl w:val="7"/>
    </w:pPr>
    <w:rPr>
      <w:i/>
    </w:rPr>
  </w:style>
  <w:style w:type="paragraph" w:styleId="Heading9">
    <w:name w:val="heading 9"/>
    <w:basedOn w:val="Normal"/>
    <w:next w:val="Normal"/>
    <w:link w:val="Heading9Char"/>
    <w:qFormat/>
    <w:rsid w:val="002A73FA"/>
    <w:pPr>
      <w:ind w:left="720"/>
      <w:outlineLvl w:val="8"/>
    </w:pPr>
    <w:rPr>
      <w:i/>
    </w:rPr>
  </w:style>
  <w:style w:type="character" w:default="1" w:styleId="DefaultParagraphFont">
    <w:name w:val="Default Paragraph Font"/>
    <w:uiPriority w:val="1"/>
    <w:unhideWhenUsed/>
    <w:rsid w:val="002A7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3FA"/>
  </w:style>
  <w:style w:type="character" w:customStyle="1" w:styleId="Heading1Char">
    <w:name w:val="Heading 1 Char"/>
    <w:basedOn w:val="DefaultParagraphFont"/>
    <w:link w:val="Heading1"/>
    <w:rsid w:val="002A73FA"/>
    <w:rPr>
      <w:rFonts w:ascii="Times New Roman" w:eastAsia="Times New Roman" w:hAnsi="Times New Roman" w:cs="Times New Roman"/>
      <w:b/>
      <w:sz w:val="32"/>
      <w:szCs w:val="20"/>
      <w:lang w:eastAsia="en-US"/>
    </w:rPr>
  </w:style>
  <w:style w:type="paragraph" w:styleId="BodyText">
    <w:name w:val="Body Text"/>
    <w:basedOn w:val="Normal"/>
    <w:link w:val="BodyTextChar"/>
    <w:rsid w:val="002A73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73FA"/>
    <w:rPr>
      <w:rFonts w:ascii="Times New Roman" w:eastAsia="Times New Roman" w:hAnsi="Times New Roman" w:cs="Times New Roman"/>
      <w:sz w:val="24"/>
      <w:lang w:eastAsia="en-US"/>
    </w:rPr>
  </w:style>
  <w:style w:type="paragraph" w:styleId="Footer">
    <w:name w:val="footer"/>
    <w:basedOn w:val="Normal"/>
    <w:link w:val="FooterChar"/>
    <w:rsid w:val="002A7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3FA"/>
    <w:rPr>
      <w:rFonts w:ascii="Times New Roman" w:eastAsia="Times New Roman" w:hAnsi="Times New Roman" w:cs="Times New Roman"/>
      <w:sz w:val="16"/>
      <w:lang w:eastAsia="en-US"/>
    </w:rPr>
  </w:style>
  <w:style w:type="paragraph" w:styleId="ListBullet">
    <w:name w:val="List Bullet"/>
    <w:basedOn w:val="List"/>
    <w:rsid w:val="002A73FA"/>
    <w:pPr>
      <w:numPr>
        <w:numId w:val="13"/>
      </w:numPr>
      <w:tabs>
        <w:tab w:val="clear" w:pos="340"/>
      </w:tabs>
      <w:spacing w:before="40" w:after="40"/>
    </w:pPr>
  </w:style>
  <w:style w:type="character" w:customStyle="1" w:styleId="SpecialBold">
    <w:name w:val="Special Bold"/>
    <w:basedOn w:val="DefaultParagraphFont"/>
    <w:rsid w:val="002A73FA"/>
    <w:rPr>
      <w:b/>
      <w:spacing w:val="0"/>
    </w:rPr>
  </w:style>
  <w:style w:type="paragraph" w:styleId="ListBullet2">
    <w:name w:val="List Bullet 2"/>
    <w:basedOn w:val="List2"/>
    <w:rsid w:val="002A73FA"/>
    <w:pPr>
      <w:numPr>
        <w:numId w:val="14"/>
      </w:numPr>
      <w:tabs>
        <w:tab w:val="clear" w:pos="680"/>
      </w:tabs>
    </w:pPr>
  </w:style>
  <w:style w:type="paragraph" w:customStyle="1" w:styleId="SuperHeading">
    <w:name w:val="SuperHeading"/>
    <w:basedOn w:val="Normal"/>
    <w:rsid w:val="002A73FA"/>
    <w:pPr>
      <w:spacing w:before="240" w:after="120"/>
      <w:outlineLvl w:val="0"/>
    </w:pPr>
    <w:rPr>
      <w:rFonts w:ascii="Times New Roman" w:hAnsi="Times New Roman"/>
      <w:b/>
      <w:sz w:val="28"/>
    </w:rPr>
  </w:style>
  <w:style w:type="paragraph" w:customStyle="1" w:styleId="AllowPageBreak">
    <w:name w:val="AllowPageBreak"/>
    <w:rsid w:val="002A73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3FA"/>
    <w:rPr>
      <w:rFonts w:ascii="Courier New" w:eastAsia="Times New Roman" w:hAnsi="Courier New" w:cs="Times New Roman"/>
      <w:i/>
      <w:szCs w:val="20"/>
      <w:lang w:eastAsia="en-US"/>
    </w:rPr>
  </w:style>
  <w:style w:type="paragraph" w:customStyle="1" w:styleId="HeadingBase">
    <w:name w:val="Heading Base"/>
    <w:rsid w:val="002A7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3FA"/>
    <w:pPr>
      <w:tabs>
        <w:tab w:val="right" w:leader="dot" w:pos="9072"/>
      </w:tabs>
      <w:ind w:left="567"/>
    </w:pPr>
    <w:rPr>
      <w:szCs w:val="22"/>
    </w:rPr>
  </w:style>
  <w:style w:type="paragraph" w:customStyle="1" w:styleId="TOCBase">
    <w:name w:val="TOC Base"/>
    <w:rsid w:val="002A7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3FA"/>
    <w:pPr>
      <w:tabs>
        <w:tab w:val="right" w:leader="dot" w:pos="9072"/>
      </w:tabs>
      <w:spacing w:before="40" w:after="40"/>
      <w:ind w:left="284"/>
    </w:pPr>
    <w:rPr>
      <w:rFonts w:ascii="Times New Roman" w:hAnsi="Times New Roman"/>
    </w:rPr>
  </w:style>
  <w:style w:type="paragraph" w:styleId="TOC1">
    <w:name w:val="toc 1"/>
    <w:basedOn w:val="TOCBase"/>
    <w:next w:val="Normal"/>
    <w:rsid w:val="002A73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73FA"/>
    <w:pPr>
      <w:spacing w:before="5040"/>
      <w:jc w:val="center"/>
    </w:pPr>
    <w:rPr>
      <w:sz w:val="48"/>
      <w:szCs w:val="72"/>
      <w:lang w:val="en-US"/>
    </w:rPr>
  </w:style>
  <w:style w:type="character" w:customStyle="1" w:styleId="TitleChar">
    <w:name w:val="Title Char"/>
    <w:basedOn w:val="DefaultParagraphFont"/>
    <w:link w:val="Title"/>
    <w:rsid w:val="002A7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3FA"/>
    <w:pPr>
      <w:tabs>
        <w:tab w:val="left" w:pos="3600"/>
        <w:tab w:val="left" w:pos="3958"/>
      </w:tabs>
    </w:pPr>
  </w:style>
  <w:style w:type="paragraph" w:styleId="List">
    <w:name w:val="List"/>
    <w:basedOn w:val="BodyText"/>
    <w:next w:val="BodyText"/>
    <w:rsid w:val="002A73FA"/>
    <w:pPr>
      <w:tabs>
        <w:tab w:val="left" w:pos="340"/>
      </w:tabs>
      <w:spacing w:before="60" w:after="60"/>
      <w:ind w:left="340" w:hanging="340"/>
    </w:pPr>
  </w:style>
  <w:style w:type="paragraph" w:customStyle="1" w:styleId="Note">
    <w:name w:val="Note"/>
    <w:basedOn w:val="BodyText"/>
    <w:rsid w:val="002A7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3FA"/>
    <w:pPr>
      <w:framePr w:wrap="auto" w:hAnchor="text" w:y="6049"/>
    </w:pPr>
    <w:rPr>
      <w:color w:val="000000"/>
      <w:sz w:val="40"/>
    </w:rPr>
  </w:style>
  <w:style w:type="paragraph" w:customStyle="1" w:styleId="TOCTitle">
    <w:name w:val="TOCTitle"/>
    <w:basedOn w:val="Heading1"/>
    <w:rsid w:val="002A73FA"/>
    <w:pPr>
      <w:spacing w:after="240"/>
      <w:jc w:val="center"/>
      <w:outlineLvl w:val="9"/>
    </w:pPr>
    <w:rPr>
      <w:caps/>
    </w:rPr>
  </w:style>
  <w:style w:type="paragraph" w:customStyle="1" w:styleId="Version">
    <w:name w:val="Version"/>
    <w:rsid w:val="002A73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3FA"/>
    <w:pPr>
      <w:keepNext w:val="0"/>
      <w:tabs>
        <w:tab w:val="right" w:pos="4176"/>
      </w:tabs>
      <w:ind w:left="198" w:hanging="198"/>
    </w:pPr>
    <w:rPr>
      <w:rFonts w:ascii="Garamond" w:hAnsi="Garamond"/>
    </w:rPr>
  </w:style>
  <w:style w:type="paragraph" w:styleId="IndexHeading">
    <w:name w:val="index heading"/>
    <w:basedOn w:val="Normal"/>
    <w:next w:val="Index1"/>
    <w:semiHidden/>
    <w:rsid w:val="002A73FA"/>
    <w:pPr>
      <w:spacing w:before="120" w:after="120"/>
    </w:pPr>
    <w:rPr>
      <w:rFonts w:ascii="Arial" w:hAnsi="Arial"/>
      <w:b/>
      <w:color w:val="918585"/>
      <w:sz w:val="24"/>
    </w:rPr>
  </w:style>
  <w:style w:type="paragraph" w:styleId="Header">
    <w:name w:val="header"/>
    <w:basedOn w:val="Normal"/>
    <w:link w:val="HeaderChar"/>
    <w:rsid w:val="002A7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3FA"/>
    <w:rPr>
      <w:rFonts w:ascii="Times New Roman" w:eastAsia="Times New Roman" w:hAnsi="Times New Roman" w:cs="Times New Roman"/>
      <w:sz w:val="16"/>
      <w:szCs w:val="20"/>
      <w:lang w:val="en-GB" w:eastAsia="en-US"/>
    </w:rPr>
  </w:style>
  <w:style w:type="paragraph" w:customStyle="1" w:styleId="Chapter">
    <w:name w:val="Chapter"/>
    <w:basedOn w:val="Normal"/>
    <w:rsid w:val="002A73FA"/>
    <w:pPr>
      <w:spacing w:before="240"/>
    </w:pPr>
    <w:rPr>
      <w:rFonts w:ascii="Times New Roman" w:hAnsi="Times New Roman"/>
      <w:smallCaps/>
      <w:spacing w:val="80"/>
      <w:sz w:val="28"/>
    </w:rPr>
  </w:style>
  <w:style w:type="paragraph" w:customStyle="1" w:styleId="InChapter">
    <w:name w:val="InChapter"/>
    <w:basedOn w:val="Heading3"/>
    <w:rsid w:val="002A73FA"/>
    <w:pPr>
      <w:spacing w:after="240"/>
      <w:outlineLvl w:val="9"/>
    </w:pPr>
    <w:rPr>
      <w:noProof/>
    </w:rPr>
  </w:style>
  <w:style w:type="paragraph" w:styleId="Index2">
    <w:name w:val="index 2"/>
    <w:basedOn w:val="Normal"/>
    <w:next w:val="Normal"/>
    <w:semiHidden/>
    <w:rsid w:val="002A73FA"/>
    <w:pPr>
      <w:tabs>
        <w:tab w:val="right" w:pos="4176"/>
      </w:tabs>
      <w:ind w:left="568" w:hanging="284"/>
    </w:pPr>
    <w:rPr>
      <w:rFonts w:ascii="Garamond" w:hAnsi="Garamond"/>
    </w:rPr>
  </w:style>
  <w:style w:type="paragraph" w:customStyle="1" w:styleId="Byline">
    <w:name w:val="Byline"/>
    <w:rsid w:val="002A7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3FA"/>
    <w:pPr>
      <w:tabs>
        <w:tab w:val="clear" w:pos="3600"/>
        <w:tab w:val="clear" w:pos="3958"/>
      </w:tabs>
      <w:jc w:val="right"/>
    </w:pPr>
  </w:style>
  <w:style w:type="character" w:styleId="Emphasis">
    <w:name w:val="Emphasis"/>
    <w:basedOn w:val="DefaultParagraphFont"/>
    <w:qFormat/>
    <w:rsid w:val="002A73FA"/>
    <w:rPr>
      <w:i/>
    </w:rPr>
  </w:style>
  <w:style w:type="paragraph" w:styleId="Caption">
    <w:name w:val="caption"/>
    <w:basedOn w:val="BodyText"/>
    <w:next w:val="Normal"/>
    <w:qFormat/>
    <w:rsid w:val="002A73FA"/>
    <w:pPr>
      <w:framePr w:w="2268" w:hSpace="181" w:vSpace="181" w:wrap="around" w:vAnchor="text" w:hAnchor="page" w:x="1135" w:y="285" w:anchorLock="1"/>
    </w:pPr>
    <w:rPr>
      <w:i/>
    </w:rPr>
  </w:style>
  <w:style w:type="paragraph" w:customStyle="1" w:styleId="MiniTOCTitle">
    <w:name w:val="MiniTOCTitle"/>
    <w:basedOn w:val="Heading4"/>
    <w:rsid w:val="002A73FA"/>
    <w:pPr>
      <w:spacing w:before="240"/>
      <w:outlineLvl w:val="9"/>
    </w:pPr>
    <w:rPr>
      <w:noProof/>
      <w:sz w:val="24"/>
    </w:rPr>
  </w:style>
  <w:style w:type="paragraph" w:customStyle="1" w:styleId="MiniTOCItem">
    <w:name w:val="MiniTOCItem"/>
    <w:basedOn w:val="ListBullet"/>
    <w:rsid w:val="002A73FA"/>
    <w:pPr>
      <w:numPr>
        <w:numId w:val="0"/>
      </w:numPr>
      <w:tabs>
        <w:tab w:val="right" w:leader="dot" w:pos="6521"/>
      </w:tabs>
      <w:spacing w:before="0" w:after="0"/>
    </w:pPr>
  </w:style>
  <w:style w:type="paragraph" w:customStyle="1" w:styleId="TOFTitle">
    <w:name w:val="TOFTitle"/>
    <w:basedOn w:val="TOCTitle"/>
    <w:rsid w:val="002A73FA"/>
  </w:style>
  <w:style w:type="paragraph" w:styleId="TableofFigures">
    <w:name w:val="table of figures"/>
    <w:basedOn w:val="Normal"/>
    <w:next w:val="Normal"/>
    <w:semiHidden/>
    <w:rsid w:val="002A73FA"/>
    <w:pPr>
      <w:tabs>
        <w:tab w:val="right" w:leader="dot" w:pos="9072"/>
      </w:tabs>
      <w:ind w:left="970" w:hanging="403"/>
    </w:pPr>
    <w:rPr>
      <w:rFonts w:ascii="Times New Roman" w:hAnsi="Times New Roman"/>
      <w:b/>
    </w:rPr>
  </w:style>
  <w:style w:type="paragraph" w:styleId="ListNumber">
    <w:name w:val="List Number"/>
    <w:basedOn w:val="List"/>
    <w:rsid w:val="002A73FA"/>
    <w:pPr>
      <w:numPr>
        <w:numId w:val="11"/>
      </w:numPr>
    </w:pPr>
  </w:style>
  <w:style w:type="character" w:customStyle="1" w:styleId="WingdingSymbols">
    <w:name w:val="Wingding Symbols"/>
    <w:rsid w:val="002A73FA"/>
    <w:rPr>
      <w:rFonts w:ascii="Wingdings" w:hAnsi="Wingdings"/>
    </w:rPr>
  </w:style>
  <w:style w:type="paragraph" w:customStyle="1" w:styleId="TableHeading">
    <w:name w:val="Table Heading"/>
    <w:basedOn w:val="HeadingBase"/>
    <w:rsid w:val="002A73FA"/>
    <w:pPr>
      <w:keepLines/>
      <w:pBdr>
        <w:bottom w:val="single" w:sz="6" w:space="1" w:color="918585"/>
      </w:pBdr>
      <w:spacing w:before="240"/>
    </w:pPr>
  </w:style>
  <w:style w:type="character" w:customStyle="1" w:styleId="HotSpot">
    <w:name w:val="HotSpot"/>
    <w:rsid w:val="002A73FA"/>
    <w:rPr>
      <w:color w:val="0033CC"/>
      <w:u w:val="none"/>
    </w:rPr>
  </w:style>
  <w:style w:type="paragraph" w:customStyle="1" w:styleId="BodyTextRight">
    <w:name w:val="Body Text Right"/>
    <w:basedOn w:val="BodyText"/>
    <w:rsid w:val="002A73FA"/>
    <w:pPr>
      <w:spacing w:before="0" w:after="0"/>
      <w:jc w:val="right"/>
    </w:pPr>
  </w:style>
  <w:style w:type="paragraph" w:styleId="Index3">
    <w:name w:val="index 3"/>
    <w:basedOn w:val="ListNumber2"/>
    <w:next w:val="Normal"/>
    <w:semiHidden/>
    <w:rsid w:val="002A73FA"/>
    <w:pPr>
      <w:numPr>
        <w:numId w:val="0"/>
      </w:numPr>
      <w:tabs>
        <w:tab w:val="right" w:leader="dot" w:pos="4176"/>
      </w:tabs>
    </w:pPr>
  </w:style>
  <w:style w:type="paragraph" w:styleId="ListNumber2">
    <w:name w:val="List Number 2"/>
    <w:basedOn w:val="List2"/>
    <w:rsid w:val="002A73FA"/>
    <w:pPr>
      <w:numPr>
        <w:numId w:val="10"/>
      </w:numPr>
      <w:tabs>
        <w:tab w:val="clear" w:pos="1060"/>
      </w:tabs>
    </w:pPr>
  </w:style>
  <w:style w:type="paragraph" w:customStyle="1" w:styleId="MarginNote">
    <w:name w:val="Margin Note"/>
    <w:basedOn w:val="BodyText"/>
    <w:rsid w:val="002A7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3FA"/>
    <w:rPr>
      <w:sz w:val="32"/>
    </w:rPr>
  </w:style>
  <w:style w:type="paragraph" w:customStyle="1" w:styleId="HeadingProcedure">
    <w:name w:val="Heading Procedure"/>
    <w:basedOn w:val="HeadingBase"/>
    <w:next w:val="Normal"/>
    <w:rsid w:val="002A73FA"/>
    <w:pPr>
      <w:tabs>
        <w:tab w:val="left" w:pos="0"/>
      </w:tabs>
      <w:spacing w:before="120" w:after="60"/>
    </w:pPr>
    <w:rPr>
      <w:i/>
      <w:color w:val="918585"/>
      <w:sz w:val="22"/>
    </w:rPr>
  </w:style>
  <w:style w:type="paragraph" w:customStyle="1" w:styleId="TableBodyText">
    <w:name w:val="Table Body Text"/>
    <w:basedOn w:val="BodyText"/>
    <w:rsid w:val="002A73FA"/>
    <w:pPr>
      <w:spacing w:before="60" w:after="60"/>
    </w:pPr>
  </w:style>
  <w:style w:type="paragraph" w:styleId="ListContinue">
    <w:name w:val="List Continue"/>
    <w:basedOn w:val="List"/>
    <w:rsid w:val="002A73FA"/>
    <w:pPr>
      <w:ind w:firstLine="0"/>
    </w:pPr>
  </w:style>
  <w:style w:type="paragraph" w:customStyle="1" w:styleId="ListNote">
    <w:name w:val="List Note"/>
    <w:basedOn w:val="List"/>
    <w:rsid w:val="002A73FA"/>
    <w:pPr>
      <w:pBdr>
        <w:top w:val="single" w:sz="6" w:space="2" w:color="918585"/>
        <w:bottom w:val="single" w:sz="6" w:space="2" w:color="918585"/>
      </w:pBdr>
      <w:tabs>
        <w:tab w:val="left" w:pos="1021"/>
      </w:tabs>
      <w:ind w:firstLine="0"/>
    </w:pPr>
  </w:style>
  <w:style w:type="paragraph" w:customStyle="1" w:styleId="Warning">
    <w:name w:val="Warning"/>
    <w:basedOn w:val="BodyText"/>
    <w:rsid w:val="002A73FA"/>
    <w:pPr>
      <w:shd w:val="clear" w:color="auto" w:fill="D9D9D9"/>
      <w:tabs>
        <w:tab w:val="left" w:pos="992"/>
      </w:tabs>
      <w:ind w:left="119" w:right="119"/>
    </w:pPr>
    <w:rPr>
      <w:sz w:val="20"/>
    </w:rPr>
  </w:style>
  <w:style w:type="paragraph" w:customStyle="1" w:styleId="MarginIcons">
    <w:name w:val="Margin Icons"/>
    <w:basedOn w:val="BodyText"/>
    <w:rsid w:val="002A7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3FA"/>
    <w:rPr>
      <w:rFonts w:ascii="Courier New" w:hAnsi="Courier New"/>
    </w:rPr>
  </w:style>
  <w:style w:type="paragraph" w:customStyle="1" w:styleId="NoteBullet">
    <w:name w:val="Note Bullet"/>
    <w:basedOn w:val="Note"/>
    <w:rsid w:val="002A73FA"/>
    <w:pPr>
      <w:tabs>
        <w:tab w:val="clear" w:pos="680"/>
      </w:tabs>
      <w:spacing w:before="60" w:after="60"/>
    </w:pPr>
  </w:style>
  <w:style w:type="paragraph" w:customStyle="1" w:styleId="SubHeading2">
    <w:name w:val="SubHeading2"/>
    <w:basedOn w:val="HeadingBase"/>
    <w:rsid w:val="002A73FA"/>
    <w:pPr>
      <w:spacing w:before="240" w:after="60"/>
    </w:pPr>
    <w:rPr>
      <w:sz w:val="20"/>
    </w:rPr>
  </w:style>
  <w:style w:type="paragraph" w:customStyle="1" w:styleId="SubHeading1">
    <w:name w:val="SubHeading1"/>
    <w:basedOn w:val="HeadingBase"/>
    <w:rsid w:val="002A73FA"/>
    <w:pPr>
      <w:spacing w:before="240" w:after="60"/>
    </w:pPr>
    <w:rPr>
      <w:color w:val="918585"/>
      <w:sz w:val="22"/>
    </w:rPr>
  </w:style>
  <w:style w:type="paragraph" w:customStyle="1" w:styleId="SideHeading">
    <w:name w:val="Side Heading"/>
    <w:basedOn w:val="HeadingBase"/>
    <w:rsid w:val="002A7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3FA"/>
    <w:pPr>
      <w:numPr>
        <w:numId w:val="12"/>
      </w:numPr>
    </w:pPr>
  </w:style>
  <w:style w:type="paragraph" w:styleId="PlainText">
    <w:name w:val="Plain Text"/>
    <w:basedOn w:val="Normal"/>
    <w:link w:val="PlainTextChar"/>
    <w:rsid w:val="002A73FA"/>
    <w:rPr>
      <w:sz w:val="20"/>
    </w:rPr>
  </w:style>
  <w:style w:type="character" w:customStyle="1" w:styleId="PlainTextChar">
    <w:name w:val="Plain Text Char"/>
    <w:basedOn w:val="DefaultParagraphFont"/>
    <w:link w:val="PlainText"/>
    <w:rsid w:val="002A73FA"/>
    <w:rPr>
      <w:rFonts w:ascii="Courier New" w:eastAsia="Times New Roman" w:hAnsi="Courier New" w:cs="Times New Roman"/>
      <w:sz w:val="20"/>
      <w:szCs w:val="20"/>
      <w:lang w:eastAsia="en-US"/>
    </w:rPr>
  </w:style>
  <w:style w:type="character" w:customStyle="1" w:styleId="MenuOption">
    <w:name w:val="Menu Option"/>
    <w:basedOn w:val="DefaultParagraphFont"/>
    <w:rsid w:val="002A73FA"/>
    <w:rPr>
      <w:b/>
      <w:smallCaps/>
    </w:rPr>
  </w:style>
  <w:style w:type="paragraph" w:customStyle="1" w:styleId="TableListNumber">
    <w:name w:val="Table List Number"/>
    <w:basedOn w:val="ListNumber"/>
    <w:rsid w:val="002A73FA"/>
    <w:pPr>
      <w:numPr>
        <w:numId w:val="0"/>
      </w:numPr>
    </w:pPr>
  </w:style>
  <w:style w:type="paragraph" w:styleId="TOC4">
    <w:name w:val="toc 4"/>
    <w:basedOn w:val="TOCBase"/>
    <w:next w:val="Normal"/>
    <w:semiHidden/>
    <w:rsid w:val="002A73FA"/>
    <w:pPr>
      <w:tabs>
        <w:tab w:val="right" w:leader="dot" w:pos="9071"/>
      </w:tabs>
      <w:ind w:left="1701"/>
    </w:pPr>
  </w:style>
  <w:style w:type="paragraph" w:customStyle="1" w:styleId="ListAlpha">
    <w:name w:val="List Alpha"/>
    <w:basedOn w:val="List"/>
    <w:rsid w:val="002A73FA"/>
    <w:pPr>
      <w:numPr>
        <w:numId w:val="9"/>
      </w:numPr>
    </w:pPr>
  </w:style>
  <w:style w:type="paragraph" w:customStyle="1" w:styleId="ListAlpha2">
    <w:name w:val="List Alpha 2"/>
    <w:basedOn w:val="List2"/>
    <w:rsid w:val="002A73FA"/>
    <w:pPr>
      <w:numPr>
        <w:numId w:val="8"/>
      </w:numPr>
    </w:pPr>
  </w:style>
  <w:style w:type="paragraph" w:styleId="List2">
    <w:name w:val="List 2"/>
    <w:basedOn w:val="BodyText"/>
    <w:rsid w:val="002A73FA"/>
    <w:pPr>
      <w:tabs>
        <w:tab w:val="left" w:pos="680"/>
      </w:tabs>
      <w:spacing w:before="60" w:after="60"/>
      <w:ind w:left="680" w:hanging="340"/>
    </w:pPr>
  </w:style>
  <w:style w:type="paragraph" w:styleId="List3">
    <w:name w:val="List 3"/>
    <w:basedOn w:val="BodyText"/>
    <w:rsid w:val="002A73FA"/>
    <w:pPr>
      <w:tabs>
        <w:tab w:val="left" w:pos="1021"/>
      </w:tabs>
      <w:spacing w:before="60" w:after="60"/>
      <w:ind w:left="1020" w:hanging="340"/>
    </w:pPr>
  </w:style>
  <w:style w:type="paragraph" w:styleId="List4">
    <w:name w:val="List 4"/>
    <w:basedOn w:val="BodyText"/>
    <w:rsid w:val="002A73FA"/>
    <w:pPr>
      <w:tabs>
        <w:tab w:val="left" w:pos="1361"/>
      </w:tabs>
      <w:spacing w:before="60" w:after="60"/>
      <w:ind w:left="1361" w:hanging="340"/>
    </w:pPr>
  </w:style>
  <w:style w:type="paragraph" w:styleId="List5">
    <w:name w:val="List 5"/>
    <w:basedOn w:val="BodyText"/>
    <w:rsid w:val="002A73FA"/>
    <w:pPr>
      <w:tabs>
        <w:tab w:val="left" w:pos="1701"/>
      </w:tabs>
      <w:spacing w:before="60" w:after="60"/>
      <w:ind w:left="1701" w:hanging="340"/>
    </w:pPr>
  </w:style>
  <w:style w:type="paragraph" w:styleId="ListBullet3">
    <w:name w:val="List Bullet 3"/>
    <w:basedOn w:val="List3"/>
    <w:rsid w:val="002A73FA"/>
    <w:pPr>
      <w:numPr>
        <w:numId w:val="15"/>
      </w:numPr>
      <w:tabs>
        <w:tab w:val="clear" w:pos="1021"/>
      </w:tabs>
      <w:ind w:left="1037" w:hanging="357"/>
    </w:pPr>
  </w:style>
  <w:style w:type="paragraph" w:styleId="ListBullet4">
    <w:name w:val="List Bullet 4"/>
    <w:basedOn w:val="List4"/>
    <w:rsid w:val="002A73FA"/>
    <w:pPr>
      <w:numPr>
        <w:numId w:val="3"/>
      </w:numPr>
    </w:pPr>
  </w:style>
  <w:style w:type="paragraph" w:styleId="ListBullet5">
    <w:name w:val="List Bullet 5"/>
    <w:basedOn w:val="List5"/>
    <w:rsid w:val="002A73FA"/>
    <w:pPr>
      <w:numPr>
        <w:numId w:val="4"/>
      </w:numPr>
    </w:pPr>
  </w:style>
  <w:style w:type="paragraph" w:styleId="ListContinue2">
    <w:name w:val="List Continue 2"/>
    <w:basedOn w:val="List2"/>
    <w:rsid w:val="002A73FA"/>
    <w:pPr>
      <w:ind w:firstLine="0"/>
    </w:pPr>
  </w:style>
  <w:style w:type="paragraph" w:styleId="ListContinue3">
    <w:name w:val="List Continue 3"/>
    <w:basedOn w:val="List3"/>
    <w:rsid w:val="002A73FA"/>
    <w:pPr>
      <w:ind w:left="1021" w:firstLine="0"/>
    </w:pPr>
  </w:style>
  <w:style w:type="paragraph" w:styleId="ListContinue4">
    <w:name w:val="List Continue 4"/>
    <w:basedOn w:val="List4"/>
    <w:rsid w:val="002A73FA"/>
    <w:pPr>
      <w:ind w:firstLine="0"/>
    </w:pPr>
  </w:style>
  <w:style w:type="paragraph" w:styleId="ListContinue5">
    <w:name w:val="List Continue 5"/>
    <w:basedOn w:val="List5"/>
    <w:rsid w:val="002A73FA"/>
    <w:pPr>
      <w:ind w:firstLine="0"/>
    </w:pPr>
  </w:style>
  <w:style w:type="paragraph" w:styleId="ListNumber3">
    <w:name w:val="List Number 3"/>
    <w:basedOn w:val="List3"/>
    <w:rsid w:val="002A73FA"/>
    <w:pPr>
      <w:numPr>
        <w:numId w:val="5"/>
      </w:numPr>
    </w:pPr>
  </w:style>
  <w:style w:type="paragraph" w:styleId="ListNumber4">
    <w:name w:val="List Number 4"/>
    <w:basedOn w:val="List4"/>
    <w:rsid w:val="002A73FA"/>
    <w:pPr>
      <w:numPr>
        <w:numId w:val="6"/>
      </w:numPr>
    </w:pPr>
  </w:style>
  <w:style w:type="paragraph" w:styleId="ListNumber5">
    <w:name w:val="List Number 5"/>
    <w:basedOn w:val="List5"/>
    <w:rsid w:val="002A73FA"/>
    <w:pPr>
      <w:numPr>
        <w:numId w:val="7"/>
      </w:numPr>
    </w:pPr>
  </w:style>
  <w:style w:type="paragraph" w:styleId="BlockText">
    <w:name w:val="Block Text"/>
    <w:basedOn w:val="Normal"/>
    <w:rsid w:val="002A73FA"/>
    <w:pPr>
      <w:spacing w:after="120"/>
      <w:ind w:left="1440" w:right="1440"/>
    </w:pPr>
  </w:style>
  <w:style w:type="character" w:customStyle="1" w:styleId="Subscript">
    <w:name w:val="Subscript"/>
    <w:basedOn w:val="DefaultParagraphFont"/>
    <w:rsid w:val="002A73FA"/>
    <w:rPr>
      <w:sz w:val="16"/>
      <w:vertAlign w:val="subscript"/>
    </w:rPr>
  </w:style>
  <w:style w:type="character" w:customStyle="1" w:styleId="Superscript">
    <w:name w:val="Superscript"/>
    <w:basedOn w:val="DefaultParagraphFont"/>
    <w:rsid w:val="002A73FA"/>
    <w:rPr>
      <w:sz w:val="16"/>
      <w:vertAlign w:val="superscript"/>
    </w:rPr>
  </w:style>
  <w:style w:type="character" w:customStyle="1" w:styleId="Symbols">
    <w:name w:val="Symbols"/>
    <w:basedOn w:val="DefaultParagraphFont"/>
    <w:rsid w:val="002A73FA"/>
    <w:rPr>
      <w:rFonts w:ascii="Symbol" w:hAnsi="Symbol"/>
    </w:rPr>
  </w:style>
  <w:style w:type="character" w:customStyle="1" w:styleId="MenuOptions">
    <w:name w:val="Menu Options"/>
    <w:basedOn w:val="DefaultParagraphFont"/>
    <w:rsid w:val="002A73FA"/>
    <w:rPr>
      <w:rFonts w:ascii="Arial Narrow" w:hAnsi="Arial Narrow"/>
      <w:smallCaps/>
    </w:rPr>
  </w:style>
  <w:style w:type="character" w:customStyle="1" w:styleId="Buttons">
    <w:name w:val="Buttons"/>
    <w:basedOn w:val="DefaultParagraphFont"/>
    <w:rsid w:val="002A73FA"/>
    <w:rPr>
      <w:b/>
    </w:rPr>
  </w:style>
  <w:style w:type="character" w:customStyle="1" w:styleId="Underlined">
    <w:name w:val="Underlined"/>
    <w:basedOn w:val="DefaultParagraphFont"/>
    <w:rsid w:val="002A73FA"/>
    <w:rPr>
      <w:u w:val="single"/>
    </w:rPr>
  </w:style>
  <w:style w:type="paragraph" w:customStyle="1" w:styleId="TableBodyTextRight">
    <w:name w:val="Table Body Text Right"/>
    <w:basedOn w:val="TableBodyText"/>
    <w:rsid w:val="002A73FA"/>
    <w:pPr>
      <w:widowControl w:val="0"/>
      <w:autoSpaceDE w:val="0"/>
      <w:autoSpaceDN w:val="0"/>
      <w:adjustRightInd w:val="0"/>
      <w:jc w:val="right"/>
    </w:pPr>
    <w:rPr>
      <w:rFonts w:cs="Arial"/>
      <w:szCs w:val="18"/>
    </w:rPr>
  </w:style>
  <w:style w:type="paragraph" w:customStyle="1" w:styleId="CopyrightText">
    <w:name w:val="Copyright Text"/>
    <w:basedOn w:val="BodyText"/>
    <w:rsid w:val="002A73FA"/>
    <w:rPr>
      <w:sz w:val="18"/>
    </w:rPr>
  </w:style>
  <w:style w:type="paragraph" w:customStyle="1" w:styleId="BodySmallRight">
    <w:name w:val="Body Small Right"/>
    <w:basedOn w:val="BodyTextRight"/>
    <w:rsid w:val="002A73FA"/>
    <w:rPr>
      <w:sz w:val="18"/>
      <w:szCs w:val="18"/>
    </w:rPr>
  </w:style>
  <w:style w:type="paragraph" w:customStyle="1" w:styleId="MarginEdition">
    <w:name w:val="Margin Edition"/>
    <w:basedOn w:val="MarginNote"/>
    <w:rsid w:val="002A73FA"/>
    <w:pPr>
      <w:spacing w:before="0" w:after="0"/>
    </w:pPr>
    <w:rPr>
      <w:rFonts w:ascii="Times New Roman" w:hAnsi="Times New Roman"/>
      <w:color w:val="999999"/>
    </w:rPr>
  </w:style>
  <w:style w:type="paragraph" w:customStyle="1" w:styleId="Spacer">
    <w:name w:val="Spacer"/>
    <w:basedOn w:val="Normal"/>
    <w:rsid w:val="002A73FA"/>
    <w:rPr>
      <w:sz w:val="2"/>
      <w:szCs w:val="2"/>
    </w:rPr>
  </w:style>
  <w:style w:type="character" w:customStyle="1" w:styleId="Small">
    <w:name w:val="Small"/>
    <w:basedOn w:val="DefaultParagraphFont"/>
    <w:rsid w:val="002A73FA"/>
    <w:rPr>
      <w:sz w:val="16"/>
    </w:rPr>
  </w:style>
  <w:style w:type="paragraph" w:customStyle="1" w:styleId="WideTable">
    <w:name w:val="Wide Table"/>
    <w:basedOn w:val="Normal"/>
    <w:rsid w:val="002A73FA"/>
    <w:pPr>
      <w:ind w:left="-1418"/>
    </w:pPr>
    <w:rPr>
      <w:sz w:val="2"/>
      <w:szCs w:val="2"/>
    </w:rPr>
  </w:style>
  <w:style w:type="character" w:styleId="PageNumber">
    <w:name w:val="page number"/>
    <w:basedOn w:val="DefaultParagraphFont"/>
    <w:rsid w:val="002A73FA"/>
  </w:style>
  <w:style w:type="paragraph" w:styleId="Quote">
    <w:name w:val="Quote"/>
    <w:basedOn w:val="Heading1"/>
    <w:link w:val="QuoteChar"/>
    <w:qFormat/>
    <w:rsid w:val="002A73FA"/>
    <w:rPr>
      <w:b w:val="0"/>
      <w:sz w:val="72"/>
      <w:szCs w:val="72"/>
      <w:lang w:val="en-NZ"/>
    </w:rPr>
  </w:style>
  <w:style w:type="character" w:customStyle="1" w:styleId="QuoteChar">
    <w:name w:val="Quote Char"/>
    <w:basedOn w:val="DefaultParagraphFont"/>
    <w:link w:val="Quote"/>
    <w:rsid w:val="002A7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3FA"/>
    <w:pPr>
      <w:pageBreakBefore/>
    </w:pPr>
  </w:style>
  <w:style w:type="paragraph" w:customStyle="1" w:styleId="Border">
    <w:name w:val="Border"/>
    <w:basedOn w:val="Normal"/>
    <w:qFormat/>
    <w:rsid w:val="002A7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3FA"/>
    <w:rPr>
      <w:b/>
      <w:bCs/>
      <w:i/>
      <w:iCs/>
      <w:color w:val="auto"/>
    </w:rPr>
  </w:style>
  <w:style w:type="paragraph" w:styleId="IntenseQuote">
    <w:name w:val="Intense Quote"/>
    <w:basedOn w:val="Normal"/>
    <w:next w:val="Normal"/>
    <w:link w:val="IntenseQuoteChar"/>
    <w:uiPriority w:val="30"/>
    <w:qFormat/>
    <w:rsid w:val="002A7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3FA"/>
    <w:rPr>
      <w:smallCaps/>
      <w:color w:val="auto"/>
      <w:u w:val="single"/>
    </w:rPr>
  </w:style>
  <w:style w:type="character" w:styleId="IntenseReference">
    <w:name w:val="Intense Reference"/>
    <w:basedOn w:val="DefaultParagraphFont"/>
    <w:uiPriority w:val="32"/>
    <w:qFormat/>
    <w:rsid w:val="002A73FA"/>
    <w:rPr>
      <w:b/>
      <w:bCs/>
      <w:smallCaps/>
      <w:color w:val="auto"/>
      <w:spacing w:val="5"/>
      <w:u w:val="single"/>
    </w:rPr>
  </w:style>
  <w:style w:type="paragraph" w:customStyle="1" w:styleId="2ColumnHeading">
    <w:name w:val="2Column Heading"/>
    <w:basedOn w:val="BodyText"/>
    <w:qFormat/>
    <w:rsid w:val="002A73FA"/>
    <w:pPr>
      <w:spacing w:after="60"/>
      <w:ind w:left="-2268"/>
    </w:pPr>
    <w:rPr>
      <w:b/>
    </w:rPr>
  </w:style>
  <w:style w:type="paragraph" w:customStyle="1" w:styleId="Heading1TOC">
    <w:name w:val="Heading1 TOC"/>
    <w:basedOn w:val="Normal"/>
    <w:qFormat/>
    <w:rsid w:val="002A73FA"/>
    <w:pPr>
      <w:spacing w:before="240" w:after="120"/>
    </w:pPr>
    <w:rPr>
      <w:rFonts w:ascii="Times New Roman" w:hAnsi="Times New Roman"/>
      <w:b/>
      <w:sz w:val="32"/>
    </w:rPr>
  </w:style>
  <w:style w:type="paragraph" w:customStyle="1" w:styleId="Heading2TOC">
    <w:name w:val="Heading2 TOC"/>
    <w:basedOn w:val="Normal"/>
    <w:qFormat/>
    <w:rsid w:val="002A73FA"/>
    <w:pPr>
      <w:spacing w:before="240" w:after="60"/>
    </w:pPr>
    <w:rPr>
      <w:rFonts w:ascii="Times New Roman" w:hAnsi="Times New Roman"/>
      <w:b/>
      <w:sz w:val="28"/>
    </w:rPr>
  </w:style>
  <w:style w:type="character" w:customStyle="1" w:styleId="Underline">
    <w:name w:val="Underline"/>
    <w:basedOn w:val="DefaultParagraphFont"/>
    <w:qFormat/>
    <w:rsid w:val="002A73FA"/>
    <w:rPr>
      <w:u w:val="single"/>
    </w:rPr>
  </w:style>
  <w:style w:type="character" w:customStyle="1" w:styleId="BoldandItalics">
    <w:name w:val="Bold and Italics"/>
    <w:qFormat/>
    <w:rsid w:val="002A73FA"/>
    <w:rPr>
      <w:b/>
      <w:i/>
      <w:u w:val="none"/>
    </w:rPr>
  </w:style>
  <w:style w:type="paragraph" w:styleId="BalloonText">
    <w:name w:val="Balloon Text"/>
    <w:basedOn w:val="Normal"/>
    <w:link w:val="BalloonTextChar"/>
    <w:rsid w:val="002A73FA"/>
    <w:rPr>
      <w:rFonts w:ascii="Tahoma" w:hAnsi="Tahoma" w:cs="Tahoma"/>
      <w:sz w:val="16"/>
      <w:szCs w:val="16"/>
    </w:rPr>
  </w:style>
  <w:style w:type="character" w:customStyle="1" w:styleId="BalloonTextChar">
    <w:name w:val="Balloon Text Char"/>
    <w:basedOn w:val="DefaultParagraphFont"/>
    <w:link w:val="BalloonText"/>
    <w:rsid w:val="002A7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3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7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3FA"/>
    <w:rPr>
      <w:b/>
      <w:color w:val="660033"/>
      <w:spacing w:val="0"/>
    </w:rPr>
  </w:style>
  <w:style w:type="paragraph" w:customStyle="1" w:styleId="Nameditemlist">
    <w:name w:val="Named item list"/>
    <w:basedOn w:val="BodyText"/>
    <w:qFormat/>
    <w:rsid w:val="002A73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2264</Words>
  <Characters>12988</Characters>
  <Application>Microsoft Office Word</Application>
  <DocSecurity>0</DocSecurity>
  <Lines>611</Lines>
  <Paragraphs>236</Paragraphs>
  <ScaleCrop>false</ScaleCrop>
  <Company>Author-it Software Corporation Ltd.</Company>
  <LinksUpToDate>false</LinksUpToDate>
  <CharactersWithSpaces>15056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UEGNSG101A Use equipment and tools to perform work in a utilities industry work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2012-10-10T07:37:00Z</dcterms:created>
  <dcterms:modified xsi:type="dcterms:W3CDTF">2012-10-10T07:37:00Z</dcterms:modified>
</cp:coreProperties>
</file>