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5137" w:rsidP="003B5137">
      <w:pPr>
        <w:pStyle w:val="Title"/>
      </w:pPr>
      <w:r>
        <w:fldChar w:fldCharType="begin"/>
      </w:r>
      <w:r>
        <w:instrText xml:space="preserve"> TITLE   \* MERGEFORMAT </w:instrText>
      </w:r>
      <w:r>
        <w:fldChar w:fldCharType="separate"/>
      </w:r>
      <w:r>
        <w:t>Assessment Requirements for UEGNSG903 Fault find and repair hydrogen storage equipment</w:t>
      </w:r>
      <w:r>
        <w:fldChar w:fldCharType="end"/>
      </w:r>
    </w:p>
    <w:p w:rsidR="003B5137" w:rsidP="003B5137">
      <w:pPr>
        <w:pStyle w:val="Version"/>
        <w:sectPr w:rsidSect="006667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67EF" w:rsidP="006667EF">
      <w:pPr>
        <w:pStyle w:val="SuperHeading"/>
      </w:pPr>
      <w:r w:rsidRPr="006667EF">
        <w:t>Assessment Requirements for UEGNSG903 Fault find and repair hydrogen storage equipment</w:t>
      </w:r>
    </w:p>
    <w:p w:rsidR="00000000" w:rsidRPr="006667EF" w:rsidP="006667EF">
      <w:pPr>
        <w:pStyle w:val="Heading1"/>
      </w:pPr>
      <w:bookmarkStart w:id="1" w:name="O_1188598"/>
      <w:bookmarkEnd w:id="1"/>
      <w:r w:rsidRPr="006667EF">
        <w:t>Modification History</w:t>
      </w:r>
    </w:p>
    <w:tbl>
      <w:tblPr>
        <w:tblW w:w="9497" w:type="dxa"/>
        <w:tblLayout w:type="fixed"/>
        <w:tblCellMar>
          <w:left w:w="62" w:type="dxa"/>
          <w:right w:w="62" w:type="dxa"/>
        </w:tblCellMar>
        <w:tblLook w:val="0000"/>
      </w:tblPr>
      <w:tblGrid>
        <w:gridCol w:w="9497"/>
      </w:tblGrid>
      <w:tr w:rsidTr="006667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67EF" w:rsidP="006667EF">
            <w:pPr>
              <w:pStyle w:val="BodyText"/>
            </w:pPr>
            <w:r w:rsidRPr="006667EF">
              <w:t>Release 1. This is the first release of this unit of competency in the UEG Gas Industry Training Package.</w:t>
            </w:r>
          </w:p>
        </w:tc>
      </w:tr>
    </w:tbl>
    <w:p w:rsidR="00000000" w:rsidRPr="006667EF" w:rsidP="006667EF">
      <w:pPr>
        <w:pStyle w:val="NoPaddingFontSize1"/>
      </w:pPr>
    </w:p>
    <w:p w:rsidR="00000000" w:rsidRPr="006667EF" w:rsidP="006667EF">
      <w:pPr>
        <w:pStyle w:val="AllowPageBreak"/>
      </w:pPr>
    </w:p>
    <w:p w:rsidR="00000000" w:rsidRPr="006667EF" w:rsidP="006667EF">
      <w:pPr>
        <w:pStyle w:val="Heading1"/>
      </w:pPr>
      <w:bookmarkStart w:id="2" w:name="O_1188599"/>
      <w:bookmarkEnd w:id="2"/>
      <w:r w:rsidRPr="006667EF">
        <w:t>Performance Evidence</w:t>
      </w:r>
    </w:p>
    <w:tbl>
      <w:tblPr>
        <w:tblW w:w="9497" w:type="dxa"/>
        <w:tblLayout w:type="fixed"/>
        <w:tblCellMar>
          <w:left w:w="62" w:type="dxa"/>
          <w:right w:w="62" w:type="dxa"/>
        </w:tblCellMar>
        <w:tblLook w:val="0000"/>
      </w:tblPr>
      <w:tblGrid>
        <w:gridCol w:w="9497"/>
      </w:tblGrid>
      <w:tr w:rsidTr="006667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667EF">
            <w:pPr>
              <w:pStyle w:val="BodyText"/>
              <w:rPr>
                <w:lang w:val="en-NZ"/>
              </w:rPr>
            </w:pPr>
            <w:r w:rsidRPr="006667EF">
              <w:t xml:space="preserve">Evidence required to demonstrate competence in this unit must be relevant to and satisfy all of the requirements of the elements and performance criteria on at least two separate occasions and include: </w:t>
            </w:r>
          </w:p>
        </w:tc>
      </w:tr>
      <w:tr w:rsidTr="006667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67EF" w:rsidP="006667EF">
            <w:pPr>
              <w:pStyle w:val="ListBullet"/>
            </w:pPr>
            <w:r w:rsidRPr="006667EF">
              <w:t>applying relevant fault findin</w:t>
            </w:r>
            <w:r w:rsidRPr="006667EF">
              <w:t>g and repair techniques</w:t>
            </w:r>
          </w:p>
          <w:p w:rsidR="00000000" w:rsidRPr="006667EF" w:rsidP="006667EF">
            <w:pPr>
              <w:pStyle w:val="ListBullet"/>
            </w:pPr>
            <w:r w:rsidRPr="006667EF">
              <w:t>applying relevant work health and safety (WHS)/occupational health and safety (OHS) requirements, including:</w:t>
            </w:r>
          </w:p>
          <w:p w:rsidR="00000000" w:rsidRPr="006667EF" w:rsidP="006667EF">
            <w:pPr>
              <w:pStyle w:val="ListBullet2"/>
            </w:pPr>
            <w:r w:rsidRPr="006667EF">
              <w:t>emergency response procedures</w:t>
            </w:r>
          </w:p>
          <w:p w:rsidR="00000000" w:rsidRPr="006667EF" w:rsidP="006667EF">
            <w:pPr>
              <w:pStyle w:val="ListBullet2"/>
            </w:pPr>
            <w:r w:rsidRPr="006667EF">
              <w:t>sustainable energy and environmental principles and practices</w:t>
            </w:r>
          </w:p>
          <w:p w:rsidR="00000000" w:rsidRPr="006667EF" w:rsidP="006667EF">
            <w:pPr>
              <w:pStyle w:val="ListBullet2"/>
            </w:pPr>
            <w:r w:rsidRPr="006667EF">
              <w:t>hazard identification and reporting</w:t>
            </w:r>
          </w:p>
          <w:p w:rsidR="00000000" w:rsidRPr="006667EF" w:rsidP="006667EF">
            <w:pPr>
              <w:pStyle w:val="ListBullet2"/>
            </w:pPr>
            <w:r w:rsidRPr="006667EF">
              <w:t>hydrogen specific electrical hazard control measures and earth protection</w:t>
            </w:r>
          </w:p>
          <w:p w:rsidR="00000000" w:rsidRPr="006667EF" w:rsidP="006667EF">
            <w:pPr>
              <w:pStyle w:val="ListBullet2"/>
            </w:pPr>
            <w:r w:rsidRPr="006667EF">
              <w:t>implementation of risk control measures</w:t>
            </w:r>
          </w:p>
          <w:p w:rsidR="00000000" w:rsidRPr="006667EF" w:rsidP="006667EF">
            <w:pPr>
              <w:pStyle w:val="ListBullet2"/>
            </w:pPr>
            <w:r w:rsidRPr="006667EF">
              <w:t>selection and use of correct personal protective equipment (PPE)</w:t>
            </w:r>
          </w:p>
          <w:p w:rsidR="00000000" w:rsidRPr="006667EF" w:rsidP="006667EF">
            <w:pPr>
              <w:pStyle w:val="ListBullet2"/>
            </w:pPr>
            <w:r w:rsidRPr="006667EF">
              <w:t>safely working with hazardous materials a</w:t>
            </w:r>
            <w:r w:rsidRPr="006667EF">
              <w:t>nd equipment</w:t>
            </w:r>
          </w:p>
          <w:p w:rsidR="00000000" w:rsidRPr="006667EF" w:rsidP="006667EF">
            <w:pPr>
              <w:pStyle w:val="ListBullet"/>
            </w:pPr>
            <w:r w:rsidRPr="006667EF">
              <w:t>calibrating instruments used in performing tests and checks</w:t>
            </w:r>
          </w:p>
          <w:p w:rsidR="00000000" w:rsidRPr="006667EF" w:rsidP="006667EF">
            <w:pPr>
              <w:pStyle w:val="ListBullet"/>
            </w:pPr>
            <w:r w:rsidRPr="006667EF">
              <w:t>communicating with relevant stakeholders, including:</w:t>
            </w:r>
          </w:p>
          <w:p w:rsidR="00000000" w:rsidRPr="006667EF" w:rsidP="006667EF">
            <w:pPr>
              <w:pStyle w:val="ListBullet2"/>
            </w:pPr>
            <w:r w:rsidRPr="006667EF">
              <w:t xml:space="preserve">authorised persons </w:t>
            </w:r>
          </w:p>
          <w:p w:rsidR="00000000" w:rsidRPr="006667EF" w:rsidP="006667EF">
            <w:pPr>
              <w:pStyle w:val="ListBullet2"/>
            </w:pPr>
            <w:r w:rsidRPr="006667EF">
              <w:t>authorities</w:t>
            </w:r>
          </w:p>
          <w:p w:rsidR="00000000" w:rsidRPr="006667EF" w:rsidP="006667EF">
            <w:pPr>
              <w:pStyle w:val="ListBullet2"/>
            </w:pPr>
            <w:r w:rsidRPr="006667EF">
              <w:t>qualified persons for the type of repair</w:t>
            </w:r>
          </w:p>
          <w:p w:rsidR="00000000" w:rsidRPr="006667EF" w:rsidP="006667EF">
            <w:pPr>
              <w:pStyle w:val="ListBullet"/>
            </w:pPr>
            <w:r w:rsidRPr="006667EF">
              <w:t>completing relevant reports and documentation</w:t>
            </w:r>
          </w:p>
          <w:p w:rsidR="00000000" w:rsidRPr="006667EF" w:rsidP="006667EF">
            <w:pPr>
              <w:pStyle w:val="ListBullet"/>
            </w:pPr>
            <w:r w:rsidRPr="006667EF">
              <w:t>complyin</w:t>
            </w:r>
            <w:r w:rsidRPr="006667EF">
              <w:t>g with regulations, industry standards, legislative requirements, codes of practice, manufacturers’ recommendations and specifications, and environmental requirements</w:t>
            </w:r>
          </w:p>
          <w:p w:rsidR="00000000" w:rsidRPr="006667EF" w:rsidP="006667EF">
            <w:pPr>
              <w:pStyle w:val="ListBullet"/>
            </w:pPr>
            <w:r w:rsidRPr="006667EF">
              <w:t>dealing with unplanned events</w:t>
            </w:r>
          </w:p>
          <w:p w:rsidR="00000000" w:rsidRPr="006667EF" w:rsidP="006667EF">
            <w:pPr>
              <w:pStyle w:val="ListBullet"/>
            </w:pPr>
            <w:r w:rsidRPr="006667EF">
              <w:t>following workplace procedures, including:</w:t>
            </w:r>
          </w:p>
          <w:p w:rsidR="00000000" w:rsidRPr="006667EF" w:rsidP="006667EF">
            <w:pPr>
              <w:pStyle w:val="ListBullet2"/>
            </w:pPr>
            <w:r w:rsidRPr="006667EF">
              <w:t>decommissioning and recommissioning procedures</w:t>
            </w:r>
          </w:p>
          <w:p w:rsidR="00000000" w:rsidRPr="006667EF" w:rsidP="006667EF">
            <w:pPr>
              <w:pStyle w:val="ListBullet2"/>
            </w:pPr>
            <w:r w:rsidRPr="006667EF">
              <w:t>emergency shutdown procedures</w:t>
            </w:r>
          </w:p>
          <w:p w:rsidR="00000000" w:rsidRPr="006667EF" w:rsidP="006667EF">
            <w:pPr>
              <w:pStyle w:val="ListBullet2"/>
            </w:pPr>
            <w:r w:rsidRPr="006667EF">
              <w:t>standard operating procedures</w:t>
            </w:r>
          </w:p>
          <w:p w:rsidR="00000000" w:rsidRPr="006667EF" w:rsidP="006667EF">
            <w:pPr>
              <w:pStyle w:val="ListBullet"/>
            </w:pPr>
            <w:r w:rsidRPr="006667EF">
              <w:t>interpreting relevant drawings, plans and material lists</w:t>
            </w:r>
          </w:p>
          <w:p w:rsidR="00000000" w:rsidRPr="006667EF" w:rsidP="006667EF">
            <w:pPr>
              <w:pStyle w:val="ListBullet"/>
            </w:pPr>
            <w:r w:rsidRPr="006667EF">
              <w:t>isolating systems</w:t>
            </w:r>
          </w:p>
          <w:p w:rsidR="00000000" w:rsidRPr="006667EF" w:rsidP="006667EF">
            <w:pPr>
              <w:pStyle w:val="ListBullet"/>
            </w:pPr>
            <w:r w:rsidRPr="006667EF">
              <w:t>obtaining and complying with relevant work permits</w:t>
            </w:r>
          </w:p>
          <w:p w:rsidR="00000000" w:rsidRPr="006667EF" w:rsidP="006667EF">
            <w:pPr>
              <w:pStyle w:val="ListBullet"/>
            </w:pPr>
            <w:r w:rsidRPr="006667EF">
              <w:t>performing tests and c</w:t>
            </w:r>
            <w:r w:rsidRPr="006667EF">
              <w:t>hecks, including:</w:t>
            </w:r>
          </w:p>
          <w:p w:rsidR="00000000" w:rsidRPr="006667EF" w:rsidP="006667EF">
            <w:pPr>
              <w:pStyle w:val="ListBullet2"/>
            </w:pPr>
            <w:r w:rsidRPr="006667EF">
              <w:t>corrosion inspections</w:t>
            </w:r>
          </w:p>
          <w:p w:rsidR="00000000" w:rsidRPr="006667EF" w:rsidP="006667EF">
            <w:pPr>
              <w:pStyle w:val="ListBullet2"/>
            </w:pPr>
            <w:r w:rsidRPr="006667EF">
              <w:t>electrical checks</w:t>
            </w:r>
          </w:p>
          <w:p w:rsidR="00000000" w:rsidRPr="006667EF" w:rsidP="006667EF">
            <w:pPr>
              <w:pStyle w:val="ListBullet2"/>
            </w:pPr>
            <w:r w:rsidRPr="006667EF">
              <w:t>filter checks, including differential pressure</w:t>
            </w:r>
          </w:p>
          <w:p w:rsidR="00000000" w:rsidRPr="006667EF" w:rsidP="006667EF">
            <w:pPr>
              <w:pStyle w:val="ListBullet2"/>
            </w:pPr>
            <w:r w:rsidRPr="006667EF">
              <w:t>gas leak test</w:t>
            </w:r>
          </w:p>
          <w:p w:rsidR="00000000" w:rsidRPr="006667EF" w:rsidP="006667EF">
            <w:pPr>
              <w:pStyle w:val="ListBullet2"/>
            </w:pPr>
            <w:r w:rsidRPr="006667EF">
              <w:t>inventory checks</w:t>
            </w:r>
          </w:p>
          <w:p w:rsidR="00000000" w:rsidRPr="006667EF" w:rsidP="006667EF">
            <w:pPr>
              <w:pStyle w:val="ListBullet2"/>
            </w:pPr>
            <w:r w:rsidRPr="006667EF">
              <w:t>meter checks</w:t>
            </w:r>
          </w:p>
          <w:p w:rsidR="00000000" w:rsidRPr="006667EF" w:rsidP="006667EF">
            <w:pPr>
              <w:pStyle w:val="ListBullet2"/>
            </w:pPr>
            <w:r w:rsidRPr="006667EF">
              <w:t>pressure and temperature checks</w:t>
            </w:r>
          </w:p>
          <w:p w:rsidR="00000000" w:rsidRPr="006667EF" w:rsidP="006667EF">
            <w:pPr>
              <w:pStyle w:val="ListBullet2"/>
            </w:pPr>
            <w:r w:rsidRPr="006667EF">
              <w:t>status and condition checks on ancillary equipment</w:t>
            </w:r>
          </w:p>
          <w:p w:rsidR="00000000" w:rsidRPr="006667EF" w:rsidP="006667EF">
            <w:pPr>
              <w:pStyle w:val="ListBullet2"/>
            </w:pPr>
            <w:r w:rsidRPr="006667EF">
              <w:t>visua</w:t>
            </w:r>
            <w:r w:rsidRPr="006667EF">
              <w:t>l inspections of relief vents</w:t>
            </w:r>
          </w:p>
          <w:p w:rsidR="00000000" w:rsidRPr="006667EF" w:rsidP="006667EF">
            <w:pPr>
              <w:pStyle w:val="ListBullet"/>
            </w:pPr>
            <w:r w:rsidRPr="006667EF">
              <w:t>recording relevant information</w:t>
            </w:r>
          </w:p>
          <w:p w:rsidR="00000000" w:rsidRPr="006667EF" w:rsidP="006667EF">
            <w:pPr>
              <w:pStyle w:val="ListBullet"/>
            </w:pPr>
            <w:r w:rsidRPr="006667EF">
              <w:t>shutting down operations and equipment</w:t>
            </w:r>
          </w:p>
          <w:p w:rsidR="00000000" w:rsidRPr="006667EF" w:rsidP="006667EF">
            <w:pPr>
              <w:pStyle w:val="ListBullet"/>
            </w:pPr>
            <w:r w:rsidRPr="006667EF">
              <w:t>using relevant equipment, including:</w:t>
            </w:r>
          </w:p>
          <w:p w:rsidR="00000000" w:rsidRPr="006667EF" w:rsidP="006667EF">
            <w:pPr>
              <w:pStyle w:val="ListBullet2"/>
            </w:pPr>
            <w:r w:rsidRPr="006667EF">
              <w:t xml:space="preserve">electronic gas detection </w:t>
            </w:r>
          </w:p>
          <w:p w:rsidR="00000000" w:rsidRPr="006667EF" w:rsidP="006667EF">
            <w:pPr>
              <w:pStyle w:val="ListBullet2"/>
            </w:pPr>
            <w:r w:rsidRPr="006667EF">
              <w:t>hand tools</w:t>
            </w:r>
          </w:p>
          <w:p w:rsidR="00000000" w:rsidRPr="006667EF" w:rsidP="006667EF">
            <w:pPr>
              <w:pStyle w:val="ListBullet2"/>
            </w:pPr>
            <w:r w:rsidRPr="006667EF">
              <w:t>measuring equipment</w:t>
            </w:r>
          </w:p>
          <w:p w:rsidR="00000000" w:rsidRPr="006667EF" w:rsidP="006667EF">
            <w:pPr>
              <w:pStyle w:val="ListBullet2"/>
            </w:pPr>
            <w:r w:rsidRPr="006667EF">
              <w:t>personal protective equipment (PPE)</w:t>
            </w:r>
          </w:p>
          <w:p w:rsidR="00000000" w:rsidRPr="006667EF" w:rsidP="006667EF">
            <w:pPr>
              <w:pStyle w:val="ListBullet"/>
            </w:pPr>
            <w:r w:rsidRPr="006667EF">
              <w:t>working safely in a hyd</w:t>
            </w:r>
            <w:r w:rsidRPr="006667EF">
              <w:t>rogen environment.</w:t>
            </w:r>
          </w:p>
        </w:tc>
      </w:tr>
    </w:tbl>
    <w:p w:rsidR="00000000" w:rsidRPr="006667EF" w:rsidP="006667EF">
      <w:pPr>
        <w:pStyle w:val="NoPaddingFontSize1"/>
      </w:pPr>
    </w:p>
    <w:p w:rsidR="00000000" w:rsidRPr="006667EF" w:rsidP="006667EF">
      <w:pPr>
        <w:pStyle w:val="AllowPageBreak"/>
      </w:pPr>
    </w:p>
    <w:p w:rsidR="00000000" w:rsidRPr="006667EF" w:rsidP="006667EF">
      <w:pPr>
        <w:pStyle w:val="Heading1"/>
      </w:pPr>
      <w:bookmarkStart w:id="3" w:name="O_1188600"/>
      <w:bookmarkEnd w:id="3"/>
      <w:r w:rsidRPr="006667EF">
        <w:t>Knowledge Evidence</w:t>
      </w:r>
    </w:p>
    <w:tbl>
      <w:tblPr>
        <w:tblW w:w="9497" w:type="dxa"/>
        <w:tblLayout w:type="fixed"/>
        <w:tblCellMar>
          <w:left w:w="62" w:type="dxa"/>
          <w:right w:w="62" w:type="dxa"/>
        </w:tblCellMar>
        <w:tblLook w:val="0000"/>
      </w:tblPr>
      <w:tblGrid>
        <w:gridCol w:w="9497"/>
      </w:tblGrid>
      <w:tr w:rsidTr="006667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667EF">
            <w:pPr>
              <w:pStyle w:val="BodyText"/>
              <w:rPr>
                <w:lang w:val="en-NZ"/>
              </w:rPr>
            </w:pPr>
            <w:r w:rsidRPr="006667EF">
              <w:t xml:space="preserve">Evidence required to demonstrate competence in this unit must be relevant to and satisfy all of the requirements of the elements and performance criteria and include knowledge of: </w:t>
            </w:r>
          </w:p>
        </w:tc>
      </w:tr>
      <w:tr w:rsidTr="006667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67EF" w:rsidP="006667EF">
            <w:pPr>
              <w:pStyle w:val="ListBullet"/>
            </w:pPr>
            <w:r w:rsidRPr="006667EF">
              <w:t>correct use of plant and equipment in a hydrogen environment, including:</w:t>
            </w:r>
          </w:p>
          <w:p w:rsidR="00000000" w:rsidRPr="006667EF" w:rsidP="006667EF">
            <w:pPr>
              <w:pStyle w:val="ListBullet2"/>
            </w:pPr>
            <w:r w:rsidRPr="006667EF">
              <w:t>how to select appropriate equipment for tasks associated with hydrogen</w:t>
            </w:r>
          </w:p>
          <w:p w:rsidR="00000000" w:rsidRPr="006667EF" w:rsidP="006667EF">
            <w:pPr>
              <w:pStyle w:val="ListBullet2"/>
            </w:pPr>
            <w:r w:rsidRPr="006667EF">
              <w:t>manufacturer specifications to make adjustments to parts where appropriate</w:t>
            </w:r>
          </w:p>
          <w:p w:rsidR="00000000" w:rsidRPr="006667EF" w:rsidP="006667EF">
            <w:pPr>
              <w:pStyle w:val="ListBullet2"/>
            </w:pPr>
            <w:r w:rsidRPr="006667EF">
              <w:t>measuring equipment</w:t>
            </w:r>
          </w:p>
          <w:p w:rsidR="00000000" w:rsidRPr="006667EF" w:rsidP="006667EF">
            <w:pPr>
              <w:pStyle w:val="ListBullet2"/>
            </w:pPr>
            <w:r w:rsidRPr="006667EF">
              <w:t>operating alarm and communication equipment</w:t>
            </w:r>
          </w:p>
          <w:p w:rsidR="00000000" w:rsidRPr="006667EF" w:rsidP="006667EF">
            <w:pPr>
              <w:pStyle w:val="ListBullet2"/>
            </w:pPr>
            <w:r w:rsidRPr="006667EF">
              <w:t>operating hydrogen analysis equipment</w:t>
            </w:r>
          </w:p>
          <w:p w:rsidR="00000000" w:rsidRPr="006667EF" w:rsidP="006667EF">
            <w:pPr>
              <w:pStyle w:val="ListBullet2"/>
            </w:pPr>
            <w:r w:rsidRPr="006667EF">
              <w:t xml:space="preserve">storage equipment, fitting, piping, and controls </w:t>
            </w:r>
          </w:p>
          <w:p w:rsidR="00000000" w:rsidRPr="006667EF" w:rsidP="006667EF">
            <w:pPr>
              <w:pStyle w:val="ListBullet2"/>
            </w:pPr>
            <w:r w:rsidRPr="006667EF">
              <w:t>test equipment and its uses</w:t>
            </w:r>
          </w:p>
          <w:p w:rsidR="00000000" w:rsidRPr="006667EF" w:rsidP="006667EF">
            <w:pPr>
              <w:pStyle w:val="ListBullet"/>
            </w:pPr>
            <w:r w:rsidRPr="006667EF">
              <w:t>gas industry drawings, plans and material lists</w:t>
            </w:r>
          </w:p>
          <w:p w:rsidR="00000000" w:rsidRPr="006667EF" w:rsidP="006667EF">
            <w:pPr>
              <w:pStyle w:val="ListBullet"/>
            </w:pPr>
            <w:r w:rsidRPr="006667EF">
              <w:t>hydrogen physical and chemical characteristics</w:t>
            </w:r>
          </w:p>
          <w:p w:rsidR="00000000" w:rsidRPr="006667EF" w:rsidP="006667EF">
            <w:pPr>
              <w:pStyle w:val="ListBullet"/>
            </w:pPr>
            <w:r w:rsidRPr="006667EF">
              <w:t>hydrogen storage container pressure and capacity recommendations and limitations</w:t>
            </w:r>
          </w:p>
          <w:p w:rsidR="00000000" w:rsidRPr="006667EF" w:rsidP="006667EF">
            <w:pPr>
              <w:pStyle w:val="ListBullet"/>
            </w:pPr>
            <w:r w:rsidRPr="006667EF">
              <w:t>permit to work systems in a hydrogen environment</w:t>
            </w:r>
          </w:p>
          <w:p w:rsidR="00000000" w:rsidRPr="006667EF" w:rsidP="006667EF">
            <w:pPr>
              <w:pStyle w:val="ListBullet"/>
            </w:pPr>
            <w:r w:rsidRPr="006667EF">
              <w:t>regulations, industry standards, legislative requirements, codes of practice, manufacturers’ recommendations and specification</w:t>
            </w:r>
            <w:r w:rsidRPr="006667EF">
              <w:t>s, and environmental requirements</w:t>
            </w:r>
          </w:p>
          <w:p w:rsidR="00000000" w:rsidRPr="006667EF" w:rsidP="006667EF">
            <w:pPr>
              <w:pStyle w:val="ListBullet"/>
            </w:pPr>
            <w:r w:rsidRPr="006667EF">
              <w:t>relevant safe work method statements (SWMS)/job safety assessments or risk mitigation processes</w:t>
            </w:r>
          </w:p>
          <w:p w:rsidR="00000000" w:rsidRPr="006667EF" w:rsidP="006667EF">
            <w:pPr>
              <w:pStyle w:val="ListBullet"/>
            </w:pPr>
            <w:r w:rsidRPr="006667EF">
              <w:t xml:space="preserve">relevant stakeholders, including: </w:t>
            </w:r>
          </w:p>
          <w:p w:rsidR="00000000" w:rsidRPr="006667EF" w:rsidP="006667EF">
            <w:pPr>
              <w:pStyle w:val="ListBullet2"/>
            </w:pPr>
            <w:r w:rsidRPr="006667EF">
              <w:t xml:space="preserve">authorised persons </w:t>
            </w:r>
          </w:p>
          <w:p w:rsidR="00000000" w:rsidRPr="006667EF" w:rsidP="006667EF">
            <w:pPr>
              <w:pStyle w:val="ListBullet2"/>
            </w:pPr>
            <w:r w:rsidRPr="006667EF">
              <w:t>authorities</w:t>
            </w:r>
          </w:p>
          <w:p w:rsidR="00000000" w:rsidRPr="006667EF" w:rsidP="006667EF">
            <w:pPr>
              <w:pStyle w:val="ListBullet2"/>
            </w:pPr>
            <w:r w:rsidRPr="006667EF">
              <w:t xml:space="preserve">producers and users </w:t>
            </w:r>
          </w:p>
          <w:p w:rsidR="00000000" w:rsidRPr="006667EF" w:rsidP="006667EF">
            <w:pPr>
              <w:pStyle w:val="ListBullet2"/>
            </w:pPr>
            <w:r w:rsidRPr="006667EF">
              <w:t>qualified persons for the type of repair</w:t>
            </w:r>
          </w:p>
          <w:p w:rsidR="00000000" w:rsidRPr="006667EF" w:rsidP="006667EF">
            <w:pPr>
              <w:pStyle w:val="ListBullet"/>
            </w:pPr>
            <w:r w:rsidRPr="006667EF">
              <w:t>relevant WHS/OHS legislated requirements, including:</w:t>
            </w:r>
          </w:p>
          <w:p w:rsidR="00000000" w:rsidRPr="006667EF" w:rsidP="006667EF">
            <w:pPr>
              <w:pStyle w:val="ListBullet2"/>
            </w:pPr>
            <w:r w:rsidRPr="006667EF">
              <w:t>applicable emergency equipment and procedures</w:t>
            </w:r>
          </w:p>
          <w:p w:rsidR="00000000" w:rsidRPr="006667EF" w:rsidP="006667EF">
            <w:pPr>
              <w:pStyle w:val="ListBullet2"/>
            </w:pPr>
            <w:r w:rsidRPr="006667EF">
              <w:t>hazards, risk assessment and control measures</w:t>
            </w:r>
          </w:p>
          <w:p w:rsidR="00000000" w:rsidRPr="006667EF" w:rsidP="006667EF">
            <w:pPr>
              <w:pStyle w:val="ListBullet2"/>
            </w:pPr>
            <w:r w:rsidRPr="006667EF">
              <w:t>environmental and sustainable energy principles and practices, inclu</w:t>
            </w:r>
            <w:r w:rsidRPr="006667EF">
              <w:t>ding:</w:t>
            </w:r>
          </w:p>
          <w:p w:rsidR="00000000" w:rsidRPr="006667EF" w:rsidP="006667EF">
            <w:pPr>
              <w:pStyle w:val="ListBullet3"/>
            </w:pPr>
            <w:r w:rsidRPr="006667EF">
              <w:t>blue hydrogen</w:t>
            </w:r>
          </w:p>
          <w:p w:rsidR="00000000" w:rsidRPr="006667EF" w:rsidP="006667EF">
            <w:pPr>
              <w:pStyle w:val="ListBullet3"/>
            </w:pPr>
            <w:r w:rsidRPr="006667EF">
              <w:t>brown hydrogen</w:t>
            </w:r>
          </w:p>
          <w:p w:rsidR="00000000" w:rsidRPr="006667EF" w:rsidP="006667EF">
            <w:pPr>
              <w:pStyle w:val="ListBullet3"/>
            </w:pPr>
            <w:r w:rsidRPr="006667EF">
              <w:t>green hydrogen</w:t>
            </w:r>
          </w:p>
          <w:p w:rsidR="00000000" w:rsidRPr="006667EF" w:rsidP="006667EF">
            <w:pPr>
              <w:pStyle w:val="ListBullet3"/>
            </w:pPr>
            <w:r w:rsidRPr="006667EF">
              <w:t>grey hydrogen</w:t>
            </w:r>
          </w:p>
          <w:p w:rsidR="00000000" w:rsidRPr="006667EF" w:rsidP="006667EF">
            <w:pPr>
              <w:pStyle w:val="ListBullet"/>
            </w:pPr>
            <w:r w:rsidRPr="006667EF">
              <w:t>relevant workplace documentation</w:t>
            </w:r>
          </w:p>
          <w:p w:rsidR="00000000" w:rsidRPr="006667EF" w:rsidP="006667EF">
            <w:pPr>
              <w:pStyle w:val="ListBullet"/>
            </w:pPr>
            <w:r w:rsidRPr="006667EF">
              <w:t>quality and safety checks</w:t>
            </w:r>
          </w:p>
          <w:p w:rsidR="00000000" w:rsidRPr="006667EF" w:rsidP="006667EF">
            <w:pPr>
              <w:pStyle w:val="ListBullet"/>
            </w:pPr>
            <w:r w:rsidRPr="006667EF">
              <w:t>relevant workplace policies and procedures, including:</w:t>
            </w:r>
          </w:p>
          <w:p w:rsidR="00000000" w:rsidRPr="006667EF" w:rsidP="006667EF">
            <w:pPr>
              <w:pStyle w:val="ListBullet2"/>
            </w:pPr>
            <w:r w:rsidRPr="006667EF">
              <w:t>decommissioning and recommissioning procedures</w:t>
            </w:r>
          </w:p>
          <w:p w:rsidR="00000000" w:rsidRPr="006667EF" w:rsidP="006667EF">
            <w:pPr>
              <w:pStyle w:val="ListBullet2"/>
            </w:pPr>
            <w:r w:rsidRPr="006667EF">
              <w:t>emergency shutdown procedures</w:t>
            </w:r>
          </w:p>
          <w:p w:rsidR="00000000" w:rsidRPr="006667EF" w:rsidP="006667EF">
            <w:pPr>
              <w:pStyle w:val="ListBullet2"/>
            </w:pPr>
            <w:r w:rsidRPr="006667EF">
              <w:t>standard operating procedures</w:t>
            </w:r>
          </w:p>
          <w:p w:rsidR="00000000" w:rsidRPr="006667EF" w:rsidP="006667EF">
            <w:pPr>
              <w:pStyle w:val="ListBullet"/>
            </w:pPr>
            <w:r w:rsidRPr="006667EF">
              <w:t xml:space="preserve">techniques for fault finding and repairing equipment in a hydrogen storage facility </w:t>
            </w:r>
          </w:p>
          <w:p w:rsidR="00000000" w:rsidRPr="006667EF" w:rsidP="006667EF">
            <w:pPr>
              <w:pStyle w:val="ListBullet"/>
            </w:pPr>
            <w:r w:rsidRPr="006667EF">
              <w:t>technical drawings for the hydrogen environment.</w:t>
            </w:r>
          </w:p>
        </w:tc>
      </w:tr>
    </w:tbl>
    <w:p w:rsidR="00000000" w:rsidRPr="006667EF" w:rsidP="006667EF">
      <w:pPr>
        <w:pStyle w:val="NoPaddingFontSize1"/>
      </w:pPr>
    </w:p>
    <w:p w:rsidR="00000000" w:rsidRPr="006667EF" w:rsidP="006667EF">
      <w:pPr>
        <w:pStyle w:val="AllowPageBreak"/>
      </w:pPr>
    </w:p>
    <w:p w:rsidR="00000000" w:rsidRPr="006667EF" w:rsidP="006667EF">
      <w:pPr>
        <w:pStyle w:val="Heading1"/>
      </w:pPr>
      <w:bookmarkStart w:id="4" w:name="O_1188601"/>
      <w:bookmarkEnd w:id="4"/>
      <w:r w:rsidRPr="006667EF">
        <w:t>Assessment Conditions</w:t>
      </w:r>
    </w:p>
    <w:tbl>
      <w:tblPr>
        <w:tblW w:w="9497" w:type="dxa"/>
        <w:tblLayout w:type="fixed"/>
        <w:tblCellMar>
          <w:left w:w="62" w:type="dxa"/>
          <w:right w:w="62" w:type="dxa"/>
        </w:tblCellMar>
        <w:tblLook w:val="0000"/>
      </w:tblPr>
      <w:tblGrid>
        <w:gridCol w:w="9497"/>
      </w:tblGrid>
      <w:tr w:rsidTr="006667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67EF" w:rsidP="006667EF">
            <w:pPr>
              <w:pStyle w:val="BodyText"/>
            </w:pPr>
            <w:r w:rsidRPr="006667EF">
              <w:t xml:space="preserve">Assessors must hold credentials specified within the Standards for Registered Training Organisations current at the time of assessment. </w:t>
            </w:r>
          </w:p>
          <w:p w:rsidR="00000000" w:rsidRPr="006667EF" w:rsidP="006667EF">
            <w:pPr>
              <w:pStyle w:val="BodyText"/>
            </w:pPr>
            <w:r w:rsidRPr="006667EF">
              <w:t>Assessment must satisfy the Principles of Assessment and Rules of Evidence and all regulatory requirements included wit</w:t>
            </w:r>
            <w:r w:rsidRPr="006667EF">
              <w:t>hin the Standards for Registered Training Organisations current at the time of assessment.</w:t>
            </w:r>
          </w:p>
          <w:p w:rsidR="00000000" w:rsidRPr="006667EF" w:rsidP="006667EF">
            <w:pPr>
              <w:pStyle w:val="BodyText"/>
            </w:pPr>
            <w:r w:rsidRPr="006667EF">
              <w:t>Assessment must occur in workplace operational situations where it is appropriate to do so; where this is not appropriate, assessment must occur in simulated workpla</w:t>
            </w:r>
            <w:r w:rsidRPr="006667EF">
              <w:t xml:space="preserve">ce operational situations that replicate workplace conditions. </w:t>
            </w:r>
          </w:p>
          <w:p w:rsidR="00000000" w:rsidRPr="006667EF" w:rsidP="006667EF">
            <w:pPr>
              <w:pStyle w:val="BodyText"/>
            </w:pPr>
            <w:r w:rsidRPr="006667EF">
              <w:t>Assessment processes and techniques must be appropriate to the language, literacy and numeracy requirements of the work being performed and the needs of the candidate.</w:t>
            </w:r>
          </w:p>
          <w:p w:rsidR="00000000" w:rsidRPr="006667EF" w:rsidP="006667EF">
            <w:pPr>
              <w:pStyle w:val="BodyText"/>
            </w:pPr>
            <w:r w:rsidRPr="006667EF">
              <w:t>Resources for assessment</w:t>
            </w:r>
            <w:r w:rsidRPr="006667EF">
              <w:t xml:space="preserve"> must include access to:</w:t>
            </w:r>
          </w:p>
          <w:p w:rsidR="00000000" w:rsidRPr="006667EF" w:rsidP="006667EF">
            <w:pPr>
              <w:pStyle w:val="ListBullet"/>
            </w:pPr>
            <w:r w:rsidRPr="006667EF">
              <w:t>a range of relevant exercises, case studies and/or other simulations</w:t>
            </w:r>
          </w:p>
          <w:p w:rsidR="00000000" w:rsidRPr="006667EF" w:rsidP="006667EF">
            <w:pPr>
              <w:pStyle w:val="ListBullet"/>
            </w:pPr>
            <w:r w:rsidRPr="006667EF">
              <w:t xml:space="preserve">relevant and appropriate materials, tools, equipment and personal protective equipment (PPE) currently used in industry </w:t>
            </w:r>
          </w:p>
          <w:p w:rsidR="00000000" w:rsidRPr="006667EF" w:rsidP="006667EF">
            <w:pPr>
              <w:pStyle w:val="ListBullet"/>
            </w:pPr>
            <w:r w:rsidRPr="006667EF">
              <w:t>applicable documentation, including work</w:t>
            </w:r>
            <w:r w:rsidRPr="006667EF">
              <w:t>place procedures, equipment specifications, regulations, codes of practice and operation manuals.</w:t>
            </w:r>
          </w:p>
        </w:tc>
      </w:tr>
    </w:tbl>
    <w:p w:rsidR="00000000" w:rsidRPr="006667EF" w:rsidP="006667EF">
      <w:pPr>
        <w:pStyle w:val="NoPaddingFontSize1"/>
      </w:pPr>
    </w:p>
    <w:p w:rsidR="00000000" w:rsidRPr="006667EF" w:rsidP="006667EF">
      <w:pPr>
        <w:pStyle w:val="AllowPageBreak"/>
      </w:pPr>
    </w:p>
    <w:p w:rsidR="00000000" w:rsidRPr="006667EF" w:rsidP="006667EF">
      <w:pPr>
        <w:pStyle w:val="Heading1"/>
      </w:pPr>
      <w:bookmarkStart w:id="5" w:name="O_1188604"/>
      <w:bookmarkEnd w:id="5"/>
      <w:r w:rsidRPr="006667EF">
        <w:t>Links</w:t>
      </w:r>
    </w:p>
    <w:p w:rsidR="00000000" w:rsidRPr="006667EF" w:rsidP="003B5137">
      <w:pPr>
        <w:pStyle w:val="BodyText"/>
      </w:pPr>
      <w:r w:rsidRPr="006667EF">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12C1E">
        <w:rPr>
          <w:rStyle w:val="Hyperlink"/>
        </w:rPr>
        <w:t>https://vetnet.gov.au/Pages/TrainingDocs.aspx?q=6a6c032e-ffcb-4f3d-8063-415efbd261e8</w:t>
      </w:r>
      <w:r>
        <w:fldChar w:fldCharType="end"/>
      </w:r>
    </w:p>
    <w:p w:rsidR="00000000" w:rsidRPr="006667EF" w:rsidP="006667EF"/>
    <w:sectPr w:rsidSect="006667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7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7EF" w:rsidRPr="003B5137" w:rsidP="003B51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7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137" w:rsidP="006667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5137" w:rsidP="006667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B5137" w:rsidP="006667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7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1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67EF" w:rsidRPr="003B5137" w:rsidP="003B51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7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137" w:rsidRPr="002D2AF8" w:rsidP="006667EF">
    <w:pPr>
      <w:pStyle w:val="Header"/>
      <w:framePr w:wrap="around"/>
    </w:pPr>
    <w:r>
      <w:fldChar w:fldCharType="begin"/>
    </w:r>
    <w:r>
      <w:instrText xml:space="preserve"> TITLE   \* MERGEFORMAT </w:instrText>
    </w:r>
    <w:r>
      <w:fldChar w:fldCharType="separate"/>
    </w:r>
    <w:r>
      <w:t>Assessment Requirements for UEGNSG903 Fault find and repair hydrogen storage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3B5137" w:rsidP="006667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DC84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F639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6EF0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7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67EF"/>
    <w:pPr>
      <w:spacing w:before="360" w:after="60"/>
      <w:outlineLvl w:val="0"/>
    </w:pPr>
    <w:rPr>
      <w:sz w:val="32"/>
    </w:rPr>
  </w:style>
  <w:style w:type="paragraph" w:styleId="Heading2">
    <w:name w:val="heading 2"/>
    <w:basedOn w:val="HeadingBase"/>
    <w:next w:val="BodyText"/>
    <w:link w:val="Heading2Char"/>
    <w:qFormat/>
    <w:rsid w:val="006667EF"/>
    <w:pPr>
      <w:keepLines/>
      <w:spacing w:before="240" w:after="120"/>
      <w:outlineLvl w:val="1"/>
    </w:pPr>
    <w:rPr>
      <w:sz w:val="28"/>
      <w:szCs w:val="40"/>
    </w:rPr>
  </w:style>
  <w:style w:type="paragraph" w:styleId="Heading3">
    <w:name w:val="heading 3"/>
    <w:basedOn w:val="HeadingBase"/>
    <w:next w:val="BodyText"/>
    <w:link w:val="Heading3Char"/>
    <w:qFormat/>
    <w:rsid w:val="006667EF"/>
    <w:pPr>
      <w:spacing w:before="180" w:after="120"/>
      <w:outlineLvl w:val="2"/>
    </w:pPr>
    <w:rPr>
      <w:spacing w:val="-10"/>
      <w:kern w:val="32"/>
    </w:rPr>
  </w:style>
  <w:style w:type="paragraph" w:styleId="Heading4">
    <w:name w:val="heading 4"/>
    <w:basedOn w:val="HeadingBase"/>
    <w:next w:val="BodyText"/>
    <w:link w:val="Heading4Char"/>
    <w:qFormat/>
    <w:rsid w:val="006667EF"/>
    <w:pPr>
      <w:spacing w:before="160" w:after="120"/>
      <w:outlineLvl w:val="3"/>
    </w:pPr>
    <w:rPr>
      <w:sz w:val="22"/>
    </w:rPr>
  </w:style>
  <w:style w:type="paragraph" w:styleId="Heading5">
    <w:name w:val="heading 5"/>
    <w:basedOn w:val="HeadingBase"/>
    <w:next w:val="Normal"/>
    <w:link w:val="Heading5Char"/>
    <w:qFormat/>
    <w:rsid w:val="006667EF"/>
    <w:pPr>
      <w:spacing w:before="80"/>
      <w:outlineLvl w:val="4"/>
    </w:pPr>
    <w:rPr>
      <w:color w:val="918585"/>
      <w:sz w:val="20"/>
    </w:rPr>
  </w:style>
  <w:style w:type="paragraph" w:styleId="Heading6">
    <w:name w:val="heading 6"/>
    <w:basedOn w:val="HeadingBase"/>
    <w:next w:val="Normal"/>
    <w:link w:val="Heading6Char"/>
    <w:qFormat/>
    <w:rsid w:val="006667EF"/>
    <w:pPr>
      <w:spacing w:before="60"/>
      <w:outlineLvl w:val="5"/>
    </w:pPr>
    <w:rPr>
      <w:color w:val="918585"/>
      <w:sz w:val="20"/>
    </w:rPr>
  </w:style>
  <w:style w:type="paragraph" w:styleId="Heading7">
    <w:name w:val="heading 7"/>
    <w:basedOn w:val="Normal"/>
    <w:next w:val="Normal"/>
    <w:link w:val="Heading7Char"/>
    <w:qFormat/>
    <w:rsid w:val="006667EF"/>
    <w:pPr>
      <w:ind w:left="720"/>
      <w:outlineLvl w:val="6"/>
    </w:pPr>
    <w:rPr>
      <w:i/>
    </w:rPr>
  </w:style>
  <w:style w:type="paragraph" w:styleId="Heading8">
    <w:name w:val="heading 8"/>
    <w:basedOn w:val="Normal"/>
    <w:next w:val="Normal"/>
    <w:link w:val="Heading8Char"/>
    <w:qFormat/>
    <w:rsid w:val="006667EF"/>
    <w:pPr>
      <w:ind w:left="720"/>
      <w:outlineLvl w:val="7"/>
    </w:pPr>
    <w:rPr>
      <w:i/>
    </w:rPr>
  </w:style>
  <w:style w:type="paragraph" w:styleId="Heading9">
    <w:name w:val="heading 9"/>
    <w:basedOn w:val="Normal"/>
    <w:next w:val="Normal"/>
    <w:link w:val="Heading9Char"/>
    <w:qFormat/>
    <w:rsid w:val="006667EF"/>
    <w:pPr>
      <w:ind w:left="720"/>
      <w:outlineLvl w:val="8"/>
    </w:pPr>
    <w:rPr>
      <w:i/>
    </w:rPr>
  </w:style>
  <w:style w:type="character" w:default="1" w:styleId="DefaultParagraphFont">
    <w:name w:val="Default Paragraph Font"/>
    <w:uiPriority w:val="1"/>
    <w:unhideWhenUsed/>
    <w:rsid w:val="006667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7EF"/>
  </w:style>
  <w:style w:type="character" w:customStyle="1" w:styleId="Heading1Char">
    <w:name w:val="Heading 1 Char"/>
    <w:basedOn w:val="DefaultParagraphFont"/>
    <w:link w:val="Heading1"/>
    <w:rsid w:val="006667EF"/>
    <w:rPr>
      <w:rFonts w:ascii="Times New Roman" w:eastAsia="Times New Roman" w:hAnsi="Times New Roman" w:cs="Times New Roman"/>
      <w:b/>
      <w:sz w:val="32"/>
      <w:szCs w:val="20"/>
      <w:lang w:eastAsia="en-US"/>
    </w:rPr>
  </w:style>
  <w:style w:type="paragraph" w:styleId="BodyText">
    <w:name w:val="Body Text"/>
    <w:basedOn w:val="Normal"/>
    <w:link w:val="BodyTextChar"/>
    <w:rsid w:val="006667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67EF"/>
    <w:rPr>
      <w:rFonts w:ascii="Times New Roman" w:eastAsia="Times New Roman" w:hAnsi="Times New Roman" w:cs="Times New Roman"/>
      <w:sz w:val="24"/>
      <w:lang w:eastAsia="en-US"/>
    </w:rPr>
  </w:style>
  <w:style w:type="paragraph" w:styleId="ListBullet">
    <w:name w:val="List Bullet"/>
    <w:basedOn w:val="List"/>
    <w:rsid w:val="006667EF"/>
    <w:pPr>
      <w:numPr>
        <w:numId w:val="13"/>
      </w:numPr>
      <w:tabs>
        <w:tab w:val="clear" w:pos="340"/>
      </w:tabs>
      <w:spacing w:before="40" w:after="40"/>
    </w:pPr>
  </w:style>
  <w:style w:type="paragraph" w:styleId="ListBullet2">
    <w:name w:val="List Bullet 2"/>
    <w:basedOn w:val="List2"/>
    <w:rsid w:val="006667EF"/>
    <w:pPr>
      <w:numPr>
        <w:numId w:val="14"/>
      </w:numPr>
      <w:tabs>
        <w:tab w:val="clear" w:pos="680"/>
      </w:tabs>
    </w:pPr>
  </w:style>
  <w:style w:type="paragraph" w:customStyle="1" w:styleId="SuperHeading">
    <w:name w:val="SuperHeading"/>
    <w:basedOn w:val="Normal"/>
    <w:rsid w:val="006667EF"/>
    <w:pPr>
      <w:spacing w:before="240" w:after="120"/>
      <w:outlineLvl w:val="0"/>
    </w:pPr>
    <w:rPr>
      <w:rFonts w:ascii="Times New Roman" w:hAnsi="Times New Roman"/>
      <w:b/>
      <w:sz w:val="32"/>
    </w:rPr>
  </w:style>
  <w:style w:type="paragraph" w:customStyle="1" w:styleId="AllowPageBreak">
    <w:name w:val="AllowPageBreak"/>
    <w:rsid w:val="006667E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667E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667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7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7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7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7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7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67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67EF"/>
    <w:rPr>
      <w:rFonts w:ascii="Courier New" w:eastAsia="Times New Roman" w:hAnsi="Courier New" w:cs="Times New Roman"/>
      <w:i/>
      <w:szCs w:val="20"/>
      <w:lang w:eastAsia="en-US"/>
    </w:rPr>
  </w:style>
  <w:style w:type="paragraph" w:customStyle="1" w:styleId="HeadingBase">
    <w:name w:val="Heading Base"/>
    <w:rsid w:val="006667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7EF"/>
    <w:pPr>
      <w:tabs>
        <w:tab w:val="right" w:leader="dot" w:pos="9072"/>
      </w:tabs>
      <w:ind w:left="567"/>
    </w:pPr>
    <w:rPr>
      <w:szCs w:val="22"/>
    </w:rPr>
  </w:style>
  <w:style w:type="paragraph" w:customStyle="1" w:styleId="TOCBase">
    <w:name w:val="TOC Base"/>
    <w:rsid w:val="006667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7EF"/>
    <w:pPr>
      <w:tabs>
        <w:tab w:val="right" w:leader="dot" w:pos="9072"/>
      </w:tabs>
      <w:spacing w:before="40" w:after="40"/>
      <w:ind w:left="284"/>
    </w:pPr>
    <w:rPr>
      <w:rFonts w:ascii="Times New Roman" w:hAnsi="Times New Roman"/>
    </w:rPr>
  </w:style>
  <w:style w:type="paragraph" w:styleId="TOC1">
    <w:name w:val="toc 1"/>
    <w:basedOn w:val="TOCBase"/>
    <w:next w:val="Normal"/>
    <w:rsid w:val="006667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67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7EF"/>
    <w:rPr>
      <w:rFonts w:ascii="Times New Roman" w:eastAsia="Times New Roman" w:hAnsi="Times New Roman" w:cs="Times New Roman"/>
      <w:sz w:val="16"/>
      <w:lang w:eastAsia="en-US"/>
    </w:rPr>
  </w:style>
  <w:style w:type="paragraph" w:styleId="Title">
    <w:name w:val="Title"/>
    <w:basedOn w:val="HeadingBase"/>
    <w:link w:val="TitleChar"/>
    <w:qFormat/>
    <w:rsid w:val="006667EF"/>
    <w:pPr>
      <w:spacing w:before="5040"/>
      <w:jc w:val="center"/>
    </w:pPr>
    <w:rPr>
      <w:sz w:val="48"/>
      <w:szCs w:val="72"/>
      <w:lang w:val="en-US"/>
    </w:rPr>
  </w:style>
  <w:style w:type="character" w:customStyle="1" w:styleId="TitleChar">
    <w:name w:val="Title Char"/>
    <w:basedOn w:val="DefaultParagraphFont"/>
    <w:link w:val="Title"/>
    <w:rsid w:val="006667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7EF"/>
    <w:pPr>
      <w:tabs>
        <w:tab w:val="left" w:pos="3600"/>
        <w:tab w:val="left" w:pos="3958"/>
      </w:tabs>
    </w:pPr>
  </w:style>
  <w:style w:type="paragraph" w:styleId="List">
    <w:name w:val="List"/>
    <w:basedOn w:val="BodyText"/>
    <w:next w:val="BodyText"/>
    <w:rsid w:val="006667EF"/>
    <w:pPr>
      <w:tabs>
        <w:tab w:val="left" w:pos="340"/>
      </w:tabs>
      <w:spacing w:before="60" w:after="60"/>
      <w:ind w:left="340" w:hanging="340"/>
    </w:pPr>
  </w:style>
  <w:style w:type="paragraph" w:customStyle="1" w:styleId="Note">
    <w:name w:val="Note"/>
    <w:basedOn w:val="BodyText"/>
    <w:rsid w:val="006667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67EF"/>
    <w:rPr>
      <w:b/>
      <w:spacing w:val="0"/>
    </w:rPr>
  </w:style>
  <w:style w:type="paragraph" w:customStyle="1" w:styleId="SuperTitle">
    <w:name w:val="SuperTitle"/>
    <w:basedOn w:val="Title"/>
    <w:rsid w:val="006667EF"/>
    <w:pPr>
      <w:framePr w:wrap="auto" w:hAnchor="text" w:y="6049"/>
    </w:pPr>
    <w:rPr>
      <w:color w:val="000000"/>
      <w:sz w:val="40"/>
    </w:rPr>
  </w:style>
  <w:style w:type="paragraph" w:customStyle="1" w:styleId="TOCTitle">
    <w:name w:val="TOCTitle"/>
    <w:basedOn w:val="Heading1"/>
    <w:rsid w:val="006667EF"/>
    <w:pPr>
      <w:spacing w:after="240"/>
      <w:jc w:val="center"/>
      <w:outlineLvl w:val="9"/>
    </w:pPr>
    <w:rPr>
      <w:caps/>
    </w:rPr>
  </w:style>
  <w:style w:type="paragraph" w:customStyle="1" w:styleId="Version">
    <w:name w:val="Version"/>
    <w:rsid w:val="006667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67EF"/>
    <w:pPr>
      <w:keepNext w:val="0"/>
      <w:tabs>
        <w:tab w:val="right" w:pos="4176"/>
      </w:tabs>
      <w:ind w:left="198" w:hanging="198"/>
    </w:pPr>
    <w:rPr>
      <w:rFonts w:ascii="Garamond" w:hAnsi="Garamond"/>
    </w:rPr>
  </w:style>
  <w:style w:type="paragraph" w:styleId="IndexHeading">
    <w:name w:val="index heading"/>
    <w:basedOn w:val="Normal"/>
    <w:next w:val="Index1"/>
    <w:semiHidden/>
    <w:rsid w:val="006667EF"/>
    <w:pPr>
      <w:spacing w:before="120" w:after="120"/>
    </w:pPr>
    <w:rPr>
      <w:rFonts w:ascii="Arial" w:hAnsi="Arial"/>
      <w:b/>
      <w:color w:val="918585"/>
      <w:sz w:val="24"/>
    </w:rPr>
  </w:style>
  <w:style w:type="paragraph" w:styleId="Header">
    <w:name w:val="header"/>
    <w:basedOn w:val="Normal"/>
    <w:link w:val="HeaderChar"/>
    <w:rsid w:val="006667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7EF"/>
    <w:rPr>
      <w:rFonts w:ascii="Times New Roman" w:eastAsia="Times New Roman" w:hAnsi="Times New Roman" w:cs="Times New Roman"/>
      <w:sz w:val="16"/>
      <w:szCs w:val="20"/>
      <w:lang w:val="en-GB" w:eastAsia="en-US"/>
    </w:rPr>
  </w:style>
  <w:style w:type="paragraph" w:customStyle="1" w:styleId="Chapter">
    <w:name w:val="Chapter"/>
    <w:basedOn w:val="Normal"/>
    <w:rsid w:val="006667EF"/>
    <w:pPr>
      <w:spacing w:before="240"/>
    </w:pPr>
    <w:rPr>
      <w:rFonts w:ascii="Times New Roman" w:hAnsi="Times New Roman"/>
      <w:smallCaps/>
      <w:spacing w:val="80"/>
      <w:sz w:val="28"/>
    </w:rPr>
  </w:style>
  <w:style w:type="paragraph" w:customStyle="1" w:styleId="InChapter">
    <w:name w:val="InChapter"/>
    <w:basedOn w:val="Heading3"/>
    <w:rsid w:val="006667EF"/>
    <w:pPr>
      <w:spacing w:after="240"/>
      <w:outlineLvl w:val="9"/>
    </w:pPr>
    <w:rPr>
      <w:noProof/>
    </w:rPr>
  </w:style>
  <w:style w:type="paragraph" w:styleId="Index2">
    <w:name w:val="index 2"/>
    <w:basedOn w:val="Normal"/>
    <w:next w:val="Normal"/>
    <w:semiHidden/>
    <w:rsid w:val="006667EF"/>
    <w:pPr>
      <w:tabs>
        <w:tab w:val="right" w:pos="4176"/>
      </w:tabs>
      <w:ind w:left="568" w:hanging="284"/>
    </w:pPr>
    <w:rPr>
      <w:rFonts w:ascii="Garamond" w:hAnsi="Garamond"/>
    </w:rPr>
  </w:style>
  <w:style w:type="paragraph" w:customStyle="1" w:styleId="Byline">
    <w:name w:val="Byline"/>
    <w:rsid w:val="006667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7EF"/>
    <w:pPr>
      <w:tabs>
        <w:tab w:val="clear" w:pos="3600"/>
        <w:tab w:val="clear" w:pos="3958"/>
      </w:tabs>
      <w:jc w:val="right"/>
    </w:pPr>
  </w:style>
  <w:style w:type="character" w:styleId="Emphasis">
    <w:name w:val="Emphasis"/>
    <w:basedOn w:val="DefaultParagraphFont"/>
    <w:qFormat/>
    <w:rsid w:val="006667EF"/>
    <w:rPr>
      <w:i/>
    </w:rPr>
  </w:style>
  <w:style w:type="paragraph" w:styleId="Caption">
    <w:name w:val="caption"/>
    <w:basedOn w:val="BodyText"/>
    <w:next w:val="Normal"/>
    <w:qFormat/>
    <w:rsid w:val="006667EF"/>
    <w:pPr>
      <w:framePr w:w="2268" w:hSpace="181" w:vSpace="181" w:wrap="around" w:vAnchor="text" w:hAnchor="page" w:x="1135" w:y="285" w:anchorLock="1"/>
    </w:pPr>
    <w:rPr>
      <w:i/>
    </w:rPr>
  </w:style>
  <w:style w:type="paragraph" w:customStyle="1" w:styleId="MiniTOCTitle">
    <w:name w:val="MiniTOCTitle"/>
    <w:basedOn w:val="Heading4"/>
    <w:rsid w:val="006667EF"/>
    <w:pPr>
      <w:spacing w:before="240"/>
      <w:outlineLvl w:val="9"/>
    </w:pPr>
    <w:rPr>
      <w:noProof/>
      <w:sz w:val="24"/>
    </w:rPr>
  </w:style>
  <w:style w:type="paragraph" w:customStyle="1" w:styleId="MiniTOCItem">
    <w:name w:val="MiniTOCItem"/>
    <w:basedOn w:val="ListBullet"/>
    <w:rsid w:val="006667EF"/>
    <w:pPr>
      <w:numPr>
        <w:numId w:val="0"/>
      </w:numPr>
      <w:tabs>
        <w:tab w:val="right" w:leader="dot" w:pos="6521"/>
      </w:tabs>
      <w:spacing w:before="0" w:after="0"/>
    </w:pPr>
  </w:style>
  <w:style w:type="paragraph" w:customStyle="1" w:styleId="TOFTitle">
    <w:name w:val="TOFTitle"/>
    <w:basedOn w:val="TOCTitle"/>
    <w:rsid w:val="006667EF"/>
  </w:style>
  <w:style w:type="paragraph" w:styleId="TableofFigures">
    <w:name w:val="table of figures"/>
    <w:basedOn w:val="Normal"/>
    <w:next w:val="Normal"/>
    <w:semiHidden/>
    <w:rsid w:val="006667EF"/>
    <w:pPr>
      <w:tabs>
        <w:tab w:val="right" w:leader="dot" w:pos="9072"/>
      </w:tabs>
      <w:ind w:left="970" w:hanging="403"/>
    </w:pPr>
    <w:rPr>
      <w:rFonts w:ascii="Times New Roman" w:hAnsi="Times New Roman"/>
      <w:b/>
    </w:rPr>
  </w:style>
  <w:style w:type="paragraph" w:styleId="ListNumber">
    <w:name w:val="List Number"/>
    <w:basedOn w:val="List"/>
    <w:rsid w:val="006667EF"/>
    <w:pPr>
      <w:numPr>
        <w:numId w:val="16"/>
      </w:numPr>
      <w:tabs>
        <w:tab w:val="clear" w:pos="340"/>
      </w:tabs>
    </w:pPr>
  </w:style>
  <w:style w:type="character" w:customStyle="1" w:styleId="WingdingSymbols">
    <w:name w:val="Wingding Symbols"/>
    <w:rsid w:val="006667EF"/>
    <w:rPr>
      <w:rFonts w:ascii="Wingdings" w:hAnsi="Wingdings"/>
    </w:rPr>
  </w:style>
  <w:style w:type="paragraph" w:customStyle="1" w:styleId="TableHeading">
    <w:name w:val="Table Heading"/>
    <w:basedOn w:val="HeadingBase"/>
    <w:rsid w:val="006667EF"/>
    <w:pPr>
      <w:keepLines/>
      <w:pBdr>
        <w:bottom w:val="single" w:sz="6" w:space="1" w:color="918585"/>
      </w:pBdr>
      <w:spacing w:before="240"/>
    </w:pPr>
  </w:style>
  <w:style w:type="character" w:customStyle="1" w:styleId="HotSpot">
    <w:name w:val="HotSpot"/>
    <w:rsid w:val="006667EF"/>
    <w:rPr>
      <w:color w:val="0033CC"/>
      <w:u w:val="none"/>
    </w:rPr>
  </w:style>
  <w:style w:type="paragraph" w:customStyle="1" w:styleId="BodyTextRight">
    <w:name w:val="Body Text Right"/>
    <w:basedOn w:val="BodyText"/>
    <w:rsid w:val="006667EF"/>
    <w:pPr>
      <w:spacing w:before="0" w:after="0"/>
      <w:jc w:val="right"/>
    </w:pPr>
  </w:style>
  <w:style w:type="paragraph" w:styleId="Index3">
    <w:name w:val="index 3"/>
    <w:basedOn w:val="ListNumber2"/>
    <w:next w:val="Normal"/>
    <w:semiHidden/>
    <w:rsid w:val="006667EF"/>
    <w:pPr>
      <w:numPr>
        <w:numId w:val="0"/>
      </w:numPr>
      <w:tabs>
        <w:tab w:val="right" w:leader="dot" w:pos="4176"/>
      </w:tabs>
    </w:pPr>
  </w:style>
  <w:style w:type="paragraph" w:styleId="ListNumber2">
    <w:name w:val="List Number 2"/>
    <w:basedOn w:val="List2"/>
    <w:rsid w:val="006667EF"/>
    <w:pPr>
      <w:numPr>
        <w:numId w:val="11"/>
      </w:numPr>
      <w:tabs>
        <w:tab w:val="clear" w:pos="1060"/>
      </w:tabs>
    </w:pPr>
  </w:style>
  <w:style w:type="paragraph" w:customStyle="1" w:styleId="MarginNote">
    <w:name w:val="Margin Note"/>
    <w:basedOn w:val="BodyText"/>
    <w:rsid w:val="006667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7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7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67EF"/>
    <w:rPr>
      <w:sz w:val="32"/>
    </w:rPr>
  </w:style>
  <w:style w:type="paragraph" w:customStyle="1" w:styleId="HeadingProcedure">
    <w:name w:val="Heading Procedure"/>
    <w:basedOn w:val="HeadingBase"/>
    <w:next w:val="Normal"/>
    <w:rsid w:val="006667EF"/>
    <w:pPr>
      <w:tabs>
        <w:tab w:val="left" w:pos="0"/>
      </w:tabs>
      <w:spacing w:before="120" w:after="60"/>
    </w:pPr>
    <w:rPr>
      <w:i/>
      <w:color w:val="918585"/>
      <w:sz w:val="22"/>
    </w:rPr>
  </w:style>
  <w:style w:type="paragraph" w:customStyle="1" w:styleId="TableBodyText">
    <w:name w:val="Table Body Text"/>
    <w:basedOn w:val="BodyText"/>
    <w:rsid w:val="006667EF"/>
    <w:pPr>
      <w:spacing w:before="60" w:after="60"/>
    </w:pPr>
  </w:style>
  <w:style w:type="paragraph" w:styleId="ListContinue">
    <w:name w:val="List Continue"/>
    <w:basedOn w:val="List"/>
    <w:rsid w:val="006667EF"/>
    <w:pPr>
      <w:ind w:firstLine="0"/>
    </w:pPr>
  </w:style>
  <w:style w:type="paragraph" w:customStyle="1" w:styleId="ListNote">
    <w:name w:val="List Note"/>
    <w:basedOn w:val="List"/>
    <w:rsid w:val="006667EF"/>
    <w:pPr>
      <w:pBdr>
        <w:top w:val="single" w:sz="6" w:space="2" w:color="918585"/>
        <w:bottom w:val="single" w:sz="6" w:space="2" w:color="918585"/>
      </w:pBdr>
      <w:tabs>
        <w:tab w:val="left" w:pos="1021"/>
      </w:tabs>
      <w:ind w:firstLine="0"/>
    </w:pPr>
  </w:style>
  <w:style w:type="paragraph" w:customStyle="1" w:styleId="Warning">
    <w:name w:val="Warning"/>
    <w:basedOn w:val="BodyText"/>
    <w:rsid w:val="006667EF"/>
    <w:pPr>
      <w:shd w:val="clear" w:color="auto" w:fill="D9D9D9"/>
      <w:tabs>
        <w:tab w:val="left" w:pos="992"/>
      </w:tabs>
      <w:ind w:left="119" w:right="119"/>
    </w:pPr>
    <w:rPr>
      <w:sz w:val="20"/>
    </w:rPr>
  </w:style>
  <w:style w:type="paragraph" w:customStyle="1" w:styleId="MarginIcons">
    <w:name w:val="Margin Icons"/>
    <w:basedOn w:val="BodyText"/>
    <w:rsid w:val="006667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7EF"/>
    <w:rPr>
      <w:rFonts w:ascii="Courier New" w:hAnsi="Courier New"/>
    </w:rPr>
  </w:style>
  <w:style w:type="paragraph" w:customStyle="1" w:styleId="NoteBullet">
    <w:name w:val="Note Bullet"/>
    <w:basedOn w:val="Note"/>
    <w:rsid w:val="006667EF"/>
    <w:pPr>
      <w:tabs>
        <w:tab w:val="clear" w:pos="680"/>
      </w:tabs>
      <w:spacing w:before="60" w:after="60"/>
    </w:pPr>
  </w:style>
  <w:style w:type="paragraph" w:customStyle="1" w:styleId="SubHeading2">
    <w:name w:val="SubHeading2"/>
    <w:basedOn w:val="HeadingBase"/>
    <w:rsid w:val="006667EF"/>
    <w:pPr>
      <w:spacing w:before="240" w:after="60"/>
    </w:pPr>
    <w:rPr>
      <w:sz w:val="20"/>
    </w:rPr>
  </w:style>
  <w:style w:type="paragraph" w:customStyle="1" w:styleId="SubHeading1">
    <w:name w:val="SubHeading1"/>
    <w:basedOn w:val="HeadingBase"/>
    <w:rsid w:val="006667EF"/>
    <w:pPr>
      <w:spacing w:before="240" w:after="60"/>
    </w:pPr>
    <w:rPr>
      <w:color w:val="918585"/>
      <w:sz w:val="22"/>
    </w:rPr>
  </w:style>
  <w:style w:type="paragraph" w:customStyle="1" w:styleId="SideHeading">
    <w:name w:val="Side Heading"/>
    <w:basedOn w:val="HeadingBase"/>
    <w:rsid w:val="006667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7EF"/>
    <w:pPr>
      <w:numPr>
        <w:numId w:val="12"/>
      </w:numPr>
    </w:pPr>
  </w:style>
  <w:style w:type="paragraph" w:styleId="PlainText">
    <w:name w:val="Plain Text"/>
    <w:basedOn w:val="Normal"/>
    <w:link w:val="PlainTextChar"/>
    <w:rsid w:val="006667EF"/>
    <w:rPr>
      <w:sz w:val="20"/>
    </w:rPr>
  </w:style>
  <w:style w:type="character" w:customStyle="1" w:styleId="PlainTextChar">
    <w:name w:val="Plain Text Char"/>
    <w:basedOn w:val="DefaultParagraphFont"/>
    <w:link w:val="PlainText"/>
    <w:rsid w:val="006667EF"/>
    <w:rPr>
      <w:rFonts w:ascii="Courier New" w:eastAsia="Times New Roman" w:hAnsi="Courier New" w:cs="Times New Roman"/>
      <w:sz w:val="20"/>
      <w:szCs w:val="20"/>
      <w:lang w:eastAsia="en-US"/>
    </w:rPr>
  </w:style>
  <w:style w:type="character" w:customStyle="1" w:styleId="MenuOption">
    <w:name w:val="Menu Option"/>
    <w:basedOn w:val="DefaultParagraphFont"/>
    <w:rsid w:val="006667EF"/>
    <w:rPr>
      <w:b/>
      <w:smallCaps/>
    </w:rPr>
  </w:style>
  <w:style w:type="paragraph" w:customStyle="1" w:styleId="TableListNumber">
    <w:name w:val="Table List Number"/>
    <w:basedOn w:val="ListNumber"/>
    <w:rsid w:val="006667EF"/>
    <w:pPr>
      <w:numPr>
        <w:numId w:val="0"/>
      </w:numPr>
    </w:pPr>
  </w:style>
  <w:style w:type="paragraph" w:styleId="TOC4">
    <w:name w:val="toc 4"/>
    <w:basedOn w:val="TOCBase"/>
    <w:next w:val="Normal"/>
    <w:semiHidden/>
    <w:rsid w:val="006667EF"/>
    <w:pPr>
      <w:tabs>
        <w:tab w:val="right" w:leader="dot" w:pos="9071"/>
      </w:tabs>
      <w:ind w:left="1701"/>
    </w:pPr>
  </w:style>
  <w:style w:type="paragraph" w:customStyle="1" w:styleId="ListAlpha">
    <w:name w:val="List Alpha"/>
    <w:basedOn w:val="List"/>
    <w:rsid w:val="006667EF"/>
    <w:pPr>
      <w:numPr>
        <w:numId w:val="10"/>
      </w:numPr>
    </w:pPr>
  </w:style>
  <w:style w:type="paragraph" w:customStyle="1" w:styleId="ListAlpha2">
    <w:name w:val="List Alpha 2"/>
    <w:basedOn w:val="List2"/>
    <w:rsid w:val="006667EF"/>
    <w:pPr>
      <w:numPr>
        <w:numId w:val="9"/>
      </w:numPr>
    </w:pPr>
  </w:style>
  <w:style w:type="paragraph" w:styleId="List2">
    <w:name w:val="List 2"/>
    <w:basedOn w:val="BodyText"/>
    <w:rsid w:val="006667EF"/>
    <w:pPr>
      <w:tabs>
        <w:tab w:val="left" w:pos="680"/>
      </w:tabs>
      <w:spacing w:before="60" w:after="60"/>
      <w:ind w:left="680" w:hanging="340"/>
    </w:pPr>
  </w:style>
  <w:style w:type="paragraph" w:styleId="List3">
    <w:name w:val="List 3"/>
    <w:basedOn w:val="BodyText"/>
    <w:rsid w:val="006667EF"/>
    <w:pPr>
      <w:tabs>
        <w:tab w:val="left" w:pos="1021"/>
      </w:tabs>
      <w:spacing w:before="60" w:after="60"/>
      <w:ind w:left="1020" w:hanging="340"/>
    </w:pPr>
  </w:style>
  <w:style w:type="paragraph" w:styleId="List4">
    <w:name w:val="List 4"/>
    <w:basedOn w:val="BodyText"/>
    <w:rsid w:val="006667EF"/>
    <w:pPr>
      <w:tabs>
        <w:tab w:val="left" w:pos="1361"/>
      </w:tabs>
      <w:spacing w:before="60" w:after="60"/>
      <w:ind w:left="1361" w:hanging="340"/>
    </w:pPr>
  </w:style>
  <w:style w:type="paragraph" w:styleId="List5">
    <w:name w:val="List 5"/>
    <w:basedOn w:val="BodyText"/>
    <w:rsid w:val="006667EF"/>
    <w:pPr>
      <w:tabs>
        <w:tab w:val="left" w:pos="1701"/>
      </w:tabs>
      <w:spacing w:before="60" w:after="60"/>
      <w:ind w:left="1701" w:hanging="340"/>
    </w:pPr>
  </w:style>
  <w:style w:type="paragraph" w:styleId="ListBullet4">
    <w:name w:val="List Bullet 4"/>
    <w:basedOn w:val="List4"/>
    <w:rsid w:val="006667EF"/>
    <w:pPr>
      <w:numPr>
        <w:numId w:val="4"/>
      </w:numPr>
      <w:tabs>
        <w:tab w:val="clear" w:pos="1361"/>
      </w:tabs>
    </w:pPr>
  </w:style>
  <w:style w:type="paragraph" w:styleId="ListBullet5">
    <w:name w:val="List Bullet 5"/>
    <w:basedOn w:val="List5"/>
    <w:rsid w:val="006667EF"/>
    <w:pPr>
      <w:numPr>
        <w:numId w:val="5"/>
      </w:numPr>
    </w:pPr>
  </w:style>
  <w:style w:type="paragraph" w:styleId="ListContinue2">
    <w:name w:val="List Continue 2"/>
    <w:basedOn w:val="List2"/>
    <w:rsid w:val="006667EF"/>
    <w:pPr>
      <w:ind w:firstLine="0"/>
    </w:pPr>
  </w:style>
  <w:style w:type="paragraph" w:styleId="ListContinue3">
    <w:name w:val="List Continue 3"/>
    <w:basedOn w:val="List3"/>
    <w:rsid w:val="006667EF"/>
    <w:pPr>
      <w:ind w:left="1021" w:firstLine="0"/>
    </w:pPr>
  </w:style>
  <w:style w:type="paragraph" w:styleId="ListContinue4">
    <w:name w:val="List Continue 4"/>
    <w:basedOn w:val="List4"/>
    <w:rsid w:val="006667EF"/>
    <w:pPr>
      <w:ind w:firstLine="0"/>
    </w:pPr>
  </w:style>
  <w:style w:type="paragraph" w:styleId="ListContinue5">
    <w:name w:val="List Continue 5"/>
    <w:basedOn w:val="List5"/>
    <w:rsid w:val="006667EF"/>
    <w:pPr>
      <w:ind w:firstLine="0"/>
    </w:pPr>
  </w:style>
  <w:style w:type="paragraph" w:styleId="ListNumber3">
    <w:name w:val="List Number 3"/>
    <w:basedOn w:val="List3"/>
    <w:rsid w:val="006667EF"/>
    <w:pPr>
      <w:numPr>
        <w:numId w:val="6"/>
      </w:numPr>
    </w:pPr>
  </w:style>
  <w:style w:type="paragraph" w:styleId="ListNumber4">
    <w:name w:val="List Number 4"/>
    <w:basedOn w:val="List4"/>
    <w:rsid w:val="006667EF"/>
    <w:pPr>
      <w:numPr>
        <w:numId w:val="7"/>
      </w:numPr>
    </w:pPr>
  </w:style>
  <w:style w:type="paragraph" w:styleId="ListNumber5">
    <w:name w:val="List Number 5"/>
    <w:basedOn w:val="List5"/>
    <w:rsid w:val="006667EF"/>
    <w:pPr>
      <w:numPr>
        <w:numId w:val="8"/>
      </w:numPr>
    </w:pPr>
  </w:style>
  <w:style w:type="paragraph" w:styleId="BlockText">
    <w:name w:val="Block Text"/>
    <w:basedOn w:val="Normal"/>
    <w:rsid w:val="006667EF"/>
    <w:pPr>
      <w:spacing w:after="120"/>
      <w:ind w:left="1440" w:right="1440"/>
    </w:pPr>
  </w:style>
  <w:style w:type="character" w:customStyle="1" w:styleId="Subscript">
    <w:name w:val="Subscript"/>
    <w:basedOn w:val="DefaultParagraphFont"/>
    <w:rsid w:val="006667EF"/>
    <w:rPr>
      <w:sz w:val="16"/>
      <w:vertAlign w:val="subscript"/>
    </w:rPr>
  </w:style>
  <w:style w:type="character" w:customStyle="1" w:styleId="Superscript">
    <w:name w:val="Superscript"/>
    <w:basedOn w:val="DefaultParagraphFont"/>
    <w:rsid w:val="006667EF"/>
    <w:rPr>
      <w:sz w:val="16"/>
      <w:vertAlign w:val="superscript"/>
    </w:rPr>
  </w:style>
  <w:style w:type="character" w:customStyle="1" w:styleId="Symbols">
    <w:name w:val="Symbols"/>
    <w:basedOn w:val="DefaultParagraphFont"/>
    <w:rsid w:val="006667EF"/>
    <w:rPr>
      <w:rFonts w:ascii="Symbol" w:hAnsi="Symbol"/>
    </w:rPr>
  </w:style>
  <w:style w:type="character" w:customStyle="1" w:styleId="MenuOptions">
    <w:name w:val="Menu Options"/>
    <w:basedOn w:val="DefaultParagraphFont"/>
    <w:rsid w:val="006667EF"/>
    <w:rPr>
      <w:rFonts w:ascii="Arial Narrow" w:hAnsi="Arial Narrow"/>
      <w:smallCaps/>
    </w:rPr>
  </w:style>
  <w:style w:type="character" w:customStyle="1" w:styleId="Buttons">
    <w:name w:val="Buttons"/>
    <w:basedOn w:val="DefaultParagraphFont"/>
    <w:rsid w:val="006667EF"/>
    <w:rPr>
      <w:b/>
    </w:rPr>
  </w:style>
  <w:style w:type="character" w:customStyle="1" w:styleId="Underlined">
    <w:name w:val="Underlined"/>
    <w:basedOn w:val="DefaultParagraphFont"/>
    <w:rsid w:val="006667EF"/>
    <w:rPr>
      <w:u w:val="single"/>
    </w:rPr>
  </w:style>
  <w:style w:type="paragraph" w:customStyle="1" w:styleId="TableBodyTextRight">
    <w:name w:val="Table Body Text Right"/>
    <w:basedOn w:val="TableBodyText"/>
    <w:rsid w:val="006667EF"/>
    <w:pPr>
      <w:widowControl w:val="0"/>
      <w:autoSpaceDE w:val="0"/>
      <w:autoSpaceDN w:val="0"/>
      <w:adjustRightInd w:val="0"/>
      <w:jc w:val="right"/>
    </w:pPr>
    <w:rPr>
      <w:rFonts w:cs="Arial"/>
      <w:szCs w:val="18"/>
    </w:rPr>
  </w:style>
  <w:style w:type="paragraph" w:customStyle="1" w:styleId="CopyrightText">
    <w:name w:val="Copyright Text"/>
    <w:basedOn w:val="BodyText"/>
    <w:rsid w:val="006667EF"/>
    <w:rPr>
      <w:sz w:val="18"/>
    </w:rPr>
  </w:style>
  <w:style w:type="paragraph" w:customStyle="1" w:styleId="BodySmallRight">
    <w:name w:val="Body Small Right"/>
    <w:basedOn w:val="BodyTextRight"/>
    <w:rsid w:val="006667EF"/>
    <w:rPr>
      <w:sz w:val="18"/>
      <w:szCs w:val="18"/>
    </w:rPr>
  </w:style>
  <w:style w:type="paragraph" w:customStyle="1" w:styleId="MarginEdition">
    <w:name w:val="Margin Edition"/>
    <w:basedOn w:val="MarginNote"/>
    <w:rsid w:val="006667EF"/>
    <w:pPr>
      <w:spacing w:before="0" w:after="0"/>
    </w:pPr>
    <w:rPr>
      <w:rFonts w:ascii="Times New Roman" w:hAnsi="Times New Roman"/>
      <w:color w:val="999999"/>
    </w:rPr>
  </w:style>
  <w:style w:type="paragraph" w:customStyle="1" w:styleId="Spacer">
    <w:name w:val="Spacer"/>
    <w:basedOn w:val="Normal"/>
    <w:rsid w:val="006667EF"/>
    <w:rPr>
      <w:sz w:val="2"/>
      <w:szCs w:val="2"/>
    </w:rPr>
  </w:style>
  <w:style w:type="character" w:customStyle="1" w:styleId="Small">
    <w:name w:val="Small"/>
    <w:basedOn w:val="DefaultParagraphFont"/>
    <w:rsid w:val="006667EF"/>
    <w:rPr>
      <w:sz w:val="16"/>
    </w:rPr>
  </w:style>
  <w:style w:type="paragraph" w:customStyle="1" w:styleId="WideTable">
    <w:name w:val="Wide Table"/>
    <w:basedOn w:val="Normal"/>
    <w:rsid w:val="006667EF"/>
    <w:pPr>
      <w:ind w:left="-1418"/>
    </w:pPr>
    <w:rPr>
      <w:sz w:val="2"/>
      <w:szCs w:val="2"/>
    </w:rPr>
  </w:style>
  <w:style w:type="character" w:styleId="PageNumber">
    <w:name w:val="page number"/>
    <w:basedOn w:val="DefaultParagraphFont"/>
    <w:rsid w:val="006667EF"/>
  </w:style>
  <w:style w:type="paragraph" w:styleId="Quote">
    <w:name w:val="Quote"/>
    <w:basedOn w:val="Heading1"/>
    <w:link w:val="QuoteChar"/>
    <w:qFormat/>
    <w:rsid w:val="006667EF"/>
    <w:rPr>
      <w:b w:val="0"/>
      <w:sz w:val="72"/>
      <w:szCs w:val="72"/>
      <w:lang w:val="en-NZ"/>
    </w:rPr>
  </w:style>
  <w:style w:type="character" w:customStyle="1" w:styleId="QuoteChar">
    <w:name w:val="Quote Char"/>
    <w:basedOn w:val="DefaultParagraphFont"/>
    <w:link w:val="Quote"/>
    <w:rsid w:val="006667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7EF"/>
    <w:pPr>
      <w:pageBreakBefore/>
    </w:pPr>
  </w:style>
  <w:style w:type="paragraph" w:customStyle="1" w:styleId="Border">
    <w:name w:val="Border"/>
    <w:basedOn w:val="Normal"/>
    <w:qFormat/>
    <w:rsid w:val="006667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7EF"/>
    <w:rPr>
      <w:b/>
      <w:bCs/>
      <w:i/>
      <w:iCs/>
      <w:color w:val="auto"/>
    </w:rPr>
  </w:style>
  <w:style w:type="paragraph" w:styleId="IntenseQuote">
    <w:name w:val="Intense Quote"/>
    <w:basedOn w:val="Normal"/>
    <w:next w:val="Normal"/>
    <w:link w:val="IntenseQuoteChar"/>
    <w:uiPriority w:val="30"/>
    <w:qFormat/>
    <w:rsid w:val="006667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7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67EF"/>
    <w:rPr>
      <w:smallCaps/>
      <w:color w:val="auto"/>
      <w:u w:val="single"/>
    </w:rPr>
  </w:style>
  <w:style w:type="character" w:styleId="IntenseReference">
    <w:name w:val="Intense Reference"/>
    <w:basedOn w:val="DefaultParagraphFont"/>
    <w:uiPriority w:val="32"/>
    <w:qFormat/>
    <w:rsid w:val="006667EF"/>
    <w:rPr>
      <w:b/>
      <w:bCs/>
      <w:smallCaps/>
      <w:color w:val="auto"/>
      <w:spacing w:val="5"/>
      <w:u w:val="single"/>
    </w:rPr>
  </w:style>
  <w:style w:type="paragraph" w:customStyle="1" w:styleId="2ColumnHeading">
    <w:name w:val="2Column Heading"/>
    <w:basedOn w:val="BodyText"/>
    <w:qFormat/>
    <w:rsid w:val="006667EF"/>
    <w:pPr>
      <w:spacing w:after="60"/>
      <w:ind w:left="-2268"/>
    </w:pPr>
    <w:rPr>
      <w:b/>
    </w:rPr>
  </w:style>
  <w:style w:type="paragraph" w:customStyle="1" w:styleId="Heading1TOC">
    <w:name w:val="Heading1 TOC"/>
    <w:basedOn w:val="Normal"/>
    <w:qFormat/>
    <w:rsid w:val="006667EF"/>
    <w:pPr>
      <w:spacing w:before="240" w:after="120"/>
    </w:pPr>
    <w:rPr>
      <w:rFonts w:ascii="Times New Roman" w:hAnsi="Times New Roman"/>
      <w:b/>
      <w:sz w:val="32"/>
    </w:rPr>
  </w:style>
  <w:style w:type="paragraph" w:customStyle="1" w:styleId="Heading2TOC">
    <w:name w:val="Heading2 TOC"/>
    <w:basedOn w:val="Normal"/>
    <w:qFormat/>
    <w:rsid w:val="006667EF"/>
    <w:pPr>
      <w:spacing w:before="240" w:after="60"/>
    </w:pPr>
    <w:rPr>
      <w:rFonts w:ascii="Times New Roman" w:hAnsi="Times New Roman"/>
      <w:b/>
      <w:sz w:val="28"/>
    </w:rPr>
  </w:style>
  <w:style w:type="character" w:customStyle="1" w:styleId="Underline">
    <w:name w:val="Underline"/>
    <w:basedOn w:val="DefaultParagraphFont"/>
    <w:qFormat/>
    <w:rsid w:val="006667EF"/>
    <w:rPr>
      <w:u w:val="single"/>
    </w:rPr>
  </w:style>
  <w:style w:type="character" w:customStyle="1" w:styleId="BoldandItalics">
    <w:name w:val="Bold and Italics"/>
    <w:qFormat/>
    <w:rsid w:val="006667EF"/>
    <w:rPr>
      <w:b/>
      <w:i/>
      <w:u w:val="none"/>
    </w:rPr>
  </w:style>
  <w:style w:type="paragraph" w:styleId="BalloonText">
    <w:name w:val="Balloon Text"/>
    <w:basedOn w:val="Normal"/>
    <w:link w:val="BalloonTextChar"/>
    <w:rsid w:val="006667EF"/>
    <w:rPr>
      <w:rFonts w:ascii="Tahoma" w:hAnsi="Tahoma" w:cs="Tahoma"/>
      <w:sz w:val="16"/>
      <w:szCs w:val="16"/>
    </w:rPr>
  </w:style>
  <w:style w:type="character" w:customStyle="1" w:styleId="BalloonTextChar">
    <w:name w:val="Balloon Text Char"/>
    <w:basedOn w:val="DefaultParagraphFont"/>
    <w:link w:val="BalloonText"/>
    <w:rsid w:val="006667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67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67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67EF"/>
    <w:rPr>
      <w:b/>
      <w:color w:val="660033"/>
      <w:spacing w:val="0"/>
    </w:rPr>
  </w:style>
  <w:style w:type="paragraph" w:customStyle="1" w:styleId="Nameditemlist">
    <w:name w:val="Named item list"/>
    <w:basedOn w:val="BodyText"/>
    <w:qFormat/>
    <w:rsid w:val="006667EF"/>
    <w:pPr>
      <w:tabs>
        <w:tab w:val="left" w:pos="2835"/>
      </w:tabs>
      <w:ind w:left="2835" w:hanging="2835"/>
    </w:pPr>
  </w:style>
  <w:style w:type="paragraph" w:customStyle="1" w:styleId="BodyTextnopadding">
    <w:name w:val="Body Text no padding"/>
    <w:basedOn w:val="BodyText"/>
    <w:qFormat/>
    <w:rsid w:val="006667EF"/>
    <w:pPr>
      <w:spacing w:before="0" w:after="0"/>
    </w:pPr>
  </w:style>
  <w:style w:type="paragraph" w:customStyle="1" w:styleId="BodyTextBold">
    <w:name w:val="Body Text Bold"/>
    <w:basedOn w:val="BodyText"/>
    <w:qFormat/>
    <w:rsid w:val="006667EF"/>
    <w:rPr>
      <w:b/>
    </w:rPr>
  </w:style>
  <w:style w:type="character" w:styleId="Hyperlink">
    <w:name w:val="Hyperlink"/>
    <w:basedOn w:val="DefaultParagraphFont"/>
    <w:uiPriority w:val="99"/>
    <w:unhideWhenUsed/>
    <w:rsid w:val="003B51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4934</Characters>
  <Application>Microsoft Office Word</Application>
  <DocSecurity>0</DocSecurity>
  <Lines>129</Lines>
  <Paragraphs>112</Paragraphs>
  <ScaleCrop>false</ScaleCrop>
  <Company>Author-it Software Corporation Ltd.</Company>
  <LinksUpToDate>false</LinksUpToDate>
  <CharactersWithSpaces>5513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UEGNSG903 Fault find and repair hydrogen storage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2022-12-09T01:07:00Z</dcterms:created>
  <dcterms:modified xsi:type="dcterms:W3CDTF">2022-12-09T01:07:00Z</dcterms:modified>
</cp:coreProperties>
</file>