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BDA" w:rsidP="00656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UEGNSG902 Commission, operate and maintain electrolysers</w:t>
      </w:r>
      <w:r>
        <w:fldChar w:fldCharType="end"/>
      </w:r>
    </w:p>
    <w:p w:rsidR="00656BDA" w:rsidP="00656BDA">
      <w:pPr>
        <w:pStyle w:val="Version"/>
        <w:sectPr w:rsidSect="00CA4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D95" w:rsidP="00CA4D95">
      <w:pPr>
        <w:pStyle w:val="SuperHeading"/>
      </w:pPr>
      <w:r w:rsidRPr="00CA4D95">
        <w:t>UEGNSG902 Commission, operate and maintain electrolysers</w:t>
      </w:r>
    </w:p>
    <w:p w:rsidR="00000000" w:rsidRPr="00CA4D95" w:rsidP="00CA4D95">
      <w:pPr>
        <w:pStyle w:val="Heading1"/>
      </w:pPr>
      <w:bookmarkStart w:id="1" w:name="O_1188569"/>
      <w:bookmarkEnd w:id="1"/>
      <w:r w:rsidRPr="00CA4D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Release 1. This is the first release of this unit of competency in the UEG Gas Industry Training Package.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2" w:name="O_1188570"/>
      <w:bookmarkEnd w:id="2"/>
      <w:r w:rsidRPr="00CA4D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This unit involves the skills and knowledge required to commission, operate an</w:t>
            </w:r>
            <w:r w:rsidRPr="00CA4D95">
              <w:t>d maintain electrolysers to produce hydrogen in a hydrogen plant environment in accordance with relevant industry standards, regulations, manufacturer instructions and workplace procedures.</w:t>
            </w:r>
          </w:p>
          <w:p w:rsidR="00000000" w:rsidRPr="00CA4D95" w:rsidP="00CA4D95">
            <w:pPr>
              <w:pStyle w:val="BodyText"/>
            </w:pPr>
            <w:r w:rsidRPr="00CA4D95">
              <w:t>It includes following procedures to carry out the work correctly a</w:t>
            </w:r>
            <w:r w:rsidRPr="00CA4D95">
              <w:t>nd safely, using appropriate materials, tools and equipment.</w:t>
            </w:r>
          </w:p>
          <w:p w:rsidR="00000000" w:rsidRPr="00CA4D95" w:rsidP="00CA4D95">
            <w:pPr>
              <w:pStyle w:val="BodyText"/>
            </w:pPr>
            <w:r w:rsidRPr="00CA4D95">
              <w:t xml:space="preserve">The application of the skills and knowledge described in this unit may require a licence/registration to practise in the workplace. </w:t>
            </w:r>
          </w:p>
          <w:p w:rsidR="00000000" w:rsidRPr="00CA4D95" w:rsidP="00CA4D95">
            <w:pPr>
              <w:pStyle w:val="BodyText"/>
            </w:pPr>
            <w:r w:rsidRPr="00CA4D95">
              <w:t>Other conditions may apply under state and territory legislati</w:t>
            </w:r>
            <w:r w:rsidRPr="00CA4D95">
              <w:t>ve and regulatory licensing requirements which must be confirmed prior to commencing this unit.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3" w:name="O_1188571"/>
      <w:bookmarkEnd w:id="3"/>
      <w:r w:rsidRPr="00CA4D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Not applicable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4" w:name="O_1188572"/>
      <w:bookmarkEnd w:id="4"/>
      <w:r w:rsidRPr="00CA4D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Hydrogen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5" w:name="O_1188573"/>
      <w:bookmarkEnd w:id="5"/>
      <w:r w:rsidRPr="00CA4D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Gas Industry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6" w:name="O_1188574"/>
      <w:bookmarkEnd w:id="6"/>
      <w:r w:rsidRPr="00CA4D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PERFORMANCE CRITERIA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Performance criteria describe the performance needed to demonstrate achievement of the element.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Prepare to commission, operate, and maintain electrolysers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Relevant manufacturers’ instructions and specifications, emergency procedures, industry codes, standards and regulations are obtained and confirmed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Hazards and WHS/OHS risks are identif</w:t>
            </w:r>
            <w:r w:rsidRPr="00CA4D95">
              <w:t>ied and prioritised and control measures implemented and monitored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1.3 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Relevant person/s are consulted and work is prioritised and sequenced for completion within agreed timeframes and to industry standards in accordance with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 xml:space="preserve">Work health and safety (WHS)/occupational health and safety (OHS), environmental and sustainable energy policies and procedures for the work are obtained and applied 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Work schedule/s, drawings, plans, job requirements and material lists are obta</w:t>
            </w:r>
            <w:r w:rsidRPr="00CA4D95">
              <w:t>ined, analysed and site inspection conducted, as required, to determine the preparation work required for planning and coordination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Appropriate equipment, tools and personal protective equipment (PPE) required for the job are obtained and checked fo</w:t>
            </w:r>
            <w:r w:rsidRPr="00CA4D95">
              <w:t>r correct operation and safety in accordance with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Work area is prepared to minimise risk and damage to property, commerce and individuals in accordance with job instructions, work schedule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Electrolyser and associated equipment, pipework and storage are confirmed for correct installation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Commission and operate electrolysers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 xml:space="preserve">Regular checks are undertaken in accordance with manufacturers’ instructions and specifications, industry codes, </w:t>
            </w:r>
            <w:r w:rsidRPr="00CA4D95">
              <w:t>standards and regulations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Relevant manufacturers’ instructions and specifications, emergency procedures, industry codes, standards and regulations are implemented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WHS/OHS risk control measures and policies and procedures are followed in accor</w:t>
            </w:r>
            <w:r w:rsidRPr="00CA4D95">
              <w:t>dance with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Hazardous activities are performed safely in accordance with job instructions, regulatory requirements and workplace procedures, and manufacturers’ instructions and specifications.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Electrolyser is commissioned and operated in accordance with manufacturer instructions, workplace procedures and job requirements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Materials, tools, equipment and devices to perform the work are selected and used correctly and safely in accordance wi</w:t>
            </w:r>
            <w:r w:rsidRPr="00CA4D95">
              <w:t>th manufacturer instructions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Unplanned events are dealt with or referred to authorised person/s for directions in accordance with level of responsibility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 xml:space="preserve">Alarm codes, signage and other hazard </w:t>
            </w:r>
            <w:r w:rsidRPr="00CA4D95">
              <w:t>warnings are correctly recognised and WHS/OHS risks and control measures monitored, actioned and appropriate authorities consulted in accordance with requirements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Emergency shutdown procedures are applied in the event of equipment faults/failure or operational parameters being exceeded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Quality and safety checks of the work are conducted in accordance with job requirements, industry standards and workplace pr</w:t>
            </w:r>
            <w:r w:rsidRPr="00CA4D95">
              <w:t>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 xml:space="preserve">3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Maintain electrolysers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WHS/OHS risk control measures and policies and procedures are followed in accordance with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Materials, tools, equipment and devices to perform the maintenance work are selected and used corr</w:t>
            </w:r>
            <w:r w:rsidRPr="00CA4D95">
              <w:t>ectly and safely in accordance with manufacturer instructions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3.3 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Systems isolation is performed, as required, in accordance with requirements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Electrolyser is maintained and parts replaced as required, in accordance with job requirements, level of responsibility, workplace procedures and manufacturer instructions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Electrolyser is recommissioned to safe operational conditions in accordance w</w:t>
            </w:r>
            <w:r w:rsidRPr="00CA4D95">
              <w:t>ith job requirements, workplace procedures and manufacturer instructions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Unplanned events are dealt with or referred to authorised person/s for directions in accordance with level of responsibility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Quality and safety checks of the work are conducted in accordance with job requirements, workplace procedures and community and industry standards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4.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Work area is cleaned up, made and confirmed safe in accordan</w:t>
            </w:r>
            <w:r w:rsidRPr="00CA4D95">
              <w:t>ce with job instructions and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>Tools, equipment and any surplus resources and materials are cleaned, checked and returned to storage in accordance with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t xml:space="preserve">Relevant person/s are notified of work completion </w:t>
            </w:r>
            <w:r w:rsidRPr="00CA4D95">
              <w:t>in accordance with workplace procedures</w:t>
            </w:r>
          </w:p>
        </w:tc>
      </w:tr>
      <w:tr w:rsidTr="00CA4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5">
            <w:pPr>
              <w:pStyle w:val="BodyText"/>
              <w:rPr>
                <w:lang w:val="en-NZ"/>
              </w:rPr>
            </w:pPr>
            <w:r w:rsidRPr="00CA4D95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Work completion records and report forms are completed in accordance with job instructions and workplace procedures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7" w:name="O_1188575"/>
      <w:bookmarkEnd w:id="7"/>
      <w:r w:rsidRPr="00CA4D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Foundation skills essential to performance are explicit in the performance criteria of this unit of competency.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8" w:name="O_1188576"/>
      <w:bookmarkEnd w:id="8"/>
      <w:r w:rsidRPr="00CA4D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Range is restricted to essential operating conditions and any other variables essential to the work env</w:t>
            </w:r>
            <w:r w:rsidRPr="00CA4D95">
              <w:t>ironment.</w:t>
            </w:r>
          </w:p>
          <w:p w:rsidR="00000000" w:rsidRPr="00CA4D95" w:rsidP="00CA4D95">
            <w:pPr>
              <w:pStyle w:val="BodyText"/>
            </w:pPr>
            <w:r w:rsidRPr="00CA4D95">
              <w:t>Non-essential conditions may be found in the UEG Gas Industry Training Package Companion Volume Implementation Guide.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9" w:name="O_1188577"/>
      <w:bookmarkEnd w:id="9"/>
      <w:r w:rsidRPr="00CA4D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5" w:rsidP="00CA4D95">
            <w:pPr>
              <w:pStyle w:val="BodyText"/>
            </w:pPr>
            <w:r w:rsidRPr="00CA4D95">
              <w:t>This is a new unit.</w:t>
            </w:r>
          </w:p>
        </w:tc>
      </w:tr>
    </w:tbl>
    <w:p w:rsidR="00000000" w:rsidRPr="00CA4D95" w:rsidP="00CA4D95">
      <w:pPr>
        <w:pStyle w:val="NoPaddingFontSize1"/>
      </w:pPr>
    </w:p>
    <w:p w:rsidR="00000000" w:rsidRPr="00CA4D95" w:rsidP="00CA4D95">
      <w:pPr>
        <w:pStyle w:val="AllowPageBreak"/>
      </w:pPr>
    </w:p>
    <w:p w:rsidR="00000000" w:rsidRPr="00CA4D95" w:rsidP="00CA4D95">
      <w:pPr>
        <w:pStyle w:val="Heading1"/>
      </w:pPr>
      <w:bookmarkStart w:id="10" w:name="O_1188584"/>
      <w:bookmarkEnd w:id="10"/>
      <w:r w:rsidRPr="00CA4D95">
        <w:t>Links</w:t>
      </w:r>
    </w:p>
    <w:p w:rsidR="00000000" w:rsidRPr="00CA4D95" w:rsidP="00656BDA">
      <w:pPr>
        <w:pStyle w:val="BodyText"/>
      </w:pPr>
      <w:r w:rsidRPr="00CA4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C0A0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A4D95" w:rsidP="00CA4D95"/>
    <w:sectPr w:rsidSect="00CA4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5" w:rsidRPr="00656BDA" w:rsidP="00656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DA" w:rsidP="00CA4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BDA" w:rsidP="00CA4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6BDA" w:rsidP="00CA4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D95" w:rsidRPr="00656BDA" w:rsidP="00656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DA" w:rsidRPr="002D2AF8" w:rsidP="00CA4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UEGNSG902 Commission, operate and maintain electrolysers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56BDA" w:rsidP="00CA4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D95"/>
  </w:style>
  <w:style w:type="character" w:customStyle="1" w:styleId="Heading1Char">
    <w:name w:val="Heading 1 Char"/>
    <w:basedOn w:val="DefaultParagraphFont"/>
    <w:link w:val="Heading1"/>
    <w:rsid w:val="00CA4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D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4D95"/>
    <w:rPr>
      <w:b/>
      <w:spacing w:val="0"/>
    </w:rPr>
  </w:style>
  <w:style w:type="paragraph" w:customStyle="1" w:styleId="SuperHeading">
    <w:name w:val="SuperHeading"/>
    <w:basedOn w:val="Normal"/>
    <w:rsid w:val="00CA4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4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D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D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D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D95"/>
    <w:rPr>
      <w:i/>
    </w:rPr>
  </w:style>
  <w:style w:type="paragraph" w:styleId="Caption">
    <w:name w:val="caption"/>
    <w:basedOn w:val="BodyText"/>
    <w:next w:val="Normal"/>
    <w:qFormat/>
    <w:rsid w:val="00CA4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D95"/>
  </w:style>
  <w:style w:type="paragraph" w:styleId="TableofFigures">
    <w:name w:val="table of figures"/>
    <w:basedOn w:val="Normal"/>
    <w:next w:val="Normal"/>
    <w:semiHidden/>
    <w:rsid w:val="00CA4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D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D95"/>
    <w:rPr>
      <w:rFonts w:ascii="Wingdings" w:hAnsi="Wingdings"/>
    </w:rPr>
  </w:style>
  <w:style w:type="paragraph" w:customStyle="1" w:styleId="TableHeading">
    <w:name w:val="Table Heading"/>
    <w:basedOn w:val="HeadingBase"/>
    <w:rsid w:val="00CA4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D95"/>
    <w:rPr>
      <w:color w:val="0033CC"/>
      <w:u w:val="none"/>
    </w:rPr>
  </w:style>
  <w:style w:type="paragraph" w:customStyle="1" w:styleId="BodyTextRight">
    <w:name w:val="Body Text Right"/>
    <w:basedOn w:val="BodyText"/>
    <w:rsid w:val="00CA4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D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D95"/>
    <w:rPr>
      <w:sz w:val="32"/>
    </w:rPr>
  </w:style>
  <w:style w:type="paragraph" w:customStyle="1" w:styleId="HeadingProcedure">
    <w:name w:val="Heading Procedure"/>
    <w:basedOn w:val="HeadingBase"/>
    <w:next w:val="Normal"/>
    <w:rsid w:val="00CA4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D95"/>
    <w:pPr>
      <w:spacing w:before="60" w:after="60"/>
    </w:pPr>
  </w:style>
  <w:style w:type="paragraph" w:styleId="ListContinue">
    <w:name w:val="List Continue"/>
    <w:basedOn w:val="List"/>
    <w:rsid w:val="00CA4D95"/>
    <w:pPr>
      <w:ind w:firstLine="0"/>
    </w:pPr>
  </w:style>
  <w:style w:type="paragraph" w:customStyle="1" w:styleId="ListNote">
    <w:name w:val="List Note"/>
    <w:basedOn w:val="List"/>
    <w:rsid w:val="00CA4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D95"/>
    <w:rPr>
      <w:rFonts w:ascii="Courier New" w:hAnsi="Courier New"/>
    </w:rPr>
  </w:style>
  <w:style w:type="paragraph" w:customStyle="1" w:styleId="NoteBullet">
    <w:name w:val="Note Bullet"/>
    <w:basedOn w:val="Note"/>
    <w:rsid w:val="00CA4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D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D95"/>
    <w:rPr>
      <w:b/>
      <w:smallCaps/>
    </w:rPr>
  </w:style>
  <w:style w:type="paragraph" w:customStyle="1" w:styleId="TableListNumber">
    <w:name w:val="Table List Number"/>
    <w:basedOn w:val="ListNumber"/>
    <w:rsid w:val="00CA4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D95"/>
    <w:pPr>
      <w:numPr>
        <w:numId w:val="7"/>
      </w:numPr>
    </w:pPr>
  </w:style>
  <w:style w:type="paragraph" w:customStyle="1" w:styleId="ListAlpha2">
    <w:name w:val="List Alpha 2"/>
    <w:basedOn w:val="List2"/>
    <w:rsid w:val="00CA4D95"/>
    <w:pPr>
      <w:numPr>
        <w:numId w:val="6"/>
      </w:numPr>
    </w:pPr>
  </w:style>
  <w:style w:type="paragraph" w:styleId="List2">
    <w:name w:val="List 2"/>
    <w:basedOn w:val="BodyText"/>
    <w:rsid w:val="00CA4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D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D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D95"/>
    <w:pPr>
      <w:numPr>
        <w:numId w:val="2"/>
      </w:numPr>
    </w:pPr>
  </w:style>
  <w:style w:type="paragraph" w:styleId="ListContinue2">
    <w:name w:val="List Continue 2"/>
    <w:basedOn w:val="List2"/>
    <w:rsid w:val="00CA4D95"/>
    <w:pPr>
      <w:ind w:firstLine="0"/>
    </w:pPr>
  </w:style>
  <w:style w:type="paragraph" w:styleId="ListContinue3">
    <w:name w:val="List Continue 3"/>
    <w:basedOn w:val="List3"/>
    <w:rsid w:val="00CA4D95"/>
    <w:pPr>
      <w:ind w:left="1021" w:firstLine="0"/>
    </w:pPr>
  </w:style>
  <w:style w:type="paragraph" w:styleId="ListContinue4">
    <w:name w:val="List Continue 4"/>
    <w:basedOn w:val="List4"/>
    <w:rsid w:val="00CA4D95"/>
    <w:pPr>
      <w:ind w:firstLine="0"/>
    </w:pPr>
  </w:style>
  <w:style w:type="paragraph" w:styleId="ListContinue5">
    <w:name w:val="List Continue 5"/>
    <w:basedOn w:val="List5"/>
    <w:rsid w:val="00CA4D95"/>
    <w:pPr>
      <w:ind w:firstLine="0"/>
    </w:pPr>
  </w:style>
  <w:style w:type="paragraph" w:styleId="ListNumber3">
    <w:name w:val="List Number 3"/>
    <w:basedOn w:val="List3"/>
    <w:rsid w:val="00CA4D95"/>
    <w:pPr>
      <w:numPr>
        <w:numId w:val="3"/>
      </w:numPr>
    </w:pPr>
  </w:style>
  <w:style w:type="paragraph" w:styleId="ListNumber4">
    <w:name w:val="List Number 4"/>
    <w:basedOn w:val="List4"/>
    <w:rsid w:val="00CA4D95"/>
    <w:pPr>
      <w:numPr>
        <w:numId w:val="4"/>
      </w:numPr>
    </w:pPr>
  </w:style>
  <w:style w:type="paragraph" w:styleId="ListNumber5">
    <w:name w:val="List Number 5"/>
    <w:basedOn w:val="List5"/>
    <w:rsid w:val="00CA4D95"/>
    <w:pPr>
      <w:numPr>
        <w:numId w:val="5"/>
      </w:numPr>
    </w:pPr>
  </w:style>
  <w:style w:type="paragraph" w:styleId="BlockText">
    <w:name w:val="Block Text"/>
    <w:basedOn w:val="Normal"/>
    <w:rsid w:val="00CA4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D95"/>
    <w:rPr>
      <w:sz w:val="16"/>
      <w:vertAlign w:val="superscript"/>
    </w:rPr>
  </w:style>
  <w:style w:type="character" w:customStyle="1" w:styleId="Symbols">
    <w:name w:val="Symbols"/>
    <w:basedOn w:val="DefaultParagraphFont"/>
    <w:rsid w:val="00CA4D95"/>
    <w:rPr>
      <w:rFonts w:ascii="Symbol" w:hAnsi="Symbol"/>
    </w:rPr>
  </w:style>
  <w:style w:type="character" w:customStyle="1" w:styleId="MenuOptions">
    <w:name w:val="Menu Options"/>
    <w:basedOn w:val="DefaultParagraphFont"/>
    <w:rsid w:val="00CA4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D95"/>
    <w:rPr>
      <w:b/>
    </w:rPr>
  </w:style>
  <w:style w:type="character" w:customStyle="1" w:styleId="Underlined">
    <w:name w:val="Underlined"/>
    <w:basedOn w:val="DefaultParagraphFont"/>
    <w:rsid w:val="00CA4D95"/>
    <w:rPr>
      <w:u w:val="single"/>
    </w:rPr>
  </w:style>
  <w:style w:type="paragraph" w:customStyle="1" w:styleId="TableBodyTextRight">
    <w:name w:val="Table Body Text Right"/>
    <w:basedOn w:val="TableBodyText"/>
    <w:rsid w:val="00CA4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D95"/>
    <w:rPr>
      <w:sz w:val="18"/>
    </w:rPr>
  </w:style>
  <w:style w:type="paragraph" w:customStyle="1" w:styleId="BodySmallRight">
    <w:name w:val="Body Small Right"/>
    <w:basedOn w:val="BodyTextRight"/>
    <w:rsid w:val="00CA4D95"/>
    <w:rPr>
      <w:sz w:val="18"/>
      <w:szCs w:val="18"/>
    </w:rPr>
  </w:style>
  <w:style w:type="paragraph" w:customStyle="1" w:styleId="MarginEdition">
    <w:name w:val="Margin Edition"/>
    <w:basedOn w:val="MarginNote"/>
    <w:rsid w:val="00CA4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D95"/>
    <w:rPr>
      <w:sz w:val="2"/>
      <w:szCs w:val="2"/>
    </w:rPr>
  </w:style>
  <w:style w:type="character" w:customStyle="1" w:styleId="Small">
    <w:name w:val="Small"/>
    <w:basedOn w:val="DefaultParagraphFont"/>
    <w:rsid w:val="00CA4D95"/>
    <w:rPr>
      <w:sz w:val="16"/>
    </w:rPr>
  </w:style>
  <w:style w:type="paragraph" w:customStyle="1" w:styleId="WideTable">
    <w:name w:val="Wide Table"/>
    <w:basedOn w:val="Normal"/>
    <w:rsid w:val="00CA4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D95"/>
  </w:style>
  <w:style w:type="paragraph" w:styleId="Quote">
    <w:name w:val="Quote"/>
    <w:basedOn w:val="Heading1"/>
    <w:link w:val="QuoteChar"/>
    <w:qFormat/>
    <w:rsid w:val="00CA4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D95"/>
    <w:pPr>
      <w:pageBreakBefore/>
    </w:pPr>
  </w:style>
  <w:style w:type="paragraph" w:customStyle="1" w:styleId="Border">
    <w:name w:val="Border"/>
    <w:basedOn w:val="Normal"/>
    <w:qFormat/>
    <w:rsid w:val="00CA4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D95"/>
    <w:rPr>
      <w:u w:val="single"/>
    </w:rPr>
  </w:style>
  <w:style w:type="character" w:customStyle="1" w:styleId="BoldandItalics">
    <w:name w:val="Bold and Italics"/>
    <w:qFormat/>
    <w:rsid w:val="00CA4D95"/>
    <w:rPr>
      <w:b/>
      <w:i/>
      <w:u w:val="none"/>
    </w:rPr>
  </w:style>
  <w:style w:type="paragraph" w:styleId="BalloonText">
    <w:name w:val="Balloon Text"/>
    <w:basedOn w:val="Normal"/>
    <w:link w:val="BalloonTextChar"/>
    <w:rsid w:val="00CA4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D95"/>
    <w:pPr>
      <w:spacing w:before="0" w:after="0"/>
    </w:pPr>
  </w:style>
  <w:style w:type="paragraph" w:customStyle="1" w:styleId="BodyTextBold">
    <w:name w:val="Body Text Bold"/>
    <w:basedOn w:val="BodyText"/>
    <w:qFormat/>
    <w:rsid w:val="00CA4D95"/>
    <w:rPr>
      <w:b/>
    </w:rPr>
  </w:style>
  <w:style w:type="character" w:styleId="Hyperlink">
    <w:name w:val="Hyperlink"/>
    <w:basedOn w:val="DefaultParagraphFont"/>
    <w:uiPriority w:val="99"/>
    <w:unhideWhenUsed/>
    <w:rsid w:val="00656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5738</Characters>
  <Application>Microsoft Office Word</Application>
  <DocSecurity>0</DocSecurity>
  <Lines>260</Lines>
  <Paragraphs>114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UEGNSG902 Commission, operate and maintain electrolysers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2022-12-09T01:10:00Z</dcterms:modified>
</cp:coreProperties>
</file>