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276B" w:rsidP="003027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UEGNSG901 Apply safety practices, procedures, and compliance standards for handling hydrogen gas</w:t>
      </w:r>
      <w:r>
        <w:fldChar w:fldCharType="end"/>
      </w:r>
    </w:p>
    <w:p w:rsidR="0030276B" w:rsidP="0030276B">
      <w:pPr>
        <w:pStyle w:val="Version"/>
        <w:sectPr w:rsidSect="009F6D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F6D4C" w:rsidP="009F6D4C">
      <w:pPr>
        <w:pStyle w:val="SuperHeading"/>
      </w:pPr>
      <w:r w:rsidRPr="009F6D4C">
        <w:t>Assessment Requirements for UEGNSG901 Apply safety practices, procedures, and compliance standards for handling hydrogen gas</w:t>
      </w:r>
    </w:p>
    <w:p w:rsidR="00000000" w:rsidRPr="009F6D4C" w:rsidP="009F6D4C">
      <w:pPr>
        <w:pStyle w:val="Heading1"/>
      </w:pPr>
      <w:bookmarkStart w:id="1" w:name="O_1188560"/>
      <w:bookmarkEnd w:id="1"/>
      <w:r w:rsidRPr="009F6D4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F6D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D4C" w:rsidP="009F6D4C">
            <w:pPr>
              <w:pStyle w:val="BodyText"/>
            </w:pPr>
            <w:r w:rsidRPr="009F6D4C">
              <w:t>Release 1. This is the first release of this unit of competency in the UEG Gas Industry Training Package.</w:t>
            </w:r>
          </w:p>
        </w:tc>
      </w:tr>
    </w:tbl>
    <w:p w:rsidR="00000000" w:rsidRPr="009F6D4C" w:rsidP="009F6D4C">
      <w:pPr>
        <w:pStyle w:val="NoPaddingFontSize1"/>
      </w:pPr>
    </w:p>
    <w:p w:rsidR="00000000" w:rsidRPr="009F6D4C" w:rsidP="009F6D4C">
      <w:pPr>
        <w:pStyle w:val="AllowPageBreak"/>
      </w:pPr>
    </w:p>
    <w:p w:rsidR="00000000" w:rsidRPr="009F6D4C" w:rsidP="009F6D4C">
      <w:pPr>
        <w:pStyle w:val="Heading1"/>
      </w:pPr>
      <w:bookmarkStart w:id="2" w:name="O_1188561"/>
      <w:bookmarkEnd w:id="2"/>
      <w:r w:rsidRPr="009F6D4C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F6D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D4C">
            <w:pPr>
              <w:pStyle w:val="BodyText"/>
              <w:rPr>
                <w:lang w:val="en-NZ"/>
              </w:rPr>
            </w:pPr>
            <w:r w:rsidRPr="009F6D4C">
              <w:t>Evidence required to demonstrate competence in this unit must be relevant to and satisfy all of the requirem</w:t>
            </w:r>
            <w:r w:rsidRPr="009F6D4C">
              <w:t xml:space="preserve">ents of the elements and performance criteria on at least two separate occasions and include: </w:t>
            </w:r>
          </w:p>
        </w:tc>
      </w:tr>
      <w:tr w:rsidTr="009F6D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D4C" w:rsidP="009F6D4C">
            <w:pPr>
              <w:pStyle w:val="ListBullet"/>
            </w:pPr>
            <w:r w:rsidRPr="009F6D4C">
              <w:t>applying relevant work health and safety (WHS)/occupational health and safety (OHS) requirements, including:</w:t>
            </w:r>
          </w:p>
          <w:p w:rsidR="00000000" w:rsidRPr="009F6D4C" w:rsidP="009F6D4C">
            <w:pPr>
              <w:pStyle w:val="ListBullet2"/>
            </w:pPr>
            <w:r w:rsidRPr="009F6D4C">
              <w:t>safe working practices</w:t>
            </w:r>
          </w:p>
          <w:p w:rsidR="00000000" w:rsidRPr="009F6D4C" w:rsidP="009F6D4C">
            <w:pPr>
              <w:pStyle w:val="ListBullet2"/>
            </w:pPr>
            <w:r w:rsidRPr="009F6D4C">
              <w:t>relevant regulations and codes of practices in the workplace</w:t>
            </w:r>
          </w:p>
          <w:p w:rsidR="00000000" w:rsidRPr="009F6D4C" w:rsidP="009F6D4C">
            <w:pPr>
              <w:pStyle w:val="ListBullet2"/>
            </w:pPr>
            <w:r w:rsidRPr="009F6D4C">
              <w:t>training and workplace directives</w:t>
            </w:r>
          </w:p>
          <w:p w:rsidR="00000000" w:rsidRPr="009F6D4C" w:rsidP="009F6D4C">
            <w:pPr>
              <w:pStyle w:val="ListBullet2"/>
            </w:pPr>
            <w:r w:rsidRPr="009F6D4C">
              <w:t>checking tools, materials and equipment for safety and correct operation</w:t>
            </w:r>
          </w:p>
          <w:p w:rsidR="00000000" w:rsidRPr="009F6D4C" w:rsidP="009F6D4C">
            <w:pPr>
              <w:pStyle w:val="ListBullet2"/>
            </w:pPr>
            <w:r w:rsidRPr="009F6D4C">
              <w:t>isolating plant/machinery/equipment, including:</w:t>
            </w:r>
          </w:p>
          <w:p w:rsidR="00000000" w:rsidRPr="009F6D4C" w:rsidP="009F6D4C">
            <w:pPr>
              <w:pStyle w:val="ListBullet3"/>
            </w:pPr>
            <w:r w:rsidRPr="009F6D4C">
              <w:t>demonstrating Lock Out Tag Out procedur</w:t>
            </w:r>
            <w:r w:rsidRPr="009F6D4C">
              <w:t xml:space="preserve">es </w:t>
            </w:r>
          </w:p>
          <w:p w:rsidR="00000000" w:rsidRPr="009F6D4C" w:rsidP="009F6D4C">
            <w:pPr>
              <w:pStyle w:val="ListBullet"/>
            </w:pPr>
            <w:r w:rsidRPr="009F6D4C">
              <w:t>applying effective atmospheric testing techniques</w:t>
            </w:r>
          </w:p>
          <w:p w:rsidR="00000000" w:rsidRPr="009F6D4C" w:rsidP="009F6D4C">
            <w:pPr>
              <w:pStyle w:val="ListBullet"/>
            </w:pPr>
            <w:r w:rsidRPr="009F6D4C">
              <w:t>completing relevant workplace documentation</w:t>
            </w:r>
          </w:p>
          <w:p w:rsidR="00000000" w:rsidRPr="009F6D4C" w:rsidP="009F6D4C">
            <w:pPr>
              <w:pStyle w:val="ListBullet"/>
            </w:pPr>
            <w:r w:rsidRPr="009F6D4C">
              <w:t>communicating with relevant stakeholders, including:</w:t>
            </w:r>
          </w:p>
          <w:p w:rsidR="00000000" w:rsidRPr="009F6D4C" w:rsidP="009F6D4C">
            <w:pPr>
              <w:pStyle w:val="ListBullet2"/>
            </w:pPr>
            <w:r w:rsidRPr="009F6D4C">
              <w:t xml:space="preserve">authorised persons </w:t>
            </w:r>
          </w:p>
          <w:p w:rsidR="00000000" w:rsidRPr="009F6D4C" w:rsidP="009F6D4C">
            <w:pPr>
              <w:pStyle w:val="ListBullet2"/>
            </w:pPr>
            <w:r w:rsidRPr="009F6D4C">
              <w:t>authorities</w:t>
            </w:r>
          </w:p>
          <w:p w:rsidR="00000000" w:rsidRPr="009F6D4C" w:rsidP="009F6D4C">
            <w:pPr>
              <w:pStyle w:val="ListBullet2"/>
            </w:pPr>
            <w:r w:rsidRPr="009F6D4C">
              <w:t xml:space="preserve">clients </w:t>
            </w:r>
          </w:p>
          <w:p w:rsidR="00000000" w:rsidRPr="009F6D4C" w:rsidP="009F6D4C">
            <w:pPr>
              <w:pStyle w:val="ListBullet"/>
            </w:pPr>
            <w:r w:rsidRPr="009F6D4C">
              <w:t>complying with regulations, industry standards, legislative requirements, codes of practice, manufacturers’ recommendations and specifications, and environmental requirements</w:t>
            </w:r>
          </w:p>
          <w:p w:rsidR="00000000" w:rsidRPr="009F6D4C" w:rsidP="009F6D4C">
            <w:pPr>
              <w:pStyle w:val="ListBullet"/>
            </w:pPr>
            <w:r w:rsidRPr="009F6D4C">
              <w:t>dealing with unplanned events/situations in accordance with scope of responsibili</w:t>
            </w:r>
            <w:r w:rsidRPr="009F6D4C">
              <w:t>ty and workplace procedures, in a manner that minimises risk to personnel and equipment</w:t>
            </w:r>
          </w:p>
          <w:p w:rsidR="00000000" w:rsidRPr="009F6D4C" w:rsidP="009F6D4C">
            <w:pPr>
              <w:pStyle w:val="ListBullet"/>
            </w:pPr>
            <w:r w:rsidRPr="009F6D4C">
              <w:t>following and applying work procedures and instructions as they apply to risk control measures</w:t>
            </w:r>
          </w:p>
          <w:p w:rsidR="00000000" w:rsidRPr="009F6D4C" w:rsidP="009F6D4C">
            <w:pPr>
              <w:pStyle w:val="ListBullet"/>
            </w:pPr>
            <w:r w:rsidRPr="009F6D4C">
              <w:t>identifying hazards and implementing and monitoring control measures, inc</w:t>
            </w:r>
            <w:r w:rsidRPr="009F6D4C">
              <w:t>luding:</w:t>
            </w:r>
          </w:p>
          <w:p w:rsidR="00000000" w:rsidRPr="009F6D4C" w:rsidP="009F6D4C">
            <w:pPr>
              <w:pStyle w:val="ListBullet2"/>
            </w:pPr>
            <w:r w:rsidRPr="009F6D4C">
              <w:t>identifying potential sources of ignition</w:t>
            </w:r>
          </w:p>
          <w:p w:rsidR="00000000" w:rsidRPr="009F6D4C" w:rsidP="009F6D4C">
            <w:pPr>
              <w:pStyle w:val="ListBullet"/>
            </w:pPr>
            <w:r w:rsidRPr="009F6D4C">
              <w:t>obtaining applicable work permits, clearances and isolation permissions prior to entering the work area</w:t>
            </w:r>
          </w:p>
          <w:p w:rsidR="00000000" w:rsidRPr="009F6D4C" w:rsidP="009F6D4C">
            <w:pPr>
              <w:pStyle w:val="ListBullet"/>
            </w:pPr>
            <w:r w:rsidRPr="009F6D4C">
              <w:t>participating regularly in consultation processes</w:t>
            </w:r>
          </w:p>
          <w:p w:rsidR="00000000" w:rsidRPr="009F6D4C" w:rsidP="009F6D4C">
            <w:pPr>
              <w:pStyle w:val="ListBullet"/>
            </w:pPr>
            <w:r w:rsidRPr="009F6D4C">
              <w:t>preparing to enter a gas work area in accordance w</w:t>
            </w:r>
            <w:r w:rsidRPr="009F6D4C">
              <w:t>ith workplace procedures</w:t>
            </w:r>
          </w:p>
          <w:p w:rsidR="00000000" w:rsidRPr="009F6D4C" w:rsidP="009F6D4C">
            <w:pPr>
              <w:pStyle w:val="ListBullet"/>
            </w:pPr>
            <w:r w:rsidRPr="009F6D4C">
              <w:t>reporting hazards to relevant person/s in accordance with workplace procedures</w:t>
            </w:r>
          </w:p>
          <w:p w:rsidR="00000000" w:rsidRPr="009F6D4C" w:rsidP="009F6D4C">
            <w:pPr>
              <w:pStyle w:val="ListBullet"/>
            </w:pPr>
            <w:r w:rsidRPr="009F6D4C">
              <w:t>selecting and using appropriate tools and equipment, including:</w:t>
            </w:r>
          </w:p>
          <w:p w:rsidR="00000000" w:rsidRPr="009F6D4C" w:rsidP="009F6D4C">
            <w:pPr>
              <w:pStyle w:val="ListBullet2"/>
            </w:pPr>
            <w:r w:rsidRPr="009F6D4C">
              <w:t>gas detection equipment</w:t>
            </w:r>
          </w:p>
          <w:p w:rsidR="00000000" w:rsidRPr="009F6D4C" w:rsidP="009F6D4C">
            <w:pPr>
              <w:pStyle w:val="ListBullet2"/>
            </w:pPr>
            <w:r w:rsidRPr="009F6D4C">
              <w:t>personal protective equipment (PPE).</w:t>
            </w:r>
          </w:p>
        </w:tc>
      </w:tr>
    </w:tbl>
    <w:p w:rsidR="00000000" w:rsidRPr="009F6D4C" w:rsidP="009F6D4C">
      <w:pPr>
        <w:pStyle w:val="NoPaddingFontSize1"/>
      </w:pPr>
    </w:p>
    <w:p w:rsidR="00000000" w:rsidRPr="009F6D4C" w:rsidP="009F6D4C">
      <w:pPr>
        <w:pStyle w:val="AllowPageBreak"/>
      </w:pPr>
    </w:p>
    <w:p w:rsidR="00000000" w:rsidRPr="009F6D4C" w:rsidP="009F6D4C">
      <w:pPr>
        <w:pStyle w:val="Heading1"/>
      </w:pPr>
      <w:bookmarkStart w:id="3" w:name="O_1188562"/>
      <w:bookmarkEnd w:id="3"/>
      <w:r w:rsidRPr="009F6D4C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F6D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D4C">
            <w:pPr>
              <w:pStyle w:val="BodyText"/>
              <w:rPr>
                <w:lang w:val="en-NZ"/>
              </w:rPr>
            </w:pPr>
            <w:r w:rsidRPr="009F6D4C">
              <w:t xml:space="preserve">Evidence required to demonstrate competence in this unit must be relevant to and satisfy all of the requirements of the elements and performance criteria and include knowledge of: </w:t>
            </w:r>
          </w:p>
        </w:tc>
      </w:tr>
      <w:tr w:rsidTr="009F6D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D4C" w:rsidP="009F6D4C">
            <w:pPr>
              <w:pStyle w:val="ListBullet"/>
            </w:pPr>
            <w:r w:rsidRPr="009F6D4C">
              <w:t>common causes of hydrogen accidents and ignition</w:t>
            </w:r>
          </w:p>
          <w:p w:rsidR="00000000" w:rsidRPr="009F6D4C" w:rsidP="009F6D4C">
            <w:pPr>
              <w:pStyle w:val="ListBullet"/>
            </w:pPr>
            <w:r w:rsidRPr="009F6D4C">
              <w:t>emergency procedures and incident management requirements and procedures</w:t>
            </w:r>
          </w:p>
          <w:p w:rsidR="00000000" w:rsidRPr="009F6D4C" w:rsidP="009F6D4C">
            <w:pPr>
              <w:pStyle w:val="ListBullet"/>
            </w:pPr>
            <w:r w:rsidRPr="009F6D4C">
              <w:t>hazardous areas, including:</w:t>
            </w:r>
          </w:p>
          <w:p w:rsidR="00000000" w:rsidRPr="009F6D4C" w:rsidP="009F6D4C">
            <w:pPr>
              <w:pStyle w:val="ListBullet2"/>
            </w:pPr>
            <w:r w:rsidRPr="009F6D4C">
              <w:t>hazards associated with working in a hazardous area</w:t>
            </w:r>
          </w:p>
          <w:p w:rsidR="00000000" w:rsidRPr="009F6D4C" w:rsidP="009F6D4C">
            <w:pPr>
              <w:pStyle w:val="ListBullet2"/>
            </w:pPr>
            <w:r w:rsidRPr="009F6D4C">
              <w:t>requirements for working in a designated hazardous area</w:t>
            </w:r>
          </w:p>
          <w:p w:rsidR="00000000" w:rsidRPr="009F6D4C" w:rsidP="009F6D4C">
            <w:pPr>
              <w:pStyle w:val="ListBullet2"/>
            </w:pPr>
            <w:r w:rsidRPr="009F6D4C">
              <w:t xml:space="preserve">workplace situations that could be classified </w:t>
            </w:r>
            <w:r w:rsidRPr="009F6D4C">
              <w:t>as a hazardous area</w:t>
            </w:r>
          </w:p>
          <w:p w:rsidR="00000000" w:rsidRPr="009F6D4C" w:rsidP="009F6D4C">
            <w:pPr>
              <w:pStyle w:val="ListBullet"/>
            </w:pPr>
            <w:r w:rsidRPr="009F6D4C">
              <w:t>hazards associated with gas supply work environments</w:t>
            </w:r>
          </w:p>
          <w:p w:rsidR="00000000" w:rsidRPr="009F6D4C" w:rsidP="009F6D4C">
            <w:pPr>
              <w:pStyle w:val="ListBullet"/>
            </w:pPr>
            <w:r w:rsidRPr="009F6D4C">
              <w:t>hydrogen characteristics, including:</w:t>
            </w:r>
          </w:p>
          <w:p w:rsidR="00000000" w:rsidRPr="009F6D4C" w:rsidP="009F6D4C">
            <w:pPr>
              <w:pStyle w:val="ListBullet2"/>
            </w:pPr>
            <w:r w:rsidRPr="009F6D4C">
              <w:t>combustion terminology</w:t>
            </w:r>
          </w:p>
          <w:p w:rsidR="00000000" w:rsidRPr="009F6D4C" w:rsidP="009F6D4C">
            <w:pPr>
              <w:pStyle w:val="ListBullet2"/>
            </w:pPr>
            <w:r w:rsidRPr="009F6D4C">
              <w:t>hydrogen compatibility</w:t>
            </w:r>
          </w:p>
          <w:p w:rsidR="00000000" w:rsidRPr="009F6D4C" w:rsidP="009F6D4C">
            <w:pPr>
              <w:pStyle w:val="ListBullet2"/>
            </w:pPr>
            <w:r w:rsidRPr="009F6D4C">
              <w:t>hydrogen</w:t>
            </w:r>
            <w:r>
              <w:t>’</w:t>
            </w:r>
            <w:r w:rsidRPr="009F6D4C">
              <w:t>s chemical properties</w:t>
            </w:r>
          </w:p>
          <w:p w:rsidR="00000000" w:rsidRPr="009F6D4C" w:rsidP="009F6D4C">
            <w:pPr>
              <w:pStyle w:val="ListBullet2"/>
            </w:pPr>
            <w:r w:rsidRPr="009F6D4C">
              <w:t>hydrogen</w:t>
            </w:r>
            <w:r>
              <w:t>’</w:t>
            </w:r>
            <w:r w:rsidRPr="009F6D4C">
              <w:t>s physical properties</w:t>
            </w:r>
          </w:p>
          <w:p w:rsidR="00000000" w:rsidRPr="009F6D4C" w:rsidP="009F6D4C">
            <w:pPr>
              <w:pStyle w:val="ListBullet2"/>
            </w:pPr>
            <w:r w:rsidRPr="009F6D4C">
              <w:t>reaction terminology</w:t>
            </w:r>
          </w:p>
          <w:p w:rsidR="00000000" w:rsidRPr="009F6D4C" w:rsidP="009F6D4C">
            <w:pPr>
              <w:pStyle w:val="ListBullet2"/>
            </w:pPr>
            <w:r w:rsidRPr="009F6D4C">
              <w:t>safe storage procedures and purpose and interpretation of safety data sheet (SDS)</w:t>
            </w:r>
          </w:p>
          <w:p w:rsidR="00000000" w:rsidRPr="009F6D4C" w:rsidP="009F6D4C">
            <w:pPr>
              <w:pStyle w:val="ListBullet"/>
            </w:pPr>
            <w:r w:rsidRPr="009F6D4C">
              <w:t xml:space="preserve">hydrogen sources  </w:t>
            </w:r>
          </w:p>
          <w:p w:rsidR="00000000" w:rsidRPr="009F6D4C" w:rsidP="009F6D4C">
            <w:pPr>
              <w:pStyle w:val="ListBullet"/>
            </w:pPr>
            <w:r w:rsidRPr="009F6D4C">
              <w:t>hydrogen usages</w:t>
            </w:r>
          </w:p>
          <w:p w:rsidR="00000000" w:rsidRPr="009F6D4C" w:rsidP="009F6D4C">
            <w:pPr>
              <w:pStyle w:val="ListBullet"/>
            </w:pPr>
            <w:r w:rsidRPr="009F6D4C">
              <w:t>regulations, industry standards, legislative requirements, codes of practice, manufacturers’ recommendations and specifications, and envir</w:t>
            </w:r>
            <w:r w:rsidRPr="009F6D4C">
              <w:t>onmental requirements</w:t>
            </w:r>
          </w:p>
          <w:p w:rsidR="00000000" w:rsidRPr="009F6D4C" w:rsidP="009F6D4C">
            <w:pPr>
              <w:pStyle w:val="ListBullet"/>
            </w:pPr>
            <w:r w:rsidRPr="009F6D4C">
              <w:t xml:space="preserve">relevant stakeholders </w:t>
            </w:r>
          </w:p>
          <w:p w:rsidR="00000000" w:rsidRPr="009F6D4C" w:rsidP="009F6D4C">
            <w:pPr>
              <w:pStyle w:val="ListBullet"/>
            </w:pPr>
            <w:r w:rsidRPr="009F6D4C">
              <w:t>relevant safe work method statements (SWMS)/job safety assessments or risk mitigation processes</w:t>
            </w:r>
          </w:p>
          <w:p w:rsidR="00000000" w:rsidRPr="009F6D4C" w:rsidP="009F6D4C">
            <w:pPr>
              <w:pStyle w:val="ListBullet"/>
            </w:pPr>
            <w:r w:rsidRPr="009F6D4C">
              <w:t>relevant WHS/OHS legislated requirements</w:t>
            </w:r>
          </w:p>
          <w:p w:rsidR="00000000" w:rsidRPr="009F6D4C" w:rsidP="009F6D4C">
            <w:pPr>
              <w:pStyle w:val="ListBullet"/>
            </w:pPr>
            <w:r w:rsidRPr="009F6D4C">
              <w:t>relevant WHS/OHS policies and procedures, including:</w:t>
            </w:r>
          </w:p>
          <w:p w:rsidR="00000000" w:rsidRPr="009F6D4C" w:rsidP="009F6D4C">
            <w:pPr>
              <w:pStyle w:val="ListBullet2"/>
            </w:pPr>
            <w:r w:rsidRPr="009F6D4C">
              <w:t>hazard identification</w:t>
            </w:r>
          </w:p>
          <w:p w:rsidR="00000000" w:rsidRPr="009F6D4C" w:rsidP="009F6D4C">
            <w:pPr>
              <w:pStyle w:val="ListBullet2"/>
            </w:pPr>
            <w:r w:rsidRPr="009F6D4C">
              <w:t>risk assessment and control</w:t>
            </w:r>
          </w:p>
          <w:p w:rsidR="00000000" w:rsidRPr="009F6D4C" w:rsidP="009F6D4C">
            <w:pPr>
              <w:pStyle w:val="ListBullet"/>
            </w:pPr>
            <w:r w:rsidRPr="009F6D4C">
              <w:t>relevant work area access, clearances and isolation permissions/permits</w:t>
            </w:r>
          </w:p>
          <w:p w:rsidR="00000000" w:rsidRPr="009F6D4C" w:rsidP="009F6D4C">
            <w:pPr>
              <w:pStyle w:val="ListBullet"/>
            </w:pPr>
            <w:r w:rsidRPr="009F6D4C">
              <w:t>relevant workplace documentation, policies and procedures</w:t>
            </w:r>
          </w:p>
          <w:p w:rsidR="00000000" w:rsidRPr="009F6D4C" w:rsidP="009F6D4C">
            <w:pPr>
              <w:pStyle w:val="ListBullet"/>
            </w:pPr>
            <w:r w:rsidRPr="009F6D4C">
              <w:t>techniques to check tools, materials and equipment for safety and correct f</w:t>
            </w:r>
            <w:r w:rsidRPr="009F6D4C">
              <w:t>unctionality</w:t>
            </w:r>
          </w:p>
          <w:p w:rsidR="00000000" w:rsidRPr="009F6D4C" w:rsidP="009F6D4C">
            <w:pPr>
              <w:pStyle w:val="ListBullet"/>
            </w:pPr>
            <w:r w:rsidRPr="009F6D4C">
              <w:t>techniques to monitor implemented control measures</w:t>
            </w:r>
          </w:p>
          <w:p w:rsidR="00000000" w:rsidRPr="009F6D4C" w:rsidP="009F6D4C">
            <w:pPr>
              <w:pStyle w:val="ListBullet"/>
            </w:pPr>
            <w:r w:rsidRPr="009F6D4C">
              <w:t>working safely with electricity</w:t>
            </w:r>
          </w:p>
          <w:p w:rsidR="00000000" w:rsidRPr="009F6D4C" w:rsidP="009F6D4C">
            <w:pPr>
              <w:pStyle w:val="ListBullet"/>
            </w:pPr>
            <w:r w:rsidRPr="009F6D4C">
              <w:t>working safely with gases.</w:t>
            </w:r>
          </w:p>
        </w:tc>
      </w:tr>
    </w:tbl>
    <w:p w:rsidR="00000000" w:rsidRPr="009F6D4C" w:rsidP="009F6D4C">
      <w:pPr>
        <w:pStyle w:val="NoPaddingFontSize1"/>
      </w:pPr>
    </w:p>
    <w:p w:rsidR="00000000" w:rsidRPr="009F6D4C" w:rsidP="009F6D4C">
      <w:pPr>
        <w:pStyle w:val="AllowPageBreak"/>
      </w:pPr>
    </w:p>
    <w:p w:rsidR="00000000" w:rsidRPr="009F6D4C" w:rsidP="009F6D4C">
      <w:pPr>
        <w:pStyle w:val="Heading1"/>
      </w:pPr>
      <w:bookmarkStart w:id="4" w:name="O_1188563"/>
      <w:bookmarkEnd w:id="4"/>
      <w:r w:rsidRPr="009F6D4C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F6D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D4C" w:rsidP="009F6D4C">
            <w:pPr>
              <w:pStyle w:val="BodyText"/>
            </w:pPr>
            <w:r w:rsidRPr="009F6D4C">
              <w:t>Assessors must hold credentials specified within the Standards for Registered Training Organisations current at the time of assessment.</w:t>
            </w:r>
          </w:p>
          <w:p w:rsidR="00000000" w:rsidRPr="009F6D4C" w:rsidP="009F6D4C">
            <w:pPr>
              <w:pStyle w:val="BodyText"/>
            </w:pPr>
            <w:r w:rsidRPr="009F6D4C">
              <w:t>Assessment must satisfy the Principles of Assessment and Rules of Evidence and all regulatory requirements included with</w:t>
            </w:r>
            <w:r w:rsidRPr="009F6D4C">
              <w:t>in the Standards for Registered Training Organisations current at the time of assessment.</w:t>
            </w:r>
          </w:p>
          <w:p w:rsidR="00000000" w:rsidRPr="009F6D4C" w:rsidP="009F6D4C">
            <w:pPr>
              <w:pStyle w:val="BodyText"/>
            </w:pPr>
            <w:r w:rsidRPr="009F6D4C">
              <w:t>Assessment must occur in workplace operational situations where it is appropriate to do so; where this is not appropriate, assessment must occur in simulated workplac</w:t>
            </w:r>
            <w:r w:rsidRPr="009F6D4C">
              <w:t>e operational situations that replicate workplace conditions.</w:t>
            </w:r>
          </w:p>
          <w:p w:rsidR="00000000" w:rsidRPr="009F6D4C" w:rsidP="009F6D4C">
            <w:pPr>
              <w:pStyle w:val="BodyText"/>
            </w:pPr>
            <w:r w:rsidRPr="009F6D4C">
              <w:t>Assessment processes and techniques must be appropriate to the language, literacy and numeracy requirements of the work being performed and the needs of the candidate.</w:t>
            </w:r>
          </w:p>
          <w:p w:rsidR="00000000" w:rsidRPr="009F6D4C" w:rsidP="009F6D4C">
            <w:pPr>
              <w:pStyle w:val="BodyText"/>
            </w:pPr>
            <w:r w:rsidRPr="009F6D4C">
              <w:t>Resources for assessment m</w:t>
            </w:r>
            <w:r w:rsidRPr="009F6D4C">
              <w:t>ust include access to:</w:t>
            </w:r>
          </w:p>
          <w:p w:rsidR="00000000" w:rsidRPr="009F6D4C" w:rsidP="009F6D4C">
            <w:pPr>
              <w:pStyle w:val="ListBullet"/>
            </w:pPr>
            <w:r w:rsidRPr="009F6D4C">
              <w:t>a range of relevant exercises, case studies and/or simulations</w:t>
            </w:r>
          </w:p>
          <w:p w:rsidR="00000000" w:rsidRPr="009F6D4C" w:rsidP="009F6D4C">
            <w:pPr>
              <w:pStyle w:val="ListBullet"/>
            </w:pPr>
            <w:r w:rsidRPr="009F6D4C">
              <w:t>relevant and appropriate materials, tools, equipment and personal protective equipment (PPE) currently used in industry</w:t>
            </w:r>
          </w:p>
          <w:p w:rsidR="00000000" w:rsidRPr="009F6D4C" w:rsidP="009F6D4C">
            <w:pPr>
              <w:pStyle w:val="ListBullet"/>
            </w:pPr>
            <w:r w:rsidRPr="009F6D4C">
              <w:t>applicable documentation, including workplace pro</w:t>
            </w:r>
            <w:r w:rsidRPr="009F6D4C">
              <w:t>cedures, equipment specifications, regulations, codes of practice and operation manuals.</w:t>
            </w:r>
          </w:p>
        </w:tc>
      </w:tr>
    </w:tbl>
    <w:p w:rsidR="00000000" w:rsidRPr="009F6D4C" w:rsidP="009F6D4C">
      <w:pPr>
        <w:pStyle w:val="NoPaddingFontSize1"/>
      </w:pPr>
    </w:p>
    <w:p w:rsidR="00000000" w:rsidRPr="009F6D4C" w:rsidP="009F6D4C">
      <w:pPr>
        <w:pStyle w:val="AllowPageBreak"/>
      </w:pPr>
    </w:p>
    <w:p w:rsidR="00000000" w:rsidRPr="009F6D4C" w:rsidP="009F6D4C">
      <w:pPr>
        <w:pStyle w:val="Heading1"/>
      </w:pPr>
      <w:bookmarkStart w:id="5" w:name="O_1188566"/>
      <w:bookmarkEnd w:id="5"/>
      <w:r w:rsidRPr="009F6D4C">
        <w:t>Links</w:t>
      </w:r>
    </w:p>
    <w:p w:rsidR="00000000" w:rsidRPr="009F6D4C" w:rsidP="0030276B">
      <w:pPr>
        <w:pStyle w:val="BodyText"/>
      </w:pPr>
      <w:r w:rsidRPr="009F6D4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AF0D6E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9F6D4C" w:rsidP="009F6D4C"/>
    <w:sectPr w:rsidSect="009F6D4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D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D4C" w:rsidRPr="0030276B" w:rsidP="003027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D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76B" w:rsidP="009F6D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0276B" w:rsidP="009F6D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0276B" w:rsidP="009F6D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D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76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F6D4C" w:rsidRPr="0030276B" w:rsidP="0030276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D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76B" w:rsidRPr="002D2AF8" w:rsidP="009F6D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UEGNSG901 Apply safety practices, procedures, and compliance standards for handling hydrogen gas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2022</w:t>
    </w:r>
    <w:r>
      <w:fldChar w:fldCharType="end"/>
    </w:r>
  </w:p>
  <w:p w:rsidR="0030276B" w:rsidP="009F6D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34C516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63097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25431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6D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F6D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6D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6D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6D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6D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6D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6D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6D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6D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6D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6D4C"/>
  </w:style>
  <w:style w:type="character" w:customStyle="1" w:styleId="Heading1Char">
    <w:name w:val="Heading 1 Char"/>
    <w:basedOn w:val="DefaultParagraphFont"/>
    <w:link w:val="Heading1"/>
    <w:rsid w:val="009F6D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F6D4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6D4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F6D4C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F6D4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F6D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F6D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F6D4C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F6D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6D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6D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6D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6D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6D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F6D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F6D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F6D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6D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6D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6D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6D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F6D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6D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F6D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6D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6D4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F6D4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F6D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F6D4C"/>
    <w:rPr>
      <w:b/>
      <w:spacing w:val="0"/>
    </w:rPr>
  </w:style>
  <w:style w:type="paragraph" w:customStyle="1" w:styleId="SuperTitle">
    <w:name w:val="SuperTitle"/>
    <w:basedOn w:val="Title"/>
    <w:rsid w:val="009F6D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6D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6D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F6D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6D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F6D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6D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F6D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6D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6D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6D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6D4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F6D4C"/>
    <w:rPr>
      <w:i/>
    </w:rPr>
  </w:style>
  <w:style w:type="paragraph" w:styleId="Caption">
    <w:name w:val="caption"/>
    <w:basedOn w:val="BodyText"/>
    <w:next w:val="Normal"/>
    <w:qFormat/>
    <w:rsid w:val="009F6D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6D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6D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6D4C"/>
  </w:style>
  <w:style w:type="paragraph" w:styleId="TableofFigures">
    <w:name w:val="table of figures"/>
    <w:basedOn w:val="Normal"/>
    <w:next w:val="Normal"/>
    <w:semiHidden/>
    <w:rsid w:val="009F6D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6D4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F6D4C"/>
    <w:rPr>
      <w:rFonts w:ascii="Wingdings" w:hAnsi="Wingdings"/>
    </w:rPr>
  </w:style>
  <w:style w:type="paragraph" w:customStyle="1" w:styleId="TableHeading">
    <w:name w:val="Table Heading"/>
    <w:basedOn w:val="HeadingBase"/>
    <w:rsid w:val="009F6D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F6D4C"/>
    <w:rPr>
      <w:color w:val="0033CC"/>
      <w:u w:val="none"/>
    </w:rPr>
  </w:style>
  <w:style w:type="paragraph" w:customStyle="1" w:styleId="BodyTextRight">
    <w:name w:val="Body Text Right"/>
    <w:basedOn w:val="BodyText"/>
    <w:rsid w:val="009F6D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6D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6D4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6D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6D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6D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F6D4C"/>
    <w:rPr>
      <w:sz w:val="32"/>
    </w:rPr>
  </w:style>
  <w:style w:type="paragraph" w:customStyle="1" w:styleId="HeadingProcedure">
    <w:name w:val="Heading Procedure"/>
    <w:basedOn w:val="HeadingBase"/>
    <w:next w:val="Normal"/>
    <w:rsid w:val="009F6D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F6D4C"/>
    <w:pPr>
      <w:spacing w:before="60" w:after="60"/>
    </w:pPr>
  </w:style>
  <w:style w:type="paragraph" w:styleId="ListContinue">
    <w:name w:val="List Continue"/>
    <w:basedOn w:val="List"/>
    <w:rsid w:val="009F6D4C"/>
    <w:pPr>
      <w:ind w:firstLine="0"/>
    </w:pPr>
  </w:style>
  <w:style w:type="paragraph" w:customStyle="1" w:styleId="ListNote">
    <w:name w:val="List Note"/>
    <w:basedOn w:val="List"/>
    <w:rsid w:val="009F6D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6D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6D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6D4C"/>
    <w:rPr>
      <w:rFonts w:ascii="Courier New" w:hAnsi="Courier New"/>
    </w:rPr>
  </w:style>
  <w:style w:type="paragraph" w:customStyle="1" w:styleId="NoteBullet">
    <w:name w:val="Note Bullet"/>
    <w:basedOn w:val="Note"/>
    <w:rsid w:val="009F6D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6D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6D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6D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6D4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F6D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6D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F6D4C"/>
    <w:rPr>
      <w:b/>
      <w:smallCaps/>
    </w:rPr>
  </w:style>
  <w:style w:type="paragraph" w:customStyle="1" w:styleId="TableListNumber">
    <w:name w:val="Table List Number"/>
    <w:basedOn w:val="ListNumber"/>
    <w:rsid w:val="009F6D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6D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6D4C"/>
    <w:pPr>
      <w:numPr>
        <w:numId w:val="10"/>
      </w:numPr>
    </w:pPr>
  </w:style>
  <w:style w:type="paragraph" w:customStyle="1" w:styleId="ListAlpha2">
    <w:name w:val="List Alpha 2"/>
    <w:basedOn w:val="List2"/>
    <w:rsid w:val="009F6D4C"/>
    <w:pPr>
      <w:numPr>
        <w:numId w:val="9"/>
      </w:numPr>
    </w:pPr>
  </w:style>
  <w:style w:type="paragraph" w:styleId="List2">
    <w:name w:val="List 2"/>
    <w:basedOn w:val="BodyText"/>
    <w:rsid w:val="009F6D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F6D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6D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6D4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F6D4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F6D4C"/>
    <w:pPr>
      <w:numPr>
        <w:numId w:val="5"/>
      </w:numPr>
    </w:pPr>
  </w:style>
  <w:style w:type="paragraph" w:styleId="ListContinue2">
    <w:name w:val="List Continue 2"/>
    <w:basedOn w:val="List2"/>
    <w:rsid w:val="009F6D4C"/>
    <w:pPr>
      <w:ind w:firstLine="0"/>
    </w:pPr>
  </w:style>
  <w:style w:type="paragraph" w:styleId="ListContinue3">
    <w:name w:val="List Continue 3"/>
    <w:basedOn w:val="List3"/>
    <w:rsid w:val="009F6D4C"/>
    <w:pPr>
      <w:ind w:left="1021" w:firstLine="0"/>
    </w:pPr>
  </w:style>
  <w:style w:type="paragraph" w:styleId="ListContinue4">
    <w:name w:val="List Continue 4"/>
    <w:basedOn w:val="List4"/>
    <w:rsid w:val="009F6D4C"/>
    <w:pPr>
      <w:ind w:firstLine="0"/>
    </w:pPr>
  </w:style>
  <w:style w:type="paragraph" w:styleId="ListContinue5">
    <w:name w:val="List Continue 5"/>
    <w:basedOn w:val="List5"/>
    <w:rsid w:val="009F6D4C"/>
    <w:pPr>
      <w:ind w:firstLine="0"/>
    </w:pPr>
  </w:style>
  <w:style w:type="paragraph" w:styleId="ListNumber3">
    <w:name w:val="List Number 3"/>
    <w:basedOn w:val="List3"/>
    <w:rsid w:val="009F6D4C"/>
    <w:pPr>
      <w:numPr>
        <w:numId w:val="6"/>
      </w:numPr>
    </w:pPr>
  </w:style>
  <w:style w:type="paragraph" w:styleId="ListNumber4">
    <w:name w:val="List Number 4"/>
    <w:basedOn w:val="List4"/>
    <w:rsid w:val="009F6D4C"/>
    <w:pPr>
      <w:numPr>
        <w:numId w:val="7"/>
      </w:numPr>
    </w:pPr>
  </w:style>
  <w:style w:type="paragraph" w:styleId="ListNumber5">
    <w:name w:val="List Number 5"/>
    <w:basedOn w:val="List5"/>
    <w:rsid w:val="009F6D4C"/>
    <w:pPr>
      <w:numPr>
        <w:numId w:val="8"/>
      </w:numPr>
    </w:pPr>
  </w:style>
  <w:style w:type="paragraph" w:styleId="BlockText">
    <w:name w:val="Block Text"/>
    <w:basedOn w:val="Normal"/>
    <w:rsid w:val="009F6D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6D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6D4C"/>
    <w:rPr>
      <w:sz w:val="16"/>
      <w:vertAlign w:val="superscript"/>
    </w:rPr>
  </w:style>
  <w:style w:type="character" w:customStyle="1" w:styleId="Symbols">
    <w:name w:val="Symbols"/>
    <w:basedOn w:val="DefaultParagraphFont"/>
    <w:rsid w:val="009F6D4C"/>
    <w:rPr>
      <w:rFonts w:ascii="Symbol" w:hAnsi="Symbol"/>
    </w:rPr>
  </w:style>
  <w:style w:type="character" w:customStyle="1" w:styleId="MenuOptions">
    <w:name w:val="Menu Options"/>
    <w:basedOn w:val="DefaultParagraphFont"/>
    <w:rsid w:val="009F6D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6D4C"/>
    <w:rPr>
      <w:b/>
    </w:rPr>
  </w:style>
  <w:style w:type="character" w:customStyle="1" w:styleId="Underlined">
    <w:name w:val="Underlined"/>
    <w:basedOn w:val="DefaultParagraphFont"/>
    <w:rsid w:val="009F6D4C"/>
    <w:rPr>
      <w:u w:val="single"/>
    </w:rPr>
  </w:style>
  <w:style w:type="paragraph" w:customStyle="1" w:styleId="TableBodyTextRight">
    <w:name w:val="Table Body Text Right"/>
    <w:basedOn w:val="TableBodyText"/>
    <w:rsid w:val="009F6D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6D4C"/>
    <w:rPr>
      <w:sz w:val="18"/>
    </w:rPr>
  </w:style>
  <w:style w:type="paragraph" w:customStyle="1" w:styleId="BodySmallRight">
    <w:name w:val="Body Small Right"/>
    <w:basedOn w:val="BodyTextRight"/>
    <w:rsid w:val="009F6D4C"/>
    <w:rPr>
      <w:sz w:val="18"/>
      <w:szCs w:val="18"/>
    </w:rPr>
  </w:style>
  <w:style w:type="paragraph" w:customStyle="1" w:styleId="MarginEdition">
    <w:name w:val="Margin Edition"/>
    <w:basedOn w:val="MarginNote"/>
    <w:rsid w:val="009F6D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6D4C"/>
    <w:rPr>
      <w:sz w:val="2"/>
      <w:szCs w:val="2"/>
    </w:rPr>
  </w:style>
  <w:style w:type="character" w:customStyle="1" w:styleId="Small">
    <w:name w:val="Small"/>
    <w:basedOn w:val="DefaultParagraphFont"/>
    <w:rsid w:val="009F6D4C"/>
    <w:rPr>
      <w:sz w:val="16"/>
    </w:rPr>
  </w:style>
  <w:style w:type="paragraph" w:customStyle="1" w:styleId="WideTable">
    <w:name w:val="Wide Table"/>
    <w:basedOn w:val="Normal"/>
    <w:rsid w:val="009F6D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6D4C"/>
  </w:style>
  <w:style w:type="paragraph" w:styleId="Quote">
    <w:name w:val="Quote"/>
    <w:basedOn w:val="Heading1"/>
    <w:link w:val="QuoteChar"/>
    <w:qFormat/>
    <w:rsid w:val="009F6D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6D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6D4C"/>
    <w:pPr>
      <w:pageBreakBefore/>
    </w:pPr>
  </w:style>
  <w:style w:type="paragraph" w:customStyle="1" w:styleId="Border">
    <w:name w:val="Border"/>
    <w:basedOn w:val="Normal"/>
    <w:qFormat/>
    <w:rsid w:val="009F6D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6D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6D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6D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F6D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6D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6D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6D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6D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6D4C"/>
    <w:rPr>
      <w:u w:val="single"/>
    </w:rPr>
  </w:style>
  <w:style w:type="character" w:customStyle="1" w:styleId="BoldandItalics">
    <w:name w:val="Bold and Italics"/>
    <w:qFormat/>
    <w:rsid w:val="009F6D4C"/>
    <w:rPr>
      <w:b/>
      <w:i/>
      <w:u w:val="none"/>
    </w:rPr>
  </w:style>
  <w:style w:type="paragraph" w:styleId="BalloonText">
    <w:name w:val="Balloon Text"/>
    <w:basedOn w:val="Normal"/>
    <w:link w:val="BalloonTextChar"/>
    <w:rsid w:val="009F6D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6D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F6D4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6D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F6D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F6D4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F6D4C"/>
    <w:pPr>
      <w:spacing w:before="0" w:after="0"/>
    </w:pPr>
  </w:style>
  <w:style w:type="paragraph" w:customStyle="1" w:styleId="BodyTextBold">
    <w:name w:val="Body Text Bold"/>
    <w:basedOn w:val="BodyText"/>
    <w:qFormat/>
    <w:rsid w:val="009F6D4C"/>
    <w:rPr>
      <w:b/>
    </w:rPr>
  </w:style>
  <w:style w:type="character" w:styleId="Hyperlink">
    <w:name w:val="Hyperlink"/>
    <w:basedOn w:val="DefaultParagraphFont"/>
    <w:uiPriority w:val="99"/>
    <w:unhideWhenUsed/>
    <w:rsid w:val="003027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651</Words>
  <Characters>4617</Characters>
  <Application>Microsoft Office Word</Application>
  <DocSecurity>0</DocSecurity>
  <Lines>112</Lines>
  <Paragraphs>86</Paragraphs>
  <ScaleCrop>false</ScaleCrop>
  <Company>Author-it Software Corporation Ltd.</Company>
  <LinksUpToDate>false</LinksUpToDate>
  <CharactersWithSpaces>5182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UEGNSG901 Apply safety practices, procedures, and compliance standards for handling hydrogen gas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2022-12-09T00:50:00Z</dcterms:created>
  <dcterms:modified xsi:type="dcterms:W3CDTF">2022-12-09T00:50:00Z</dcterms:modified>
</cp:coreProperties>
</file>