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8B4" w:rsidP="00D028B4">
      <w:pPr>
        <w:pStyle w:val="Title"/>
      </w:pPr>
      <w:r>
        <w:fldChar w:fldCharType="begin"/>
      </w:r>
      <w:r>
        <w:instrText xml:space="preserve"> TITLE   \* MERGEFORMAT </w:instrText>
      </w:r>
      <w:r>
        <w:fldChar w:fldCharType="separate"/>
      </w:r>
      <w:r>
        <w:t>UEGNSG807 Install gas flow, measuring and pressure regulating devices</w:t>
      </w:r>
      <w:r>
        <w:fldChar w:fldCharType="end"/>
      </w:r>
    </w:p>
    <w:p w:rsidR="00D028B4" w:rsidP="00D028B4">
      <w:pPr>
        <w:pStyle w:val="Version"/>
        <w:sectPr w:rsidSect="00B543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304" w:rsidP="00B54304">
      <w:pPr>
        <w:pStyle w:val="SuperHeading"/>
      </w:pPr>
      <w:r w:rsidRPr="00B54304">
        <w:t>UEGNSG807 Install gas flow, measuring and pressure regulating devices</w:t>
      </w:r>
    </w:p>
    <w:p w:rsidR="00000000" w:rsidRPr="00B54304" w:rsidP="00B54304">
      <w:pPr>
        <w:pStyle w:val="Heading1"/>
      </w:pPr>
      <w:bookmarkStart w:id="1" w:name="O_967991"/>
      <w:bookmarkEnd w:id="1"/>
      <w:r w:rsidRPr="00B54304">
        <w:t>Modification History</w:t>
      </w:r>
    </w:p>
    <w:tbl>
      <w:tblPr>
        <w:tblW w:w="9497" w:type="dxa"/>
        <w:tblLayout w:type="fixed"/>
        <w:tblCellMar>
          <w:left w:w="62" w:type="dxa"/>
          <w:right w:w="62" w:type="dxa"/>
        </w:tblCellMar>
        <w:tblLook w:val="0000"/>
      </w:tblPr>
      <w:tblGrid>
        <w:gridCol w:w="9497"/>
      </w:tblGrid>
      <w:tr w:rsidTr="00B54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t>Release 1: This is the first release of this unit of competency in the UEG Gas Industry Training Package.</w:t>
            </w:r>
          </w:p>
        </w:tc>
      </w:tr>
    </w:tbl>
    <w:p w:rsidR="00000000" w:rsidRPr="00B54304" w:rsidP="00B54304">
      <w:pPr>
        <w:pStyle w:val="NoPaddingFontSize1"/>
      </w:pPr>
    </w:p>
    <w:p w:rsidR="00000000" w:rsidRPr="00B54304" w:rsidP="00B54304">
      <w:pPr>
        <w:pStyle w:val="AllowPageBreak"/>
      </w:pPr>
    </w:p>
    <w:p w:rsidR="00000000" w:rsidRPr="00B54304" w:rsidP="00B54304">
      <w:pPr>
        <w:pStyle w:val="Heading1"/>
      </w:pPr>
      <w:bookmarkStart w:id="2" w:name="O_967992"/>
      <w:bookmarkEnd w:id="2"/>
      <w:r w:rsidRPr="00B54304">
        <w:t>Application</w:t>
      </w:r>
    </w:p>
    <w:tbl>
      <w:tblPr>
        <w:tblW w:w="9497" w:type="dxa"/>
        <w:tblLayout w:type="fixed"/>
        <w:tblCellMar>
          <w:left w:w="62" w:type="dxa"/>
          <w:right w:w="62" w:type="dxa"/>
        </w:tblCellMar>
        <w:tblLook w:val="0000"/>
      </w:tblPr>
      <w:tblGrid>
        <w:gridCol w:w="9497"/>
      </w:tblGrid>
      <w:tr w:rsidTr="00B54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t>This unit involves the skills and knowledge required to install gas flow, measuring and pressure regulating devices in accordance with relevant legislation, codes of practice, regulations and workplace procedures.</w:t>
            </w:r>
          </w:p>
          <w:p w:rsidR="00000000" w:rsidRPr="00B54304" w:rsidP="00B54304">
            <w:pPr>
              <w:pStyle w:val="BodyText"/>
            </w:pPr>
            <w:r w:rsidRPr="00B54304">
              <w:t>It includes installing of gas valves, pres</w:t>
            </w:r>
            <w:r w:rsidRPr="00B54304">
              <w:t>sure controllers, regulators and meters in gas facilities and stations.</w:t>
            </w:r>
          </w:p>
          <w:p w:rsidR="00000000" w:rsidRPr="00B54304" w:rsidP="00B54304">
            <w:pPr>
              <w:pStyle w:val="BodyText"/>
            </w:pPr>
            <w:r w:rsidRPr="00B54304">
              <w:t>This unit applies to the following types of gas stations, subject to all work health and safety (WHS)/occupational health and safety (OHS) and duty of care requirements being met for t</w:t>
            </w:r>
            <w:r w:rsidRPr="00B54304">
              <w:t>he workplace:</w:t>
            </w:r>
          </w:p>
          <w:p w:rsidR="00000000" w:rsidRPr="00B54304" w:rsidP="00B54304">
            <w:pPr>
              <w:pStyle w:val="ListBullet"/>
            </w:pPr>
            <w:r w:rsidRPr="00B54304">
              <w:t>pressure reduction stations, district and customer regulator sets</w:t>
            </w:r>
          </w:p>
          <w:p w:rsidR="00000000" w:rsidRPr="00B54304" w:rsidP="00B54304">
            <w:pPr>
              <w:pStyle w:val="ListBullet"/>
            </w:pPr>
            <w:r w:rsidRPr="00B54304">
              <w:t>compressor stations</w:t>
            </w:r>
          </w:p>
          <w:p w:rsidR="00000000" w:rsidRPr="00B54304" w:rsidP="00B54304">
            <w:pPr>
              <w:pStyle w:val="ListBullet"/>
            </w:pPr>
            <w:r w:rsidRPr="00B54304">
              <w:t>meter stations and customer meter sets</w:t>
            </w:r>
          </w:p>
          <w:p w:rsidR="00000000" w:rsidRPr="00B54304" w:rsidP="00B54304">
            <w:pPr>
              <w:pStyle w:val="ListBullet"/>
            </w:pPr>
            <w:r w:rsidRPr="00B54304">
              <w:t>custody transfer stations</w:t>
            </w:r>
          </w:p>
          <w:p w:rsidR="00000000" w:rsidRPr="00B54304" w:rsidP="00B54304">
            <w:pPr>
              <w:pStyle w:val="ListBullet"/>
            </w:pPr>
            <w:r w:rsidRPr="00B54304">
              <w:t>inlets and city gates</w:t>
            </w:r>
          </w:p>
          <w:p w:rsidR="00000000" w:rsidRPr="00B54304" w:rsidP="00B54304">
            <w:pPr>
              <w:pStyle w:val="ListBullet"/>
            </w:pPr>
            <w:r w:rsidRPr="00B54304">
              <w:t>scraper stations</w:t>
            </w:r>
          </w:p>
          <w:p w:rsidR="00000000" w:rsidRPr="00B54304" w:rsidP="00B54304">
            <w:pPr>
              <w:pStyle w:val="ListBullet"/>
            </w:pPr>
            <w:r w:rsidRPr="00B54304">
              <w:t>gas storage facilities</w:t>
            </w:r>
          </w:p>
          <w:p w:rsidR="00000000" w:rsidRPr="00B54304" w:rsidP="00B54304">
            <w:pPr>
              <w:pStyle w:val="ListBullet"/>
            </w:pPr>
            <w:r w:rsidRPr="00B54304">
              <w:t>main line valves.</w:t>
            </w:r>
          </w:p>
          <w:p w:rsidR="00000000" w:rsidRPr="00B54304" w:rsidP="00B54304">
            <w:pPr>
              <w:pStyle w:val="BodyText"/>
            </w:pPr>
            <w:r w:rsidRPr="00B54304">
              <w:t xml:space="preserve">The skills and knowledge described in this unit require a licence or permit to practice in the workplace where work is carried out on electrical installations which are designed to operate at voltages greater than 50 V a.c. or 120 V d.c. </w:t>
            </w:r>
          </w:p>
          <w:p w:rsidR="00000000" w:rsidRPr="00B54304" w:rsidP="00B54304">
            <w:pPr>
              <w:pStyle w:val="BodyText"/>
            </w:pPr>
            <w:r w:rsidRPr="00B54304">
              <w:t>Competency develo</w:t>
            </w:r>
            <w:r w:rsidRPr="00B54304">
              <w:t xml:space="preserve">pment activities in this unit are subject to regulations directly related to licencing. </w:t>
            </w:r>
          </w:p>
          <w:p w:rsidR="00000000" w:rsidRPr="00B54304" w:rsidP="00B54304">
            <w:pPr>
              <w:pStyle w:val="BodyText"/>
            </w:pPr>
            <w:r w:rsidRPr="00B54304">
              <w:t xml:space="preserve">Additional and/or other conditions may apply in some jurisdictions subject to regulations related to electrical work. Practice in the workplace and during training is </w:t>
            </w:r>
            <w:r w:rsidRPr="00B54304">
              <w:t>also subject to WHS/ OHS regulations.</w:t>
            </w:r>
          </w:p>
        </w:tc>
      </w:tr>
    </w:tbl>
    <w:p w:rsidR="00000000" w:rsidRPr="00B54304" w:rsidP="00B54304">
      <w:pPr>
        <w:pStyle w:val="NoPaddingFontSize1"/>
      </w:pPr>
    </w:p>
    <w:p w:rsidR="00000000" w:rsidRPr="00B54304" w:rsidP="00B54304">
      <w:pPr>
        <w:pStyle w:val="AllowPageBreak"/>
      </w:pPr>
    </w:p>
    <w:p w:rsidR="00000000" w:rsidRPr="00B54304" w:rsidP="00B54304">
      <w:pPr>
        <w:pStyle w:val="Heading1"/>
      </w:pPr>
      <w:bookmarkStart w:id="3" w:name="O_967993"/>
      <w:bookmarkEnd w:id="3"/>
      <w:r w:rsidRPr="00B54304">
        <w:t>Pre-requisite Unit</w:t>
      </w:r>
    </w:p>
    <w:tbl>
      <w:tblPr>
        <w:tblW w:w="9497" w:type="dxa"/>
        <w:tblLayout w:type="fixed"/>
        <w:tblCellMar>
          <w:left w:w="62" w:type="dxa"/>
          <w:right w:w="62" w:type="dxa"/>
        </w:tblCellMar>
        <w:tblLook w:val="0000"/>
      </w:tblPr>
      <w:tblGrid>
        <w:gridCol w:w="9497"/>
      </w:tblGrid>
      <w:tr w:rsidTr="00B54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t>UEGNSG006 Use a portable gas detector to locate escape</w:t>
            </w:r>
          </w:p>
        </w:tc>
      </w:tr>
    </w:tbl>
    <w:p w:rsidR="00000000" w:rsidRPr="00B54304" w:rsidP="00B54304">
      <w:pPr>
        <w:pStyle w:val="NoPaddingFontSize1"/>
      </w:pPr>
    </w:p>
    <w:p w:rsidR="00000000" w:rsidRPr="00B54304" w:rsidP="00B54304">
      <w:pPr>
        <w:pStyle w:val="AllowPageBreak"/>
      </w:pPr>
    </w:p>
    <w:p w:rsidR="00000000" w:rsidRPr="00B54304" w:rsidP="00B54304">
      <w:pPr>
        <w:pStyle w:val="Heading1"/>
      </w:pPr>
      <w:bookmarkStart w:id="4" w:name="O_967994"/>
      <w:bookmarkEnd w:id="4"/>
      <w:r w:rsidRPr="00B54304">
        <w:t>Competency Field</w:t>
      </w:r>
    </w:p>
    <w:tbl>
      <w:tblPr>
        <w:tblW w:w="9497" w:type="dxa"/>
        <w:tblLayout w:type="fixed"/>
        <w:tblCellMar>
          <w:left w:w="62" w:type="dxa"/>
          <w:right w:w="62" w:type="dxa"/>
        </w:tblCellMar>
        <w:tblLook w:val="0000"/>
      </w:tblPr>
      <w:tblGrid>
        <w:gridCol w:w="9497"/>
      </w:tblGrid>
      <w:tr w:rsidTr="00B54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t>Pressure Control Discipline</w:t>
            </w:r>
          </w:p>
        </w:tc>
      </w:tr>
    </w:tbl>
    <w:p w:rsidR="00000000" w:rsidRPr="00B54304" w:rsidP="00B54304">
      <w:pPr>
        <w:pStyle w:val="NoPaddingFontSize1"/>
      </w:pPr>
    </w:p>
    <w:p w:rsidR="00000000" w:rsidRPr="00B54304" w:rsidP="00B54304">
      <w:pPr>
        <w:pStyle w:val="AllowPageBreak"/>
      </w:pPr>
    </w:p>
    <w:p w:rsidR="00000000" w:rsidRPr="00B54304" w:rsidP="00B54304">
      <w:pPr>
        <w:pStyle w:val="Heading1"/>
      </w:pPr>
      <w:bookmarkStart w:id="5" w:name="O_967995"/>
      <w:bookmarkEnd w:id="5"/>
      <w:r w:rsidRPr="00B54304">
        <w:t>Unit Sector</w:t>
      </w:r>
    </w:p>
    <w:tbl>
      <w:tblPr>
        <w:tblW w:w="9497" w:type="dxa"/>
        <w:tblLayout w:type="fixed"/>
        <w:tblCellMar>
          <w:left w:w="62" w:type="dxa"/>
          <w:right w:w="62" w:type="dxa"/>
        </w:tblCellMar>
        <w:tblLook w:val="0000"/>
      </w:tblPr>
      <w:tblGrid>
        <w:gridCol w:w="9497"/>
      </w:tblGrid>
      <w:tr w:rsidTr="00B54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t>Gas Industry</w:t>
            </w:r>
          </w:p>
        </w:tc>
      </w:tr>
    </w:tbl>
    <w:p w:rsidR="00000000" w:rsidRPr="00B54304" w:rsidP="00B54304">
      <w:pPr>
        <w:pStyle w:val="NoPaddingFontSize1"/>
      </w:pPr>
    </w:p>
    <w:p w:rsidR="00000000" w:rsidRPr="00B54304" w:rsidP="00B54304">
      <w:pPr>
        <w:pStyle w:val="AllowPageBreak"/>
      </w:pPr>
    </w:p>
    <w:p w:rsidR="00000000" w:rsidRPr="00B54304" w:rsidP="00B54304">
      <w:pPr>
        <w:pStyle w:val="Heading1"/>
      </w:pPr>
      <w:bookmarkStart w:id="6" w:name="O_967996"/>
      <w:bookmarkEnd w:id="6"/>
      <w:r w:rsidRPr="00B5430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5430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PERFORMANCE CRITERIA</w:t>
            </w:r>
          </w:p>
        </w:tc>
      </w:tr>
      <w:tr w:rsidTr="00B5430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Performance criteria describe the performance needed to demonstrate achievement of the element.</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rPr>
                <w:rStyle w:val="SpecialBold"/>
              </w:rPr>
              <w:t>Prepare to install gas flow, measuring and pressure regulating device</w:t>
            </w: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WHS/OHS and environmental control measures for the site are identified, obtained and applied</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Work requirements are interpreted from plans, specifications and instructions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Relevant job requirements and workplace procedures for work activities are discussed with relevant person/s to determined and confirm work schedule and respective responsibilities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 xml:space="preserve">WHS/OHS, environmental and sustainable energy workplace policies </w:t>
            </w:r>
            <w:r w:rsidRPr="00B54304">
              <w:t>and procedures are determined and confirmed</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Hazards are identified, WHS/OHS risks are assessed and control measures are prioritised, implemented and monitored in accordance with workplace procedures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 xml:space="preserve">Scope of responsibility under the relevant </w:t>
            </w:r>
            <w:r w:rsidRPr="00B54304">
              <w:t>work permits and/or relevant notification is determined and confirmed to access, isolate/de-energise systems and perform work in accordance with job requirements and workplace procedures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Equipment, tools and personal protective equipment (PPE) needed to carry out work activities are identified, scheduled, obtained and checked for correct operation and safety</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 xml:space="preserve">Appropriate persons are consulted to ensure work </w:t>
            </w:r>
            <w:r w:rsidRPr="00B54304">
              <w:t>activity is coordinated ef</w:t>
            </w:r>
            <w:r w:rsidRPr="00B54304">
              <w:t>fectively with person/s involved</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Materials, plans, diagrams, drawings and resources required for work are confirmed and obtained in accordance with workplace procedures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Relevant responsibilities associated with first aid and related workplac</w:t>
            </w:r>
            <w:r w:rsidRPr="00B54304">
              <w:t>e safety procedures at the work site are identified, checked and confirmed</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Third-party issues are referred to appropriate person/s in accordance with workplace procedures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Site preparation, safety plan and work schedule are confirmed in accordance with workplace procedures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rPr>
                <w:rStyle w:val="SpecialBold"/>
              </w:rPr>
              <w:t>Install gas flow, measuring and pressure regulating device</w:t>
            </w: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 xml:space="preserve">WHS/OHS risk control measures, schedule of work and workplace procedures for carrying </w:t>
            </w:r>
            <w:r w:rsidRPr="00B54304">
              <w:t>out work are followed</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Appropriate materials, tools, equipment and measuring devices are selected and used and safely in accordance with workplace procedures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Hazardous activities are conducted safely in accordance with given safe work instruct</w:t>
            </w:r>
            <w:r w:rsidRPr="00B54304">
              <w:t>ions and to job requirements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Work is carried out efficiently, to required industry standard, without waste of materials or damage to apparatus, circuits, and the surrounding environment or services using sustainable energy principles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Hazard warnings and safety signs are identified and assessed as part of WHS risks and incident control measures and are reported to authorised person/s for directions in accordance with workplace procedures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Installation of components is conducted in</w:t>
            </w:r>
            <w:r w:rsidRPr="00B54304">
              <w:t xml:space="preserve"> accordance with work schedule and workplace procedures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Gas flow regulator, filters and meter components system are purged, pressurised and checked for soundness in accordance with workplace procedures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Non-routine/unplanned events are referred to the immediate authorised person/s for directions in accordance with workplace procedures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Routine work activity quality checks are carried out in accordance with workplace instructions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rPr>
                <w:rStyle w:val="SpecialBold"/>
              </w:rPr>
              <w:t>Complete work and</w:t>
            </w:r>
            <w:r w:rsidRPr="00B54304">
              <w:rPr>
                <w:rStyle w:val="SpecialBold"/>
              </w:rPr>
              <w:t xml:space="preserve"> relevant documentation</w:t>
            </w: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WHS/OHS risk control, work completion measures and workplace procedures are followed</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Work site is tidied and made safe in accordance with workplace procedures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Tools, equipment and surplus resources and materials ar</w:t>
            </w:r>
            <w:r w:rsidRPr="00B54304">
              <w:t>e cleaned, checked and securely stored</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Appropriate person/s are notified of work completion in accordance with workplace procedures</w:t>
            </w:r>
          </w:p>
        </w:tc>
      </w:tr>
      <w:tr w:rsidTr="00B543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43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t>Work completion documentation is completed accurately and provided to appropriate persons in accordance with workplace procedures</w:t>
            </w:r>
          </w:p>
        </w:tc>
      </w:tr>
    </w:tbl>
    <w:p w:rsidR="00000000" w:rsidRPr="00B54304" w:rsidP="00B54304">
      <w:pPr>
        <w:pStyle w:val="NoPaddingFontSize1"/>
      </w:pPr>
    </w:p>
    <w:p w:rsidR="00000000" w:rsidRPr="00B54304" w:rsidP="00B54304">
      <w:pPr>
        <w:pStyle w:val="AllowPageBreak"/>
      </w:pPr>
    </w:p>
    <w:p w:rsidR="00000000" w:rsidRPr="00B54304" w:rsidP="00B54304">
      <w:pPr>
        <w:pStyle w:val="Heading1"/>
      </w:pPr>
      <w:bookmarkStart w:id="7" w:name="O_967997"/>
      <w:bookmarkEnd w:id="7"/>
      <w:r w:rsidRPr="00B54304">
        <w:t>Foundation Skills</w:t>
      </w:r>
    </w:p>
    <w:tbl>
      <w:tblPr>
        <w:tblW w:w="9497" w:type="dxa"/>
        <w:tblLayout w:type="fixed"/>
        <w:tblCellMar>
          <w:left w:w="62" w:type="dxa"/>
          <w:right w:w="62" w:type="dxa"/>
        </w:tblCellMar>
        <w:tblLook w:val="0000"/>
      </w:tblPr>
      <w:tblGrid>
        <w:gridCol w:w="9497"/>
      </w:tblGrid>
      <w:tr w:rsidTr="00B54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t>Foundation skills essential to performance are explicit in the performance criteria of th</w:t>
            </w:r>
            <w:r w:rsidRPr="00B54304">
              <w:t>is unit of competency.</w:t>
            </w:r>
          </w:p>
        </w:tc>
      </w:tr>
    </w:tbl>
    <w:p w:rsidR="00000000" w:rsidRPr="00B54304" w:rsidP="00B54304">
      <w:pPr>
        <w:pStyle w:val="NoPaddingFontSize1"/>
      </w:pPr>
    </w:p>
    <w:p w:rsidR="00000000" w:rsidRPr="00B54304" w:rsidP="00B54304">
      <w:pPr>
        <w:pStyle w:val="AllowPageBreak"/>
      </w:pPr>
    </w:p>
    <w:p w:rsidR="00000000" w:rsidRPr="00B54304" w:rsidP="00B54304">
      <w:pPr>
        <w:pStyle w:val="Heading1"/>
      </w:pPr>
      <w:bookmarkStart w:id="8" w:name="O_967998"/>
      <w:bookmarkEnd w:id="8"/>
      <w:r w:rsidRPr="00B54304">
        <w:t>Range of Conditions</w:t>
      </w:r>
    </w:p>
    <w:tbl>
      <w:tblPr>
        <w:tblW w:w="9497" w:type="dxa"/>
        <w:tblLayout w:type="fixed"/>
        <w:tblCellMar>
          <w:left w:w="62" w:type="dxa"/>
          <w:right w:w="62" w:type="dxa"/>
        </w:tblCellMar>
        <w:tblLook w:val="0000"/>
      </w:tblPr>
      <w:tblGrid>
        <w:gridCol w:w="4693"/>
        <w:gridCol w:w="4804"/>
      </w:tblGrid>
      <w:tr w:rsidTr="00B5430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t>Range is restricted to essential operating conditions and any other variables essential to the work environment.</w:t>
            </w:r>
          </w:p>
          <w:p w:rsidR="00000000" w:rsidP="00B54304">
            <w:pPr>
              <w:pStyle w:val="BodyText"/>
              <w:rPr>
                <w:lang w:val="en-NZ"/>
              </w:rPr>
            </w:pPr>
            <w:r w:rsidRPr="00B54304">
              <w:t>Non-essential conditions may be found in the UEG Gas Industry Training Package Companion Volume Implementation Guide.</w:t>
            </w:r>
          </w:p>
        </w:tc>
      </w:tr>
      <w:tr w:rsidTr="00B5430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work must be conducted in at least three (3) of the following types of gas facilities/stations:</w:t>
            </w:r>
          </w:p>
        </w:tc>
        <w:tc>
          <w:tcPr>
            <w:tcW w:w="4804" w:type="dxa"/>
            <w:tcBorders>
              <w:top w:val="nil"/>
              <w:left w:val="nil"/>
              <w:bottom w:val="nil"/>
              <w:right w:val="nil"/>
            </w:tcBorders>
            <w:tcMar>
              <w:top w:w="0" w:type="dxa"/>
              <w:left w:w="62" w:type="dxa"/>
              <w:bottom w:w="0" w:type="dxa"/>
              <w:right w:w="62" w:type="dxa"/>
            </w:tcMar>
          </w:tcPr>
          <w:p w:rsidR="00000000" w:rsidRPr="00B54304" w:rsidP="00B54304">
            <w:pPr>
              <w:pStyle w:val="ListBullet"/>
            </w:pPr>
            <w:r w:rsidRPr="00B54304">
              <w:t>district and customer metering and regu</w:t>
            </w:r>
            <w:r w:rsidRPr="00B54304">
              <w:t>lator sets</w:t>
            </w:r>
          </w:p>
          <w:p w:rsidR="00000000" w:rsidRPr="00B54304" w:rsidP="00B54304">
            <w:pPr>
              <w:pStyle w:val="ListBullet"/>
            </w:pPr>
            <w:r w:rsidRPr="00B54304">
              <w:t>distribution line and path valves</w:t>
            </w:r>
          </w:p>
          <w:p w:rsidR="00000000" w:rsidRPr="00B54304" w:rsidP="00B54304">
            <w:pPr>
              <w:pStyle w:val="ListBullet"/>
            </w:pPr>
            <w:r w:rsidRPr="00B54304">
              <w:t>pressure reduction stations, district and customer regulator sets</w:t>
            </w:r>
          </w:p>
          <w:p w:rsidR="00000000" w:rsidRPr="00B54304" w:rsidP="00B54304">
            <w:pPr>
              <w:pStyle w:val="ListBullet"/>
            </w:pPr>
            <w:r w:rsidRPr="00B54304">
              <w:t>compressor stations</w:t>
            </w:r>
          </w:p>
          <w:p w:rsidR="00000000" w:rsidRPr="00B54304" w:rsidP="00B54304">
            <w:pPr>
              <w:pStyle w:val="ListBullet"/>
            </w:pPr>
            <w:r w:rsidRPr="00B54304">
              <w:t>meter stations and customer meter sets</w:t>
            </w:r>
          </w:p>
          <w:p w:rsidR="00000000" w:rsidRPr="00B54304" w:rsidP="00B54304">
            <w:pPr>
              <w:pStyle w:val="ListBullet"/>
            </w:pPr>
            <w:r w:rsidRPr="00B54304">
              <w:t>custody transfer stations</w:t>
            </w:r>
          </w:p>
          <w:p w:rsidR="00000000" w:rsidRPr="00B54304" w:rsidP="00B54304">
            <w:pPr>
              <w:pStyle w:val="ListBullet"/>
            </w:pPr>
            <w:r w:rsidRPr="00B54304">
              <w:t>inlets and city gates</w:t>
            </w:r>
          </w:p>
          <w:p w:rsidR="00000000" w:rsidRPr="00B54304" w:rsidP="00B54304">
            <w:pPr>
              <w:pStyle w:val="ListBullet"/>
            </w:pPr>
            <w:r w:rsidRPr="00B54304">
              <w:t>scraper stations</w:t>
            </w:r>
          </w:p>
          <w:p w:rsidR="00000000" w:rsidRPr="00B54304" w:rsidP="00B54304">
            <w:pPr>
              <w:pStyle w:val="ListBullet"/>
            </w:pPr>
            <w:r w:rsidRPr="00B54304">
              <w:t>gas storage faciliti</w:t>
            </w:r>
            <w:r w:rsidRPr="00B54304">
              <w:t>es</w:t>
            </w:r>
          </w:p>
          <w:p w:rsidR="00000000" w:rsidP="00B54304">
            <w:pPr>
              <w:pStyle w:val="ListBullet"/>
              <w:rPr>
                <w:lang w:val="en-NZ"/>
              </w:rPr>
            </w:pPr>
            <w:r w:rsidRPr="00B54304">
              <w:t>non-supervisory control and data acquisition (SCADA) main line valves</w:t>
            </w:r>
          </w:p>
        </w:tc>
      </w:tr>
      <w:tr w:rsidTr="00B5430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equipment must include the following:</w:t>
            </w:r>
          </w:p>
        </w:tc>
        <w:tc>
          <w:tcPr>
            <w:tcW w:w="4804" w:type="dxa"/>
            <w:tcBorders>
              <w:top w:val="nil"/>
              <w:left w:val="nil"/>
              <w:bottom w:val="nil"/>
              <w:right w:val="nil"/>
            </w:tcBorders>
            <w:tcMar>
              <w:top w:w="0" w:type="dxa"/>
              <w:left w:w="62" w:type="dxa"/>
              <w:bottom w:w="0" w:type="dxa"/>
              <w:right w:w="62" w:type="dxa"/>
            </w:tcMar>
          </w:tcPr>
          <w:p w:rsidR="00000000" w:rsidRPr="00B54304" w:rsidP="00B54304">
            <w:pPr>
              <w:pStyle w:val="ListBullet"/>
            </w:pPr>
            <w:r w:rsidRPr="00B54304">
              <w:t>valves: manual, ball, plug, double black and bleed</w:t>
            </w:r>
          </w:p>
          <w:p w:rsidR="00000000" w:rsidRPr="00B54304" w:rsidP="00B54304">
            <w:pPr>
              <w:pStyle w:val="ListBullet"/>
            </w:pPr>
            <w:r w:rsidRPr="00B54304">
              <w:t>pressure controllers</w:t>
            </w:r>
          </w:p>
          <w:p w:rsidR="00000000" w:rsidRPr="00B54304" w:rsidP="00B54304">
            <w:pPr>
              <w:pStyle w:val="ListBullet"/>
            </w:pPr>
            <w:r w:rsidRPr="00B54304">
              <w:t>actuators</w:t>
            </w:r>
          </w:p>
          <w:p w:rsidR="00000000" w:rsidRPr="00B54304" w:rsidP="00B54304">
            <w:pPr>
              <w:pStyle w:val="ListBullet"/>
            </w:pPr>
            <w:r w:rsidRPr="00B54304">
              <w:t>at least two (2) types of regulators:</w:t>
            </w:r>
          </w:p>
          <w:p w:rsidR="00000000" w:rsidRPr="00B54304" w:rsidP="00B54304">
            <w:pPr>
              <w:pStyle w:val="ListBullet"/>
            </w:pPr>
            <w:r w:rsidRPr="00B54304">
              <w:t>diaphragm, sleeve and h</w:t>
            </w:r>
            <w:r w:rsidRPr="00B54304">
              <w:t>ydraulic plug</w:t>
            </w:r>
          </w:p>
          <w:p w:rsidR="00000000" w:rsidRPr="00B54304" w:rsidP="00B54304">
            <w:pPr>
              <w:pStyle w:val="ListBullet"/>
            </w:pPr>
            <w:r w:rsidRPr="00B54304">
              <w:t>at least two (2) types of meters: small capacity union connected positive displacement meters, diaphragm, rotary and turbine</w:t>
            </w:r>
          </w:p>
          <w:p w:rsidR="00000000" w:rsidP="00B54304">
            <w:pPr>
              <w:pStyle w:val="BodyText"/>
              <w:rPr>
                <w:lang w:val="en-NZ"/>
              </w:rPr>
            </w:pPr>
            <w:r w:rsidRPr="00B54304">
              <w:t>Note: fault finding is limited to the component level.</w:t>
            </w:r>
          </w:p>
        </w:tc>
      </w:tr>
      <w:tr w:rsidTr="00B5430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constants and variables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B54304" w:rsidP="00B54304">
            <w:pPr>
              <w:pStyle w:val="ListBullet"/>
            </w:pPr>
            <w:r w:rsidRPr="00B54304">
              <w:t>monitoring, adjusting and controlling</w:t>
            </w:r>
          </w:p>
          <w:p w:rsidR="00000000" w:rsidRPr="00B54304" w:rsidP="00B54304">
            <w:pPr>
              <w:pStyle w:val="ListBullet"/>
            </w:pPr>
            <w:r w:rsidRPr="00B54304">
              <w:t>regulation of flow and pressure</w:t>
            </w:r>
          </w:p>
          <w:p w:rsidR="00000000" w:rsidRPr="00B54304" w:rsidP="00B54304">
            <w:pPr>
              <w:pStyle w:val="ListBullet"/>
            </w:pPr>
            <w:r w:rsidRPr="00B54304">
              <w:t>gas measurement</w:t>
            </w:r>
          </w:p>
          <w:p w:rsidR="00000000" w:rsidRPr="00B54304" w:rsidP="00B54304">
            <w:pPr>
              <w:pStyle w:val="ListBullet"/>
            </w:pPr>
            <w:r w:rsidRPr="00B54304">
              <w:t>recording and reporting</w:t>
            </w:r>
          </w:p>
          <w:p w:rsidR="00000000" w:rsidRPr="00B54304" w:rsidP="00B54304">
            <w:pPr>
              <w:pStyle w:val="ListBullet"/>
            </w:pPr>
            <w:r w:rsidRPr="00B54304">
              <w:t>regulation of the system</w:t>
            </w:r>
          </w:p>
          <w:p w:rsidR="00000000" w:rsidRPr="00B54304" w:rsidP="00B54304">
            <w:pPr>
              <w:pStyle w:val="ListBullet"/>
            </w:pPr>
            <w:r w:rsidRPr="00B54304">
              <w:t>equipment</w:t>
            </w:r>
          </w:p>
          <w:p w:rsidR="00000000" w:rsidP="00B54304">
            <w:pPr>
              <w:pStyle w:val="ListBullet"/>
              <w:rPr>
                <w:lang w:val="en-NZ"/>
              </w:rPr>
            </w:pPr>
            <w:r w:rsidRPr="00B54304">
              <w:t>organisational and statutory requirements</w:t>
            </w:r>
          </w:p>
        </w:tc>
      </w:tr>
      <w:tr w:rsidTr="00B5430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third-party issues referred to appropriate person/s must include the</w:t>
            </w:r>
            <w:r w:rsidRPr="00B54304">
              <w:t xml:space="preserve"> following:</w:t>
            </w:r>
          </w:p>
        </w:tc>
        <w:tc>
          <w:tcPr>
            <w:tcW w:w="4804" w:type="dxa"/>
            <w:tcBorders>
              <w:top w:val="nil"/>
              <w:left w:val="nil"/>
              <w:bottom w:val="nil"/>
              <w:right w:val="nil"/>
            </w:tcBorders>
            <w:tcMar>
              <w:top w:w="0" w:type="dxa"/>
              <w:left w:w="62" w:type="dxa"/>
              <w:bottom w:w="0" w:type="dxa"/>
              <w:right w:w="62" w:type="dxa"/>
            </w:tcMar>
          </w:tcPr>
          <w:p w:rsidR="00000000" w:rsidRPr="00B54304" w:rsidP="00B54304">
            <w:pPr>
              <w:pStyle w:val="ListBullet"/>
            </w:pPr>
            <w:r w:rsidRPr="00B54304">
              <w:t>low voltage electrical work</w:t>
            </w:r>
          </w:p>
        </w:tc>
      </w:tr>
    </w:tbl>
    <w:p w:rsidR="00000000" w:rsidRPr="00B54304" w:rsidP="00B54304">
      <w:pPr>
        <w:pStyle w:val="NoPaddingFontSize1"/>
      </w:pPr>
    </w:p>
    <w:p w:rsidR="00000000" w:rsidRPr="00B54304" w:rsidP="00B54304">
      <w:pPr>
        <w:pStyle w:val="AllowPageBreak"/>
      </w:pPr>
    </w:p>
    <w:p w:rsidR="00000000" w:rsidRPr="00B54304" w:rsidP="00B54304">
      <w:pPr>
        <w:pStyle w:val="Heading1"/>
      </w:pPr>
      <w:bookmarkStart w:id="9" w:name="O_967999"/>
      <w:bookmarkEnd w:id="9"/>
      <w:r w:rsidRPr="00B54304">
        <w:t>Unit Mapping Information</w:t>
      </w:r>
    </w:p>
    <w:tbl>
      <w:tblPr>
        <w:tblW w:w="9497" w:type="dxa"/>
        <w:tblLayout w:type="fixed"/>
        <w:tblCellMar>
          <w:left w:w="62" w:type="dxa"/>
          <w:right w:w="62" w:type="dxa"/>
        </w:tblCellMar>
        <w:tblLook w:val="0000"/>
      </w:tblPr>
      <w:tblGrid>
        <w:gridCol w:w="9497"/>
      </w:tblGrid>
      <w:tr w:rsidTr="00B54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t>This unit replaces and is equivalent to UEGNSG807A Install Gas Flow, Measuring and Pressure Regulating Devices.</w:t>
            </w:r>
          </w:p>
        </w:tc>
      </w:tr>
    </w:tbl>
    <w:p w:rsidR="00000000" w:rsidRPr="00B54304" w:rsidP="00B54304">
      <w:pPr>
        <w:pStyle w:val="NoPaddingFontSize1"/>
      </w:pPr>
    </w:p>
    <w:p w:rsidR="00000000" w:rsidRPr="00B54304" w:rsidP="00B54304">
      <w:pPr>
        <w:pStyle w:val="AllowPageBreak"/>
      </w:pPr>
    </w:p>
    <w:p w:rsidR="00000000" w:rsidRPr="00B54304" w:rsidP="00B54304">
      <w:pPr>
        <w:pStyle w:val="Heading1"/>
      </w:pPr>
      <w:bookmarkStart w:id="10" w:name="O_968006"/>
      <w:bookmarkEnd w:id="10"/>
      <w:r w:rsidRPr="00B54304">
        <w:t>Links</w:t>
      </w:r>
    </w:p>
    <w:p w:rsidR="00000000" w:rsidRPr="00B54304" w:rsidP="00D028B4">
      <w:pPr>
        <w:pStyle w:val="BodyText"/>
      </w:pPr>
      <w:r w:rsidRPr="00B5430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81BC6">
        <w:rPr>
          <w:rStyle w:val="Hyperlink"/>
        </w:rPr>
        <w:t>https://vetnet.gov.au/Pages/TrainingDocs.aspx?q=6a6c032e-ffcb-4f3d-8063-415efbd261e8</w:t>
      </w:r>
      <w:r>
        <w:fldChar w:fldCharType="end"/>
      </w:r>
    </w:p>
    <w:p w:rsidR="00000000" w:rsidRPr="00B54304" w:rsidP="00D028B4">
      <w:pPr>
        <w:pStyle w:val="BodyText"/>
        <w:sectPr w:rsidSect="00B54304">
          <w:headerReference w:type="default" r:id="rId10"/>
          <w:footerReference w:type="default" r:id="rId11"/>
          <w:pgSz w:w="11908" w:h="16833"/>
          <w:pgMar w:top="1702" w:right="1418" w:bottom="1702" w:left="1418" w:header="992" w:footer="992" w:gutter="0"/>
          <w:cols w:space="720"/>
          <w:noEndnote/>
          <w:docGrid w:linePitch="299"/>
        </w:sectPr>
      </w:pPr>
    </w:p>
    <w:p w:rsidR="00000000" w:rsidRPr="00B54304" w:rsidP="00B54304">
      <w:pPr>
        <w:pStyle w:val="SuperHeading"/>
      </w:pPr>
      <w:r w:rsidRPr="00B54304">
        <w:t>Assessment Requirements for UEGNSG807 Install gas flow, measuri</w:t>
      </w:r>
      <w:r w:rsidRPr="00B54304">
        <w:t>ng and pressure regulating devices</w:t>
      </w:r>
    </w:p>
    <w:p w:rsidR="00000000" w:rsidRPr="00B54304" w:rsidP="00B54304">
      <w:pPr>
        <w:pStyle w:val="Heading1"/>
      </w:pPr>
      <w:bookmarkStart w:id="11" w:name="O_968001"/>
      <w:bookmarkEnd w:id="11"/>
      <w:r w:rsidRPr="00B54304">
        <w:t>Modification History</w:t>
      </w:r>
    </w:p>
    <w:tbl>
      <w:tblPr>
        <w:tblW w:w="9497" w:type="dxa"/>
        <w:tblLayout w:type="fixed"/>
        <w:tblCellMar>
          <w:left w:w="62" w:type="dxa"/>
          <w:right w:w="62" w:type="dxa"/>
        </w:tblCellMar>
        <w:tblLook w:val="0000"/>
      </w:tblPr>
      <w:tblGrid>
        <w:gridCol w:w="9497"/>
      </w:tblGrid>
      <w:tr w:rsidTr="00B54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t>Release 1: This is the first release of this unit of competency in the UEG Gas Industry Training Package.</w:t>
            </w:r>
          </w:p>
        </w:tc>
      </w:tr>
    </w:tbl>
    <w:p w:rsidR="00000000" w:rsidRPr="00B54304" w:rsidP="00B54304">
      <w:pPr>
        <w:pStyle w:val="NoPaddingFontSize1"/>
      </w:pPr>
    </w:p>
    <w:p w:rsidR="00000000" w:rsidRPr="00B54304" w:rsidP="00B54304">
      <w:pPr>
        <w:pStyle w:val="AllowPageBreak"/>
      </w:pPr>
    </w:p>
    <w:p w:rsidR="00000000" w:rsidRPr="00B54304" w:rsidP="00B54304">
      <w:pPr>
        <w:pStyle w:val="Heading1"/>
      </w:pPr>
      <w:bookmarkStart w:id="12" w:name="O_968002"/>
      <w:bookmarkEnd w:id="12"/>
      <w:r w:rsidRPr="00B54304">
        <w:t>Performance Evidence</w:t>
      </w:r>
    </w:p>
    <w:tbl>
      <w:tblPr>
        <w:tblW w:w="9497" w:type="dxa"/>
        <w:tblLayout w:type="fixed"/>
        <w:tblCellMar>
          <w:left w:w="62" w:type="dxa"/>
          <w:right w:w="62" w:type="dxa"/>
        </w:tblCellMar>
        <w:tblLook w:val="0000"/>
      </w:tblPr>
      <w:tblGrid>
        <w:gridCol w:w="9497"/>
      </w:tblGrid>
      <w:tr w:rsidTr="00B54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 xml:space="preserve">Evidence required to demonstrate competence in this unit must be relevant to and satisfy all of the requirements of the elements, performance criteria and range of conditions on at least two separate occasions and include: </w:t>
            </w:r>
          </w:p>
        </w:tc>
      </w:tr>
      <w:tr w:rsidTr="00B54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304" w:rsidP="00B54304">
            <w:pPr>
              <w:pStyle w:val="ListBullet"/>
            </w:pPr>
            <w:r w:rsidRPr="00B54304">
              <w:t xml:space="preserve">applying relevant work health </w:t>
            </w:r>
            <w:r w:rsidRPr="00B54304">
              <w:t>and safety (WHS)/occupational health and safety (OHS) requirements, including:</w:t>
            </w:r>
          </w:p>
          <w:p w:rsidR="00000000" w:rsidRPr="00B54304" w:rsidP="00B54304">
            <w:pPr>
              <w:pStyle w:val="ListBullet2"/>
            </w:pPr>
            <w:r w:rsidRPr="00B54304">
              <w:t>applying workplace procedures and practices</w:t>
            </w:r>
          </w:p>
          <w:p w:rsidR="00000000" w:rsidRPr="00B54304" w:rsidP="00B54304">
            <w:pPr>
              <w:pStyle w:val="ListBullet2"/>
            </w:pPr>
            <w:r w:rsidRPr="00B54304">
              <w:t>using of risk control measures</w:t>
            </w:r>
          </w:p>
          <w:p w:rsidR="00000000" w:rsidRPr="00B54304" w:rsidP="00B54304">
            <w:pPr>
              <w:pStyle w:val="ListBullet"/>
            </w:pPr>
            <w:r w:rsidRPr="00B54304">
              <w:t>applying sustainable energy principles and practices</w:t>
            </w:r>
          </w:p>
          <w:p w:rsidR="00000000" w:rsidRPr="00B54304" w:rsidP="00B54304">
            <w:pPr>
              <w:pStyle w:val="ListBullet"/>
            </w:pPr>
            <w:r w:rsidRPr="00B54304">
              <w:t>carrying out work on gas flow and pressure measuring and regulating devices in accordance with relevant legislation, code of practice, regulations and workplace procedures</w:t>
            </w:r>
          </w:p>
          <w:p w:rsidR="00000000" w:rsidRPr="00B54304" w:rsidP="00B54304">
            <w:pPr>
              <w:pStyle w:val="ListBullet"/>
            </w:pPr>
            <w:r w:rsidRPr="00B54304">
              <w:t>completing required documentation and reporting requirements</w:t>
            </w:r>
          </w:p>
          <w:p w:rsidR="00000000" w:rsidRPr="00B54304" w:rsidP="00B54304">
            <w:pPr>
              <w:pStyle w:val="ListBullet"/>
            </w:pPr>
            <w:r w:rsidRPr="00B54304">
              <w:t>dealing effectively wit</w:t>
            </w:r>
            <w:r w:rsidRPr="00B54304">
              <w:t>h unplanned events in accordance with workplace procedures in a manner that minimises risk to personnel and equipment</w:t>
            </w:r>
          </w:p>
          <w:p w:rsidR="00000000" w:rsidRPr="00B54304" w:rsidP="00B54304">
            <w:pPr>
              <w:pStyle w:val="ListBullet"/>
            </w:pPr>
            <w:r w:rsidRPr="00B54304">
              <w:t>identifying and interpreting correctly drawings, diagrams, schedules, procedures and manuals relevant to the work to be undertaken</w:t>
            </w:r>
          </w:p>
          <w:p w:rsidR="00000000" w:rsidRPr="00B54304" w:rsidP="00B54304">
            <w:pPr>
              <w:pStyle w:val="ListBullet"/>
            </w:pPr>
            <w:r w:rsidRPr="00B54304">
              <w:t>install</w:t>
            </w:r>
            <w:r w:rsidRPr="00B54304">
              <w:t>ing gas valves, filters, regulators and pressure relief devices</w:t>
            </w:r>
          </w:p>
          <w:p w:rsidR="00000000" w:rsidRPr="00B54304" w:rsidP="00B54304">
            <w:pPr>
              <w:pStyle w:val="ListBullet"/>
            </w:pPr>
            <w:r w:rsidRPr="00B54304">
              <w:t>installing pressure measurement, control, boosters and relief devices in accordance with relevant legislation, industry standards, codes of practice and workplace procedures</w:t>
            </w:r>
          </w:p>
          <w:p w:rsidR="00000000" w:rsidRPr="00B54304" w:rsidP="00B54304">
            <w:pPr>
              <w:pStyle w:val="ListBullet"/>
            </w:pPr>
            <w:r w:rsidRPr="00B54304">
              <w:t>purging, pressuris</w:t>
            </w:r>
            <w:r w:rsidRPr="00B54304">
              <w:t>ing, checking soundness and venting components</w:t>
            </w:r>
          </w:p>
          <w:p w:rsidR="00000000" w:rsidRPr="00B54304" w:rsidP="00B54304">
            <w:pPr>
              <w:pStyle w:val="ListBullet"/>
            </w:pPr>
            <w:r w:rsidRPr="00B54304">
              <w:t>selecting correct materials, equipment, tools, personal protection equipment (PPE) and measurement devices, including tools, torqueing equipment, bonding and stray current controls.</w:t>
            </w:r>
          </w:p>
        </w:tc>
      </w:tr>
    </w:tbl>
    <w:p w:rsidR="00000000" w:rsidRPr="00B54304" w:rsidP="00B54304">
      <w:pPr>
        <w:pStyle w:val="NoPaddingFontSize1"/>
      </w:pPr>
    </w:p>
    <w:p w:rsidR="00000000" w:rsidRPr="00B54304" w:rsidP="00B54304">
      <w:pPr>
        <w:pStyle w:val="AllowPageBreak"/>
      </w:pPr>
    </w:p>
    <w:p w:rsidR="00000000" w:rsidRPr="00B54304" w:rsidP="00B54304">
      <w:pPr>
        <w:pStyle w:val="Heading1"/>
      </w:pPr>
      <w:bookmarkStart w:id="13" w:name="O_968003"/>
      <w:bookmarkEnd w:id="13"/>
      <w:r w:rsidRPr="00B54304">
        <w:t>Knowledge Evidence</w:t>
      </w:r>
    </w:p>
    <w:tbl>
      <w:tblPr>
        <w:tblW w:w="9497" w:type="dxa"/>
        <w:tblLayout w:type="fixed"/>
        <w:tblCellMar>
          <w:left w:w="62" w:type="dxa"/>
          <w:right w:w="62" w:type="dxa"/>
        </w:tblCellMar>
        <w:tblLook w:val="0000"/>
      </w:tblPr>
      <w:tblGrid>
        <w:gridCol w:w="9497"/>
      </w:tblGrid>
      <w:tr w:rsidTr="00B54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4304">
            <w:pPr>
              <w:pStyle w:val="BodyText"/>
              <w:rPr>
                <w:lang w:val="en-NZ"/>
              </w:rPr>
            </w:pPr>
            <w:r w:rsidRPr="00B54304">
              <w:t xml:space="preserve">Evidence required to demonstrate competence in this unit must be relevant to and satisfy all of the requirements of the elements, performance criteria and range of conditions and include knowledge of: </w:t>
            </w:r>
          </w:p>
        </w:tc>
      </w:tr>
      <w:tr w:rsidTr="00B54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304" w:rsidP="00B54304">
            <w:pPr>
              <w:pStyle w:val="ListBullet"/>
            </w:pPr>
            <w:r w:rsidRPr="00B54304">
              <w:t>flow measurement equipment, types</w:t>
            </w:r>
            <w:r w:rsidRPr="00B54304">
              <w:t>, operation and installation</w:t>
            </w:r>
          </w:p>
          <w:p w:rsidR="00000000" w:rsidRPr="00B54304" w:rsidP="00B54304">
            <w:pPr>
              <w:pStyle w:val="ListBullet"/>
            </w:pPr>
            <w:r w:rsidRPr="00B54304">
              <w:t>gas distribution and transmission stations principles of operation</w:t>
            </w:r>
          </w:p>
          <w:p w:rsidR="00000000" w:rsidRPr="00B54304" w:rsidP="00B54304">
            <w:pPr>
              <w:pStyle w:val="ListBullet"/>
            </w:pPr>
            <w:r w:rsidRPr="00B54304">
              <w:t>gas filtering system types, principles of operation, components, including gas strainers, filters, differential pressure indicators</w:t>
            </w:r>
          </w:p>
          <w:p w:rsidR="00000000" w:rsidRPr="00B54304" w:rsidP="00B54304">
            <w:pPr>
              <w:pStyle w:val="ListBullet"/>
            </w:pPr>
            <w:r w:rsidRPr="00B54304">
              <w:t>gas flow and pressure contro</w:t>
            </w:r>
            <w:r w:rsidRPr="00B54304">
              <w:t>l and measurement devices installation</w:t>
            </w:r>
          </w:p>
          <w:p w:rsidR="00000000" w:rsidRPr="00B54304" w:rsidP="00B54304">
            <w:pPr>
              <w:pStyle w:val="ListBullet"/>
            </w:pPr>
            <w:r w:rsidRPr="00B54304">
              <w:t>gas flow control principles, component types and operation</w:t>
            </w:r>
          </w:p>
          <w:p w:rsidR="00000000" w:rsidRPr="00B54304" w:rsidP="00B54304">
            <w:pPr>
              <w:pStyle w:val="ListBullet"/>
            </w:pPr>
            <w:r w:rsidRPr="00B54304">
              <w:t>gas monitoring equipment, types, principles of operation, components and installation</w:t>
            </w:r>
          </w:p>
          <w:p w:rsidR="00000000" w:rsidRPr="00B54304" w:rsidP="00B54304">
            <w:pPr>
              <w:pStyle w:val="ListBullet"/>
            </w:pPr>
            <w:r w:rsidRPr="00B54304">
              <w:t>gas station alarms and safety devices, types, operation and installation</w:t>
            </w:r>
          </w:p>
          <w:p w:rsidR="00000000" w:rsidRPr="00B54304" w:rsidP="00B54304">
            <w:pPr>
              <w:pStyle w:val="ListBullet"/>
            </w:pPr>
            <w:r w:rsidRPr="00B54304">
              <w:t>gas station valves, types, operation and installation</w:t>
            </w:r>
          </w:p>
          <w:p w:rsidR="00000000" w:rsidRPr="00B54304" w:rsidP="00B54304">
            <w:pPr>
              <w:pStyle w:val="ListBullet"/>
            </w:pPr>
            <w:r w:rsidRPr="00B54304">
              <w:t>gas station venting, purging, pressurising and soundness check operations</w:t>
            </w:r>
          </w:p>
          <w:p w:rsidR="00000000" w:rsidRPr="00B54304" w:rsidP="00B54304">
            <w:pPr>
              <w:pStyle w:val="ListBullet"/>
            </w:pPr>
            <w:r w:rsidRPr="00B54304">
              <w:t xml:space="preserve">hazardous activities, including lifting, climbing, working in confined spaces, excavations, trenches or </w:t>
            </w:r>
            <w:r w:rsidRPr="00B54304">
              <w:t>aloft, and</w:t>
            </w:r>
            <w:r w:rsidRPr="00B54304">
              <w:t xml:space="preserve"> use of power tools, techniques and practices</w:t>
            </w:r>
          </w:p>
          <w:p w:rsidR="00000000" w:rsidRPr="00B54304" w:rsidP="00B54304">
            <w:pPr>
              <w:pStyle w:val="ListBullet"/>
            </w:pPr>
            <w:r w:rsidRPr="00B54304">
              <w:t>pressure control equipment, types, pilot loaded diaphragm and sleeve regulators</w:t>
            </w:r>
          </w:p>
          <w:p w:rsidR="00000000" w:rsidRPr="00B54304" w:rsidP="00B54304">
            <w:pPr>
              <w:pStyle w:val="ListBullet"/>
            </w:pPr>
            <w:r w:rsidRPr="00B54304">
              <w:t>relevant job safety assessments or risk mitigation processes</w:t>
            </w:r>
          </w:p>
          <w:p w:rsidR="00000000" w:rsidRPr="00B54304" w:rsidP="00B54304">
            <w:pPr>
              <w:pStyle w:val="ListBullet"/>
            </w:pPr>
            <w:r w:rsidRPr="00B54304">
              <w:t>relevant legislation, industry standards, codes and regulations WHS/O</w:t>
            </w:r>
            <w:r w:rsidRPr="00B54304">
              <w:t>HS legislated requirements</w:t>
            </w:r>
          </w:p>
          <w:p w:rsidR="00000000" w:rsidRPr="00B54304" w:rsidP="00B54304">
            <w:pPr>
              <w:pStyle w:val="ListBullet"/>
            </w:pPr>
            <w:r w:rsidRPr="00B54304">
              <w:t>relevant manufacturer specifications, manuals and procedures</w:t>
            </w:r>
          </w:p>
          <w:p w:rsidR="00000000" w:rsidRPr="00B54304" w:rsidP="00B54304">
            <w:pPr>
              <w:pStyle w:val="ListBullet"/>
            </w:pPr>
            <w:r w:rsidRPr="00B54304">
              <w:t>relevant workplace policies and procedures, including gas facility manuals, schematics, piping and instrumentation diagram/drawing</w:t>
            </w:r>
          </w:p>
          <w:p w:rsidR="00000000" w:rsidRPr="00B54304" w:rsidP="00B54304">
            <w:pPr>
              <w:pStyle w:val="ListBullet"/>
            </w:pPr>
            <w:r w:rsidRPr="00B54304">
              <w:t>relevant workplace reporting and docu</w:t>
            </w:r>
            <w:r w:rsidRPr="00B54304">
              <w:t>mentation requirements</w:t>
            </w:r>
          </w:p>
          <w:p w:rsidR="00000000" w:rsidRPr="00B54304" w:rsidP="00B54304">
            <w:pPr>
              <w:pStyle w:val="ListBullet"/>
            </w:pPr>
            <w:r w:rsidRPr="00B54304">
              <w:t>tools, torqueing equipment, bonding and stray current controls.</w:t>
            </w:r>
          </w:p>
        </w:tc>
      </w:tr>
    </w:tbl>
    <w:p w:rsidR="00000000" w:rsidRPr="00B54304" w:rsidP="00B54304">
      <w:pPr>
        <w:pStyle w:val="NoPaddingFontSize1"/>
      </w:pPr>
    </w:p>
    <w:p w:rsidR="00000000" w:rsidRPr="00B54304" w:rsidP="00B54304">
      <w:pPr>
        <w:pStyle w:val="AllowPageBreak"/>
      </w:pPr>
    </w:p>
    <w:p w:rsidR="00000000" w:rsidRPr="00B54304" w:rsidP="00B54304">
      <w:pPr>
        <w:pStyle w:val="Heading1"/>
      </w:pPr>
      <w:bookmarkStart w:id="14" w:name="O_968004"/>
      <w:bookmarkEnd w:id="14"/>
      <w:r w:rsidRPr="00B54304">
        <w:t>Assessment Conditions</w:t>
      </w:r>
    </w:p>
    <w:tbl>
      <w:tblPr>
        <w:tblW w:w="9497" w:type="dxa"/>
        <w:tblLayout w:type="fixed"/>
        <w:tblCellMar>
          <w:left w:w="62" w:type="dxa"/>
          <w:right w:w="62" w:type="dxa"/>
        </w:tblCellMar>
        <w:tblLook w:val="0000"/>
      </w:tblPr>
      <w:tblGrid>
        <w:gridCol w:w="9497"/>
      </w:tblGrid>
      <w:tr w:rsidTr="00B54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304" w:rsidP="00B54304">
            <w:pPr>
              <w:pStyle w:val="BodyText"/>
            </w:pPr>
            <w:r w:rsidRPr="00B54304">
              <w:t>As a minimum, assessors must satisfy applicable regulatory requirements, which include requirements in the Standards for Registe</w:t>
            </w:r>
            <w:r w:rsidRPr="00B54304">
              <w:t xml:space="preserve">red Training Organisations current at the time of assessment. </w:t>
            </w:r>
          </w:p>
          <w:p w:rsidR="00000000" w:rsidRPr="00B54304" w:rsidP="00B54304">
            <w:pPr>
              <w:pStyle w:val="BodyText"/>
            </w:pPr>
            <w:r w:rsidRPr="00B54304">
              <w:t>As a minimum, assessment must satisfy applicable regulatory requirements, which include requirements in the Standards for Registered Training Organisations current at the time of assessment.</w:t>
            </w:r>
          </w:p>
          <w:p w:rsidR="00000000" w:rsidRPr="00B54304" w:rsidP="00B54304">
            <w:pPr>
              <w:pStyle w:val="BodyText"/>
            </w:pPr>
            <w:r w:rsidRPr="00B54304">
              <w:t>Assessment must occur in workplace operational situations where it is appropriate to do so; where this is not appropriate, assessment must occur in simulated workplace operational situations that replicate workplace conditions.</w:t>
            </w:r>
          </w:p>
          <w:p w:rsidR="00000000" w:rsidRPr="00B54304" w:rsidP="00B54304">
            <w:pPr>
              <w:pStyle w:val="BodyText"/>
            </w:pPr>
            <w:r w:rsidRPr="00B54304">
              <w:t>Assessment processes and tec</w:t>
            </w:r>
            <w:r w:rsidRPr="00B54304">
              <w:t>hniques must be appropriate to the language, literacy and numeracy requirements of the work being performed and the needs of the candidate.</w:t>
            </w:r>
          </w:p>
          <w:p w:rsidR="00000000" w:rsidRPr="00B54304" w:rsidP="00B54304">
            <w:pPr>
              <w:pStyle w:val="BodyText"/>
            </w:pPr>
            <w:r w:rsidRPr="00B54304">
              <w:t>Resources for assessment must include access to:</w:t>
            </w:r>
          </w:p>
          <w:p w:rsidR="00000000" w:rsidRPr="00B54304" w:rsidP="00B54304">
            <w:pPr>
              <w:pStyle w:val="ListBullet"/>
            </w:pPr>
            <w:r w:rsidRPr="00B54304">
              <w:t>a range of relevant exercises, case studies and/or other simulatio</w:t>
            </w:r>
            <w:r w:rsidRPr="00B54304">
              <w:t>ns</w:t>
            </w:r>
          </w:p>
          <w:p w:rsidR="00000000" w:rsidRPr="00B54304" w:rsidP="00B54304">
            <w:pPr>
              <w:pStyle w:val="ListBullet"/>
            </w:pPr>
            <w:r w:rsidRPr="00B54304">
              <w:t xml:space="preserve">relevant and appropriate materials, tools, equipment and PPE currently used in industry </w:t>
            </w:r>
          </w:p>
          <w:p w:rsidR="00000000" w:rsidRPr="00B54304" w:rsidP="00B54304">
            <w:pPr>
              <w:pStyle w:val="ListBullet"/>
            </w:pPr>
            <w:r w:rsidRPr="00B54304">
              <w:t>applicable documentation, including workplace procedures, equipment specifications, regulations, codes of practice and operation manuals.</w:t>
            </w:r>
          </w:p>
        </w:tc>
      </w:tr>
    </w:tbl>
    <w:p w:rsidR="00000000" w:rsidRPr="00B54304" w:rsidP="00B54304">
      <w:pPr>
        <w:pStyle w:val="NoPaddingFontSize1"/>
      </w:pPr>
    </w:p>
    <w:p w:rsidR="00000000" w:rsidRPr="00B54304" w:rsidP="00B54304">
      <w:pPr>
        <w:pStyle w:val="AllowPageBreak"/>
      </w:pPr>
    </w:p>
    <w:p w:rsidR="00000000" w:rsidRPr="00B54304" w:rsidP="00B54304">
      <w:pPr>
        <w:pStyle w:val="Heading1"/>
      </w:pPr>
      <w:bookmarkStart w:id="15" w:name="O_968007"/>
      <w:bookmarkEnd w:id="15"/>
      <w:r w:rsidRPr="00B54304">
        <w:t>Links</w:t>
      </w:r>
    </w:p>
    <w:p w:rsidR="00000000" w:rsidRPr="00B54304" w:rsidP="00D028B4">
      <w:pPr>
        <w:pStyle w:val="BodyText"/>
      </w:pPr>
      <w:r w:rsidRPr="00B54304">
        <w:t>C</w:t>
      </w:r>
      <w:r w:rsidRPr="00B54304">
        <w:t xml:space="preserve">ompanion Volume Implementation Guides are found in VETNet - </w:t>
      </w:r>
      <w:r>
        <w:fldChar w:fldCharType="begin"/>
      </w:r>
      <w:r>
        <w:instrText xml:space="preserve"> HYPERLINK "https://vetnet.gov.au/Pages/TrainingDocs.aspx?q=6a6c032e-ffcb-4f3d-8063-415efbd261e8" </w:instrText>
      </w:r>
      <w:r>
        <w:fldChar w:fldCharType="separate"/>
      </w:r>
      <w:r w:rsidRPr="00E81BC6">
        <w:rPr>
          <w:rStyle w:val="Hyperlink"/>
        </w:rPr>
        <w:t>https://vetnet.gov.au/Pages/TrainingDocs.aspx?q=6a6c032e-ffcb-4f3d-8063-415efbd261e8</w:t>
      </w:r>
      <w:r>
        <w:fldChar w:fldCharType="end"/>
      </w:r>
    </w:p>
    <w:p w:rsidR="00000000" w:rsidRPr="00B54304" w:rsidP="00B54304"/>
    <w:sectPr w:rsidSect="00B543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304" w:rsidRPr="00D028B4" w:rsidP="00D02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B4" w:rsidP="00B54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028B4" w:rsidP="00B543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028B4" w:rsidP="00B543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304" w:rsidP="00B54304">
    <w:pPr>
      <w:pStyle w:val="Footer"/>
      <w:framePr w:wrap="around"/>
    </w:pPr>
    <w:r>
      <w:fldChar w:fldCharType="begin"/>
    </w:r>
    <w:r>
      <w:instrText xml:space="preserve"> DOCPROPERTY  Subject  \* MERGEFORMAT </w:instrText>
    </w:r>
    <w:r>
      <w:fldChar w:fldCharType="separate"/>
    </w:r>
    <w:r w:rsidR="00D028B4">
      <w:t>Approved</w:t>
    </w:r>
    <w:r w:rsidR="00D028B4">
      <w:fldChar w:fldCharType="end"/>
    </w:r>
    <w:r>
      <w:tab/>
      <w:t xml:space="preserve">Page </w:t>
    </w:r>
    <w:r>
      <w:fldChar w:fldCharType="begin"/>
    </w:r>
    <w:r>
      <w:instrText xml:space="preserve"> PAGE  \* Arabic  \* MERGEFORMAT </w:instrText>
    </w:r>
    <w:r>
      <w:fldChar w:fldCharType="separate"/>
    </w:r>
    <w:r w:rsidR="00D028B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28B4">
      <w:rPr>
        <w:noProof/>
      </w:rPr>
      <w:t>6</w:t>
    </w:r>
    <w:r>
      <w:rPr>
        <w:noProof/>
      </w:rPr>
      <w:fldChar w:fldCharType="end"/>
    </w:r>
  </w:p>
  <w:p w:rsidR="00B54304" w:rsidP="00B54304">
    <w:pPr>
      <w:pStyle w:val="Footer"/>
      <w:framePr w:wrap="around"/>
    </w:pPr>
    <w:r>
      <w:t xml:space="preserve">© Commonwealth of Australia, </w:t>
    </w:r>
    <w:r>
      <w:fldChar w:fldCharType="begin"/>
    </w:r>
    <w:r>
      <w:instrText xml:space="preserve"> DATE  \@ "yyyy"  \* MERGEFORMAT </w:instrText>
    </w:r>
    <w:r>
      <w:fldChar w:fldCharType="separate"/>
    </w:r>
    <w:r w:rsidR="00D028B4">
      <w:rPr>
        <w:noProof/>
      </w:rPr>
      <w:t>2025</w:t>
    </w:r>
    <w:r>
      <w:fldChar w:fldCharType="end"/>
    </w:r>
    <w:r>
      <w:tab/>
    </w:r>
    <w:r>
      <w:fldChar w:fldCharType="begin"/>
    </w:r>
    <w:r>
      <w:instrText xml:space="preserve"> DOCPROPERTY  Author  \* MERGEFORMAT </w:instrText>
    </w:r>
    <w:r>
      <w:fldChar w:fldCharType="separate"/>
    </w:r>
    <w:r w:rsidR="00D028B4">
      <w:t>Powering Skills Organisation</w:t>
    </w:r>
    <w:r w:rsidR="00D028B4">
      <w:fldChar w:fldCharType="end"/>
    </w:r>
  </w:p>
  <w:p w:rsidR="00B54304" w:rsidP="00B543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304" w:rsidRPr="00D028B4" w:rsidP="00D028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B4" w:rsidRPr="002D2AF8" w:rsidP="00B54304">
    <w:pPr>
      <w:pStyle w:val="Header"/>
      <w:framePr w:wrap="around"/>
    </w:pPr>
    <w:r>
      <w:fldChar w:fldCharType="begin"/>
    </w:r>
    <w:r>
      <w:instrText xml:space="preserve"> TITLE   \* MERGEFORMAT </w:instrText>
    </w:r>
    <w:r>
      <w:fldChar w:fldCharType="separate"/>
    </w:r>
    <w:r>
      <w:t>UEGNSG807 Install gas flow, measuring and pressure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28B4" w:rsidP="00B543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304" w:rsidRPr="002D2AF8" w:rsidP="00B54304">
    <w:pPr>
      <w:pStyle w:val="Header"/>
      <w:framePr w:wrap="around"/>
    </w:pPr>
    <w:r>
      <w:fldChar w:fldCharType="begin"/>
    </w:r>
    <w:r>
      <w:instrText xml:space="preserve"> TITLE   \* MERGEFORMAT </w:instrText>
    </w:r>
    <w:r>
      <w:fldChar w:fldCharType="separate"/>
    </w:r>
    <w:r w:rsidR="00D028B4">
      <w:t>UEGNSG807 Install gas flow, measuring and pressure regulating devices</w:t>
    </w:r>
    <w:r w:rsidR="00D028B4">
      <w:fldChar w:fldCharType="end"/>
    </w:r>
    <w:r>
      <w:tab/>
      <w:t xml:space="preserve">Date this document was generated: </w:t>
    </w:r>
    <w:r>
      <w:fldChar w:fldCharType="begin"/>
    </w:r>
    <w:r>
      <w:instrText xml:space="preserve"> CREATEDATE  \@ "d MMMM yyyy"  \* MERGEFORMAT </w:instrText>
    </w:r>
    <w:r>
      <w:fldChar w:fldCharType="separate"/>
    </w:r>
    <w:r w:rsidR="00D028B4">
      <w:rPr>
        <w:noProof/>
      </w:rPr>
      <w:t>1 March 2025</w:t>
    </w:r>
    <w:r>
      <w:fldChar w:fldCharType="end"/>
    </w:r>
  </w:p>
  <w:p w:rsidR="00B54304" w:rsidP="00B543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024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988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B01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3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304"/>
    <w:pPr>
      <w:spacing w:before="360" w:after="60"/>
      <w:outlineLvl w:val="0"/>
    </w:pPr>
    <w:rPr>
      <w:sz w:val="32"/>
    </w:rPr>
  </w:style>
  <w:style w:type="paragraph" w:styleId="Heading2">
    <w:name w:val="heading 2"/>
    <w:basedOn w:val="HeadingBase"/>
    <w:next w:val="BodyText"/>
    <w:link w:val="Heading2Char"/>
    <w:qFormat/>
    <w:rsid w:val="00B54304"/>
    <w:pPr>
      <w:keepLines/>
      <w:spacing w:before="240" w:after="120"/>
      <w:outlineLvl w:val="1"/>
    </w:pPr>
    <w:rPr>
      <w:sz w:val="28"/>
      <w:szCs w:val="40"/>
    </w:rPr>
  </w:style>
  <w:style w:type="paragraph" w:styleId="Heading3">
    <w:name w:val="heading 3"/>
    <w:basedOn w:val="HeadingBase"/>
    <w:next w:val="BodyText"/>
    <w:link w:val="Heading3Char"/>
    <w:qFormat/>
    <w:rsid w:val="00B54304"/>
    <w:pPr>
      <w:spacing w:before="180" w:after="120"/>
      <w:outlineLvl w:val="2"/>
    </w:pPr>
    <w:rPr>
      <w:spacing w:val="-10"/>
      <w:kern w:val="32"/>
    </w:rPr>
  </w:style>
  <w:style w:type="paragraph" w:styleId="Heading4">
    <w:name w:val="heading 4"/>
    <w:basedOn w:val="HeadingBase"/>
    <w:next w:val="BodyText"/>
    <w:link w:val="Heading4Char"/>
    <w:qFormat/>
    <w:rsid w:val="00B54304"/>
    <w:pPr>
      <w:spacing w:before="160" w:after="120"/>
      <w:outlineLvl w:val="3"/>
    </w:pPr>
    <w:rPr>
      <w:sz w:val="22"/>
    </w:rPr>
  </w:style>
  <w:style w:type="paragraph" w:styleId="Heading5">
    <w:name w:val="heading 5"/>
    <w:basedOn w:val="HeadingBase"/>
    <w:next w:val="Normal"/>
    <w:link w:val="Heading5Char"/>
    <w:qFormat/>
    <w:rsid w:val="00B54304"/>
    <w:pPr>
      <w:spacing w:before="80"/>
      <w:outlineLvl w:val="4"/>
    </w:pPr>
    <w:rPr>
      <w:color w:val="918585"/>
      <w:sz w:val="20"/>
    </w:rPr>
  </w:style>
  <w:style w:type="paragraph" w:styleId="Heading6">
    <w:name w:val="heading 6"/>
    <w:basedOn w:val="HeadingBase"/>
    <w:next w:val="Normal"/>
    <w:link w:val="Heading6Char"/>
    <w:qFormat/>
    <w:rsid w:val="00B54304"/>
    <w:pPr>
      <w:spacing w:before="60"/>
      <w:outlineLvl w:val="5"/>
    </w:pPr>
    <w:rPr>
      <w:color w:val="918585"/>
      <w:sz w:val="20"/>
    </w:rPr>
  </w:style>
  <w:style w:type="paragraph" w:styleId="Heading7">
    <w:name w:val="heading 7"/>
    <w:basedOn w:val="Normal"/>
    <w:next w:val="Normal"/>
    <w:link w:val="Heading7Char"/>
    <w:qFormat/>
    <w:rsid w:val="00B54304"/>
    <w:pPr>
      <w:ind w:left="720"/>
      <w:outlineLvl w:val="6"/>
    </w:pPr>
    <w:rPr>
      <w:i/>
    </w:rPr>
  </w:style>
  <w:style w:type="paragraph" w:styleId="Heading8">
    <w:name w:val="heading 8"/>
    <w:basedOn w:val="Normal"/>
    <w:next w:val="Normal"/>
    <w:link w:val="Heading8Char"/>
    <w:qFormat/>
    <w:rsid w:val="00B54304"/>
    <w:pPr>
      <w:ind w:left="720"/>
      <w:outlineLvl w:val="7"/>
    </w:pPr>
    <w:rPr>
      <w:i/>
    </w:rPr>
  </w:style>
  <w:style w:type="paragraph" w:styleId="Heading9">
    <w:name w:val="heading 9"/>
    <w:basedOn w:val="Normal"/>
    <w:next w:val="Normal"/>
    <w:link w:val="Heading9Char"/>
    <w:qFormat/>
    <w:rsid w:val="00B54304"/>
    <w:pPr>
      <w:ind w:left="720"/>
      <w:outlineLvl w:val="8"/>
    </w:pPr>
    <w:rPr>
      <w:i/>
    </w:rPr>
  </w:style>
  <w:style w:type="character" w:default="1" w:styleId="DefaultParagraphFont">
    <w:name w:val="Default Paragraph Font"/>
    <w:uiPriority w:val="1"/>
    <w:unhideWhenUsed/>
    <w:rsid w:val="00B54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304"/>
  </w:style>
  <w:style w:type="character" w:customStyle="1" w:styleId="Heading1Char">
    <w:name w:val="Heading 1 Char"/>
    <w:basedOn w:val="DefaultParagraphFont"/>
    <w:link w:val="Heading1"/>
    <w:rsid w:val="00B54304"/>
    <w:rPr>
      <w:rFonts w:ascii="Times New Roman" w:eastAsia="Times New Roman" w:hAnsi="Times New Roman" w:cs="Times New Roman"/>
      <w:b/>
      <w:sz w:val="32"/>
      <w:szCs w:val="20"/>
      <w:lang w:eastAsia="en-US"/>
    </w:rPr>
  </w:style>
  <w:style w:type="paragraph" w:styleId="BodyText">
    <w:name w:val="Body Text"/>
    <w:basedOn w:val="Normal"/>
    <w:link w:val="BodyTextChar"/>
    <w:rsid w:val="00B543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304"/>
    <w:rPr>
      <w:rFonts w:ascii="Times New Roman" w:eastAsia="Times New Roman" w:hAnsi="Times New Roman" w:cs="Times New Roman"/>
      <w:sz w:val="24"/>
      <w:lang w:eastAsia="en-US"/>
    </w:rPr>
  </w:style>
  <w:style w:type="paragraph" w:styleId="ListBullet">
    <w:name w:val="List Bullet"/>
    <w:basedOn w:val="List"/>
    <w:rsid w:val="00B54304"/>
    <w:pPr>
      <w:numPr>
        <w:numId w:val="12"/>
      </w:numPr>
      <w:tabs>
        <w:tab w:val="clear" w:pos="340"/>
      </w:tabs>
      <w:spacing w:before="40" w:after="40"/>
    </w:pPr>
  </w:style>
  <w:style w:type="character" w:customStyle="1" w:styleId="SpecialBold">
    <w:name w:val="Special Bold"/>
    <w:basedOn w:val="DefaultParagraphFont"/>
    <w:rsid w:val="00B54304"/>
    <w:rPr>
      <w:b/>
      <w:spacing w:val="0"/>
    </w:rPr>
  </w:style>
  <w:style w:type="paragraph" w:styleId="ListBullet2">
    <w:name w:val="List Bullet 2"/>
    <w:basedOn w:val="List2"/>
    <w:rsid w:val="00B54304"/>
    <w:pPr>
      <w:numPr>
        <w:numId w:val="13"/>
      </w:numPr>
      <w:tabs>
        <w:tab w:val="clear" w:pos="680"/>
      </w:tabs>
    </w:pPr>
  </w:style>
  <w:style w:type="paragraph" w:customStyle="1" w:styleId="SuperHeading">
    <w:name w:val="SuperHeading"/>
    <w:basedOn w:val="Normal"/>
    <w:rsid w:val="00B54304"/>
    <w:pPr>
      <w:spacing w:before="240" w:after="120"/>
      <w:outlineLvl w:val="0"/>
    </w:pPr>
    <w:rPr>
      <w:rFonts w:ascii="Times New Roman" w:hAnsi="Times New Roman"/>
      <w:b/>
      <w:sz w:val="32"/>
    </w:rPr>
  </w:style>
  <w:style w:type="paragraph" w:customStyle="1" w:styleId="AllowPageBreak">
    <w:name w:val="AllowPageBreak"/>
    <w:rsid w:val="00B543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43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3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3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3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3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3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304"/>
    <w:rPr>
      <w:rFonts w:ascii="Courier New" w:eastAsia="Times New Roman" w:hAnsi="Courier New" w:cs="Times New Roman"/>
      <w:i/>
      <w:szCs w:val="20"/>
      <w:lang w:eastAsia="en-US"/>
    </w:rPr>
  </w:style>
  <w:style w:type="paragraph" w:customStyle="1" w:styleId="HeadingBase">
    <w:name w:val="Heading Base"/>
    <w:rsid w:val="00B54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304"/>
    <w:pPr>
      <w:tabs>
        <w:tab w:val="right" w:leader="dot" w:pos="9072"/>
      </w:tabs>
      <w:ind w:left="567"/>
    </w:pPr>
    <w:rPr>
      <w:szCs w:val="22"/>
    </w:rPr>
  </w:style>
  <w:style w:type="paragraph" w:customStyle="1" w:styleId="TOCBase">
    <w:name w:val="TOC Base"/>
    <w:rsid w:val="00B54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304"/>
    <w:pPr>
      <w:tabs>
        <w:tab w:val="right" w:leader="dot" w:pos="9072"/>
      </w:tabs>
      <w:spacing w:before="40" w:after="40"/>
      <w:ind w:left="284"/>
    </w:pPr>
    <w:rPr>
      <w:rFonts w:ascii="Times New Roman" w:hAnsi="Times New Roman"/>
    </w:rPr>
  </w:style>
  <w:style w:type="paragraph" w:styleId="TOC1">
    <w:name w:val="toc 1"/>
    <w:basedOn w:val="TOCBase"/>
    <w:next w:val="Normal"/>
    <w:rsid w:val="00B543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304"/>
    <w:rPr>
      <w:rFonts w:ascii="Times New Roman" w:eastAsia="Times New Roman" w:hAnsi="Times New Roman" w:cs="Times New Roman"/>
      <w:sz w:val="16"/>
      <w:lang w:eastAsia="en-US"/>
    </w:rPr>
  </w:style>
  <w:style w:type="paragraph" w:styleId="Title">
    <w:name w:val="Title"/>
    <w:basedOn w:val="HeadingBase"/>
    <w:link w:val="TitleChar"/>
    <w:qFormat/>
    <w:rsid w:val="00B54304"/>
    <w:pPr>
      <w:spacing w:before="5040"/>
      <w:jc w:val="center"/>
    </w:pPr>
    <w:rPr>
      <w:sz w:val="48"/>
      <w:szCs w:val="72"/>
      <w:lang w:val="en-US"/>
    </w:rPr>
  </w:style>
  <w:style w:type="character" w:customStyle="1" w:styleId="TitleChar">
    <w:name w:val="Title Char"/>
    <w:basedOn w:val="DefaultParagraphFont"/>
    <w:link w:val="Title"/>
    <w:rsid w:val="00B54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304"/>
    <w:pPr>
      <w:tabs>
        <w:tab w:val="left" w:pos="3600"/>
        <w:tab w:val="left" w:pos="3958"/>
      </w:tabs>
    </w:pPr>
  </w:style>
  <w:style w:type="paragraph" w:styleId="List">
    <w:name w:val="List"/>
    <w:basedOn w:val="BodyText"/>
    <w:next w:val="BodyText"/>
    <w:rsid w:val="00B54304"/>
    <w:pPr>
      <w:tabs>
        <w:tab w:val="left" w:pos="340"/>
      </w:tabs>
      <w:spacing w:before="60" w:after="60"/>
      <w:ind w:left="340" w:hanging="340"/>
    </w:pPr>
  </w:style>
  <w:style w:type="paragraph" w:customStyle="1" w:styleId="Note">
    <w:name w:val="Note"/>
    <w:basedOn w:val="BodyText"/>
    <w:rsid w:val="00B543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304"/>
    <w:pPr>
      <w:framePr w:wrap="auto" w:hAnchor="text" w:y="6049"/>
    </w:pPr>
    <w:rPr>
      <w:color w:val="000000"/>
      <w:sz w:val="40"/>
    </w:rPr>
  </w:style>
  <w:style w:type="paragraph" w:customStyle="1" w:styleId="TOCTitle">
    <w:name w:val="TOCTitle"/>
    <w:basedOn w:val="Heading1"/>
    <w:rsid w:val="00B54304"/>
    <w:pPr>
      <w:spacing w:after="240"/>
      <w:jc w:val="center"/>
      <w:outlineLvl w:val="9"/>
    </w:pPr>
    <w:rPr>
      <w:caps/>
    </w:rPr>
  </w:style>
  <w:style w:type="paragraph" w:customStyle="1" w:styleId="Version">
    <w:name w:val="Version"/>
    <w:rsid w:val="00B543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304"/>
    <w:pPr>
      <w:keepNext w:val="0"/>
      <w:tabs>
        <w:tab w:val="right" w:pos="4176"/>
      </w:tabs>
      <w:ind w:left="198" w:hanging="198"/>
    </w:pPr>
    <w:rPr>
      <w:rFonts w:ascii="Garamond" w:hAnsi="Garamond"/>
    </w:rPr>
  </w:style>
  <w:style w:type="paragraph" w:styleId="IndexHeading">
    <w:name w:val="index heading"/>
    <w:basedOn w:val="Normal"/>
    <w:next w:val="Index1"/>
    <w:semiHidden/>
    <w:rsid w:val="00B54304"/>
    <w:pPr>
      <w:spacing w:before="120" w:after="120"/>
    </w:pPr>
    <w:rPr>
      <w:rFonts w:ascii="Arial" w:hAnsi="Arial"/>
      <w:b/>
      <w:color w:val="918585"/>
      <w:sz w:val="24"/>
    </w:rPr>
  </w:style>
  <w:style w:type="paragraph" w:styleId="Header">
    <w:name w:val="header"/>
    <w:basedOn w:val="Normal"/>
    <w:link w:val="HeaderChar"/>
    <w:rsid w:val="00B54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304"/>
    <w:rPr>
      <w:rFonts w:ascii="Times New Roman" w:eastAsia="Times New Roman" w:hAnsi="Times New Roman" w:cs="Times New Roman"/>
      <w:sz w:val="16"/>
      <w:szCs w:val="20"/>
      <w:lang w:val="en-GB" w:eastAsia="en-US"/>
    </w:rPr>
  </w:style>
  <w:style w:type="paragraph" w:customStyle="1" w:styleId="Chapter">
    <w:name w:val="Chapter"/>
    <w:basedOn w:val="Normal"/>
    <w:rsid w:val="00B54304"/>
    <w:pPr>
      <w:spacing w:before="240"/>
    </w:pPr>
    <w:rPr>
      <w:rFonts w:ascii="Times New Roman" w:hAnsi="Times New Roman"/>
      <w:smallCaps/>
      <w:spacing w:val="80"/>
      <w:sz w:val="28"/>
    </w:rPr>
  </w:style>
  <w:style w:type="paragraph" w:customStyle="1" w:styleId="InChapter">
    <w:name w:val="InChapter"/>
    <w:basedOn w:val="Heading3"/>
    <w:rsid w:val="00B54304"/>
    <w:pPr>
      <w:spacing w:after="240"/>
      <w:outlineLvl w:val="9"/>
    </w:pPr>
    <w:rPr>
      <w:noProof/>
    </w:rPr>
  </w:style>
  <w:style w:type="paragraph" w:styleId="Index2">
    <w:name w:val="index 2"/>
    <w:basedOn w:val="Normal"/>
    <w:next w:val="Normal"/>
    <w:semiHidden/>
    <w:rsid w:val="00B54304"/>
    <w:pPr>
      <w:tabs>
        <w:tab w:val="right" w:pos="4176"/>
      </w:tabs>
      <w:ind w:left="568" w:hanging="284"/>
    </w:pPr>
    <w:rPr>
      <w:rFonts w:ascii="Garamond" w:hAnsi="Garamond"/>
    </w:rPr>
  </w:style>
  <w:style w:type="paragraph" w:customStyle="1" w:styleId="Byline">
    <w:name w:val="Byline"/>
    <w:rsid w:val="00B54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304"/>
    <w:pPr>
      <w:tabs>
        <w:tab w:val="clear" w:pos="3600"/>
        <w:tab w:val="clear" w:pos="3958"/>
      </w:tabs>
      <w:jc w:val="right"/>
    </w:pPr>
  </w:style>
  <w:style w:type="character" w:styleId="Emphasis">
    <w:name w:val="Emphasis"/>
    <w:basedOn w:val="DefaultParagraphFont"/>
    <w:qFormat/>
    <w:rsid w:val="00B54304"/>
    <w:rPr>
      <w:i/>
    </w:rPr>
  </w:style>
  <w:style w:type="paragraph" w:styleId="Caption">
    <w:name w:val="caption"/>
    <w:basedOn w:val="BodyText"/>
    <w:next w:val="Normal"/>
    <w:qFormat/>
    <w:rsid w:val="00B54304"/>
    <w:pPr>
      <w:framePr w:w="2268" w:hSpace="181" w:vSpace="181" w:wrap="around" w:vAnchor="text" w:hAnchor="page" w:x="1135" w:y="285" w:anchorLock="1"/>
    </w:pPr>
    <w:rPr>
      <w:i/>
    </w:rPr>
  </w:style>
  <w:style w:type="paragraph" w:customStyle="1" w:styleId="MiniTOCTitle">
    <w:name w:val="MiniTOCTitle"/>
    <w:basedOn w:val="Heading4"/>
    <w:rsid w:val="00B54304"/>
    <w:pPr>
      <w:spacing w:before="240"/>
      <w:outlineLvl w:val="9"/>
    </w:pPr>
    <w:rPr>
      <w:noProof/>
      <w:sz w:val="24"/>
    </w:rPr>
  </w:style>
  <w:style w:type="paragraph" w:customStyle="1" w:styleId="MiniTOCItem">
    <w:name w:val="MiniTOCItem"/>
    <w:basedOn w:val="ListBullet"/>
    <w:rsid w:val="00B54304"/>
    <w:pPr>
      <w:numPr>
        <w:numId w:val="0"/>
      </w:numPr>
      <w:tabs>
        <w:tab w:val="right" w:leader="dot" w:pos="6521"/>
      </w:tabs>
      <w:spacing w:before="0" w:after="0"/>
    </w:pPr>
  </w:style>
  <w:style w:type="paragraph" w:customStyle="1" w:styleId="TOFTitle">
    <w:name w:val="TOFTitle"/>
    <w:basedOn w:val="TOCTitle"/>
    <w:rsid w:val="00B54304"/>
  </w:style>
  <w:style w:type="paragraph" w:styleId="TableofFigures">
    <w:name w:val="table of figures"/>
    <w:basedOn w:val="Normal"/>
    <w:next w:val="Normal"/>
    <w:semiHidden/>
    <w:rsid w:val="00B54304"/>
    <w:pPr>
      <w:tabs>
        <w:tab w:val="right" w:leader="dot" w:pos="9072"/>
      </w:tabs>
      <w:ind w:left="970" w:hanging="403"/>
    </w:pPr>
    <w:rPr>
      <w:rFonts w:ascii="Times New Roman" w:hAnsi="Times New Roman"/>
      <w:b/>
    </w:rPr>
  </w:style>
  <w:style w:type="paragraph" w:styleId="ListNumber">
    <w:name w:val="List Number"/>
    <w:basedOn w:val="List"/>
    <w:rsid w:val="00B54304"/>
    <w:pPr>
      <w:numPr>
        <w:numId w:val="15"/>
      </w:numPr>
      <w:tabs>
        <w:tab w:val="clear" w:pos="340"/>
      </w:tabs>
    </w:pPr>
  </w:style>
  <w:style w:type="character" w:customStyle="1" w:styleId="WingdingSymbols">
    <w:name w:val="Wingding Symbols"/>
    <w:rsid w:val="00B54304"/>
    <w:rPr>
      <w:rFonts w:ascii="Wingdings" w:hAnsi="Wingdings"/>
    </w:rPr>
  </w:style>
  <w:style w:type="paragraph" w:customStyle="1" w:styleId="TableHeading">
    <w:name w:val="Table Heading"/>
    <w:basedOn w:val="HeadingBase"/>
    <w:rsid w:val="00B54304"/>
    <w:pPr>
      <w:keepLines/>
      <w:pBdr>
        <w:bottom w:val="single" w:sz="6" w:space="1" w:color="918585"/>
      </w:pBdr>
      <w:spacing w:before="240"/>
    </w:pPr>
  </w:style>
  <w:style w:type="character" w:customStyle="1" w:styleId="HotSpot">
    <w:name w:val="HotSpot"/>
    <w:rsid w:val="00B54304"/>
    <w:rPr>
      <w:color w:val="0033CC"/>
      <w:u w:val="none"/>
    </w:rPr>
  </w:style>
  <w:style w:type="paragraph" w:customStyle="1" w:styleId="BodyTextRight">
    <w:name w:val="Body Text Right"/>
    <w:basedOn w:val="BodyText"/>
    <w:rsid w:val="00B54304"/>
    <w:pPr>
      <w:spacing w:before="0" w:after="0"/>
      <w:jc w:val="right"/>
    </w:pPr>
  </w:style>
  <w:style w:type="paragraph" w:styleId="Index3">
    <w:name w:val="index 3"/>
    <w:basedOn w:val="ListNumber2"/>
    <w:next w:val="Normal"/>
    <w:semiHidden/>
    <w:rsid w:val="00B54304"/>
    <w:pPr>
      <w:numPr>
        <w:numId w:val="0"/>
      </w:numPr>
      <w:tabs>
        <w:tab w:val="right" w:leader="dot" w:pos="4176"/>
      </w:tabs>
    </w:pPr>
  </w:style>
  <w:style w:type="paragraph" w:styleId="ListNumber2">
    <w:name w:val="List Number 2"/>
    <w:basedOn w:val="List2"/>
    <w:rsid w:val="00B54304"/>
    <w:pPr>
      <w:numPr>
        <w:numId w:val="10"/>
      </w:numPr>
      <w:tabs>
        <w:tab w:val="clear" w:pos="1060"/>
      </w:tabs>
    </w:pPr>
  </w:style>
  <w:style w:type="paragraph" w:customStyle="1" w:styleId="MarginNote">
    <w:name w:val="Margin Note"/>
    <w:basedOn w:val="BodyText"/>
    <w:rsid w:val="00B54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3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304"/>
    <w:rPr>
      <w:sz w:val="32"/>
    </w:rPr>
  </w:style>
  <w:style w:type="paragraph" w:customStyle="1" w:styleId="HeadingProcedure">
    <w:name w:val="Heading Procedure"/>
    <w:basedOn w:val="HeadingBase"/>
    <w:next w:val="Normal"/>
    <w:rsid w:val="00B54304"/>
    <w:pPr>
      <w:tabs>
        <w:tab w:val="left" w:pos="0"/>
      </w:tabs>
      <w:spacing w:before="120" w:after="60"/>
    </w:pPr>
    <w:rPr>
      <w:i/>
      <w:color w:val="918585"/>
      <w:sz w:val="22"/>
    </w:rPr>
  </w:style>
  <w:style w:type="paragraph" w:customStyle="1" w:styleId="TableBodyText">
    <w:name w:val="Table Body Text"/>
    <w:basedOn w:val="BodyText"/>
    <w:rsid w:val="00B54304"/>
    <w:pPr>
      <w:spacing w:before="60" w:after="60"/>
    </w:pPr>
  </w:style>
  <w:style w:type="paragraph" w:styleId="ListContinue">
    <w:name w:val="List Continue"/>
    <w:basedOn w:val="List"/>
    <w:rsid w:val="00B54304"/>
    <w:pPr>
      <w:ind w:firstLine="0"/>
    </w:pPr>
  </w:style>
  <w:style w:type="paragraph" w:customStyle="1" w:styleId="ListNote">
    <w:name w:val="List Note"/>
    <w:basedOn w:val="List"/>
    <w:rsid w:val="00B54304"/>
    <w:pPr>
      <w:pBdr>
        <w:top w:val="single" w:sz="6" w:space="2" w:color="918585"/>
        <w:bottom w:val="single" w:sz="6" w:space="2" w:color="918585"/>
      </w:pBdr>
      <w:tabs>
        <w:tab w:val="left" w:pos="1021"/>
      </w:tabs>
      <w:ind w:firstLine="0"/>
    </w:pPr>
  </w:style>
  <w:style w:type="paragraph" w:customStyle="1" w:styleId="Warning">
    <w:name w:val="Warning"/>
    <w:basedOn w:val="BodyText"/>
    <w:rsid w:val="00B54304"/>
    <w:pPr>
      <w:shd w:val="clear" w:color="auto" w:fill="D9D9D9"/>
      <w:tabs>
        <w:tab w:val="left" w:pos="992"/>
      </w:tabs>
      <w:ind w:left="119" w:right="119"/>
    </w:pPr>
    <w:rPr>
      <w:sz w:val="20"/>
    </w:rPr>
  </w:style>
  <w:style w:type="paragraph" w:customStyle="1" w:styleId="MarginIcons">
    <w:name w:val="Margin Icons"/>
    <w:basedOn w:val="BodyText"/>
    <w:rsid w:val="00B543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304"/>
    <w:rPr>
      <w:rFonts w:ascii="Courier New" w:hAnsi="Courier New"/>
    </w:rPr>
  </w:style>
  <w:style w:type="paragraph" w:customStyle="1" w:styleId="NoteBullet">
    <w:name w:val="Note Bullet"/>
    <w:basedOn w:val="Note"/>
    <w:rsid w:val="00B54304"/>
    <w:pPr>
      <w:tabs>
        <w:tab w:val="clear" w:pos="680"/>
      </w:tabs>
      <w:spacing w:before="60" w:after="60"/>
    </w:pPr>
  </w:style>
  <w:style w:type="paragraph" w:customStyle="1" w:styleId="SubHeading2">
    <w:name w:val="SubHeading2"/>
    <w:basedOn w:val="HeadingBase"/>
    <w:rsid w:val="00B54304"/>
    <w:pPr>
      <w:spacing w:before="240" w:after="60"/>
    </w:pPr>
    <w:rPr>
      <w:sz w:val="20"/>
    </w:rPr>
  </w:style>
  <w:style w:type="paragraph" w:customStyle="1" w:styleId="SubHeading1">
    <w:name w:val="SubHeading1"/>
    <w:basedOn w:val="HeadingBase"/>
    <w:rsid w:val="00B54304"/>
    <w:pPr>
      <w:spacing w:before="240" w:after="60"/>
    </w:pPr>
    <w:rPr>
      <w:color w:val="918585"/>
      <w:sz w:val="22"/>
    </w:rPr>
  </w:style>
  <w:style w:type="paragraph" w:customStyle="1" w:styleId="SideHeading">
    <w:name w:val="Side Heading"/>
    <w:basedOn w:val="HeadingBase"/>
    <w:rsid w:val="00B54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304"/>
    <w:pPr>
      <w:tabs>
        <w:tab w:val="num" w:pos="360"/>
      </w:tabs>
    </w:pPr>
  </w:style>
  <w:style w:type="paragraph" w:styleId="PlainText">
    <w:name w:val="Plain Text"/>
    <w:basedOn w:val="Normal"/>
    <w:link w:val="PlainTextChar"/>
    <w:rsid w:val="00B54304"/>
    <w:rPr>
      <w:sz w:val="20"/>
    </w:rPr>
  </w:style>
  <w:style w:type="character" w:customStyle="1" w:styleId="PlainTextChar">
    <w:name w:val="Plain Text Char"/>
    <w:basedOn w:val="DefaultParagraphFont"/>
    <w:link w:val="PlainText"/>
    <w:rsid w:val="00B54304"/>
    <w:rPr>
      <w:rFonts w:ascii="Courier New" w:eastAsia="Times New Roman" w:hAnsi="Courier New" w:cs="Times New Roman"/>
      <w:sz w:val="20"/>
      <w:szCs w:val="20"/>
      <w:lang w:eastAsia="en-US"/>
    </w:rPr>
  </w:style>
  <w:style w:type="character" w:customStyle="1" w:styleId="MenuOption">
    <w:name w:val="Menu Option"/>
    <w:basedOn w:val="DefaultParagraphFont"/>
    <w:rsid w:val="00B54304"/>
    <w:rPr>
      <w:b/>
      <w:smallCaps/>
    </w:rPr>
  </w:style>
  <w:style w:type="paragraph" w:customStyle="1" w:styleId="TableListNumber">
    <w:name w:val="Table List Number"/>
    <w:basedOn w:val="ListNumber"/>
    <w:rsid w:val="00B54304"/>
    <w:pPr>
      <w:numPr>
        <w:numId w:val="0"/>
      </w:numPr>
    </w:pPr>
  </w:style>
  <w:style w:type="paragraph" w:styleId="TOC4">
    <w:name w:val="toc 4"/>
    <w:basedOn w:val="TOCBase"/>
    <w:next w:val="Normal"/>
    <w:semiHidden/>
    <w:rsid w:val="00B54304"/>
    <w:pPr>
      <w:tabs>
        <w:tab w:val="right" w:leader="dot" w:pos="9071"/>
      </w:tabs>
      <w:ind w:left="1701"/>
    </w:pPr>
  </w:style>
  <w:style w:type="paragraph" w:customStyle="1" w:styleId="ListAlpha">
    <w:name w:val="List Alpha"/>
    <w:basedOn w:val="List"/>
    <w:rsid w:val="00B54304"/>
    <w:pPr>
      <w:numPr>
        <w:numId w:val="9"/>
      </w:numPr>
    </w:pPr>
  </w:style>
  <w:style w:type="paragraph" w:customStyle="1" w:styleId="ListAlpha2">
    <w:name w:val="List Alpha 2"/>
    <w:basedOn w:val="List2"/>
    <w:rsid w:val="00B54304"/>
    <w:pPr>
      <w:numPr>
        <w:numId w:val="8"/>
      </w:numPr>
    </w:pPr>
  </w:style>
  <w:style w:type="paragraph" w:styleId="List2">
    <w:name w:val="List 2"/>
    <w:basedOn w:val="BodyText"/>
    <w:rsid w:val="00B54304"/>
    <w:pPr>
      <w:tabs>
        <w:tab w:val="left" w:pos="680"/>
      </w:tabs>
      <w:spacing w:before="60" w:after="60"/>
      <w:ind w:left="680" w:hanging="340"/>
    </w:pPr>
  </w:style>
  <w:style w:type="paragraph" w:styleId="List3">
    <w:name w:val="List 3"/>
    <w:basedOn w:val="BodyText"/>
    <w:rsid w:val="00B54304"/>
    <w:pPr>
      <w:tabs>
        <w:tab w:val="left" w:pos="1021"/>
      </w:tabs>
      <w:spacing w:before="60" w:after="60"/>
      <w:ind w:left="1020" w:hanging="340"/>
    </w:pPr>
  </w:style>
  <w:style w:type="paragraph" w:styleId="List4">
    <w:name w:val="List 4"/>
    <w:basedOn w:val="BodyText"/>
    <w:rsid w:val="00B54304"/>
    <w:pPr>
      <w:tabs>
        <w:tab w:val="left" w:pos="1361"/>
      </w:tabs>
      <w:spacing w:before="60" w:after="60"/>
      <w:ind w:left="1361" w:hanging="340"/>
    </w:pPr>
  </w:style>
  <w:style w:type="paragraph" w:styleId="List5">
    <w:name w:val="List 5"/>
    <w:basedOn w:val="BodyText"/>
    <w:rsid w:val="00B54304"/>
    <w:pPr>
      <w:tabs>
        <w:tab w:val="left" w:pos="1701"/>
      </w:tabs>
      <w:spacing w:before="60" w:after="60"/>
      <w:ind w:left="1701" w:hanging="340"/>
    </w:pPr>
  </w:style>
  <w:style w:type="paragraph" w:styleId="ListBullet3">
    <w:name w:val="List Bullet 3"/>
    <w:basedOn w:val="List3"/>
    <w:rsid w:val="00B54304"/>
    <w:pPr>
      <w:numPr>
        <w:numId w:val="14"/>
      </w:numPr>
      <w:tabs>
        <w:tab w:val="clear" w:pos="1021"/>
      </w:tabs>
      <w:ind w:left="1037" w:hanging="357"/>
    </w:pPr>
  </w:style>
  <w:style w:type="paragraph" w:styleId="ListBullet4">
    <w:name w:val="List Bullet 4"/>
    <w:basedOn w:val="List4"/>
    <w:rsid w:val="00B54304"/>
    <w:pPr>
      <w:numPr>
        <w:numId w:val="3"/>
      </w:numPr>
      <w:tabs>
        <w:tab w:val="clear" w:pos="1361"/>
      </w:tabs>
    </w:pPr>
  </w:style>
  <w:style w:type="paragraph" w:styleId="ListBullet5">
    <w:name w:val="List Bullet 5"/>
    <w:basedOn w:val="List5"/>
    <w:rsid w:val="00B54304"/>
    <w:pPr>
      <w:numPr>
        <w:numId w:val="4"/>
      </w:numPr>
    </w:pPr>
  </w:style>
  <w:style w:type="paragraph" w:styleId="ListContinue2">
    <w:name w:val="List Continue 2"/>
    <w:basedOn w:val="List2"/>
    <w:rsid w:val="00B54304"/>
    <w:pPr>
      <w:ind w:firstLine="0"/>
    </w:pPr>
  </w:style>
  <w:style w:type="paragraph" w:styleId="ListContinue3">
    <w:name w:val="List Continue 3"/>
    <w:basedOn w:val="List3"/>
    <w:rsid w:val="00B54304"/>
    <w:pPr>
      <w:ind w:left="1021" w:firstLine="0"/>
    </w:pPr>
  </w:style>
  <w:style w:type="paragraph" w:styleId="ListContinue4">
    <w:name w:val="List Continue 4"/>
    <w:basedOn w:val="List4"/>
    <w:rsid w:val="00B54304"/>
    <w:pPr>
      <w:ind w:firstLine="0"/>
    </w:pPr>
  </w:style>
  <w:style w:type="paragraph" w:styleId="ListContinue5">
    <w:name w:val="List Continue 5"/>
    <w:basedOn w:val="List5"/>
    <w:rsid w:val="00B54304"/>
    <w:pPr>
      <w:ind w:firstLine="0"/>
    </w:pPr>
  </w:style>
  <w:style w:type="paragraph" w:styleId="ListNumber3">
    <w:name w:val="List Number 3"/>
    <w:basedOn w:val="List3"/>
    <w:rsid w:val="00B54304"/>
    <w:pPr>
      <w:numPr>
        <w:numId w:val="5"/>
      </w:numPr>
    </w:pPr>
  </w:style>
  <w:style w:type="paragraph" w:styleId="ListNumber4">
    <w:name w:val="List Number 4"/>
    <w:basedOn w:val="List4"/>
    <w:rsid w:val="00B54304"/>
    <w:pPr>
      <w:numPr>
        <w:numId w:val="6"/>
      </w:numPr>
    </w:pPr>
  </w:style>
  <w:style w:type="paragraph" w:styleId="ListNumber5">
    <w:name w:val="List Number 5"/>
    <w:basedOn w:val="List5"/>
    <w:rsid w:val="00B54304"/>
    <w:pPr>
      <w:numPr>
        <w:numId w:val="7"/>
      </w:numPr>
    </w:pPr>
  </w:style>
  <w:style w:type="paragraph" w:styleId="BlockText">
    <w:name w:val="Block Text"/>
    <w:basedOn w:val="Normal"/>
    <w:rsid w:val="00B54304"/>
    <w:pPr>
      <w:spacing w:after="120"/>
      <w:ind w:left="1440" w:right="1440"/>
    </w:pPr>
  </w:style>
  <w:style w:type="character" w:customStyle="1" w:styleId="Subscript">
    <w:name w:val="Subscript"/>
    <w:basedOn w:val="DefaultParagraphFont"/>
    <w:rsid w:val="00B54304"/>
    <w:rPr>
      <w:sz w:val="16"/>
      <w:vertAlign w:val="subscript"/>
    </w:rPr>
  </w:style>
  <w:style w:type="character" w:customStyle="1" w:styleId="Superscript">
    <w:name w:val="Superscript"/>
    <w:basedOn w:val="DefaultParagraphFont"/>
    <w:rsid w:val="00B54304"/>
    <w:rPr>
      <w:sz w:val="16"/>
      <w:vertAlign w:val="superscript"/>
    </w:rPr>
  </w:style>
  <w:style w:type="character" w:customStyle="1" w:styleId="Symbols">
    <w:name w:val="Symbols"/>
    <w:basedOn w:val="DefaultParagraphFont"/>
    <w:rsid w:val="00B54304"/>
    <w:rPr>
      <w:rFonts w:ascii="Symbol" w:hAnsi="Symbol"/>
    </w:rPr>
  </w:style>
  <w:style w:type="character" w:customStyle="1" w:styleId="MenuOptions">
    <w:name w:val="Menu Options"/>
    <w:basedOn w:val="DefaultParagraphFont"/>
    <w:rsid w:val="00B54304"/>
    <w:rPr>
      <w:rFonts w:ascii="Arial Narrow" w:hAnsi="Arial Narrow"/>
      <w:smallCaps/>
    </w:rPr>
  </w:style>
  <w:style w:type="character" w:customStyle="1" w:styleId="Buttons">
    <w:name w:val="Buttons"/>
    <w:basedOn w:val="DefaultParagraphFont"/>
    <w:rsid w:val="00B54304"/>
    <w:rPr>
      <w:b/>
    </w:rPr>
  </w:style>
  <w:style w:type="character" w:customStyle="1" w:styleId="Underlined">
    <w:name w:val="Underlined"/>
    <w:basedOn w:val="DefaultParagraphFont"/>
    <w:rsid w:val="00B54304"/>
    <w:rPr>
      <w:u w:val="single"/>
    </w:rPr>
  </w:style>
  <w:style w:type="paragraph" w:customStyle="1" w:styleId="TableBodyTextRight">
    <w:name w:val="Table Body Text Right"/>
    <w:basedOn w:val="TableBodyText"/>
    <w:rsid w:val="00B54304"/>
    <w:pPr>
      <w:widowControl w:val="0"/>
      <w:autoSpaceDE w:val="0"/>
      <w:autoSpaceDN w:val="0"/>
      <w:adjustRightInd w:val="0"/>
      <w:jc w:val="right"/>
    </w:pPr>
    <w:rPr>
      <w:rFonts w:cs="Arial"/>
      <w:szCs w:val="18"/>
    </w:rPr>
  </w:style>
  <w:style w:type="paragraph" w:customStyle="1" w:styleId="CopyrightText">
    <w:name w:val="Copyright Text"/>
    <w:basedOn w:val="BodyText"/>
    <w:rsid w:val="00B54304"/>
    <w:rPr>
      <w:sz w:val="18"/>
    </w:rPr>
  </w:style>
  <w:style w:type="paragraph" w:customStyle="1" w:styleId="BodySmallRight">
    <w:name w:val="Body Small Right"/>
    <w:basedOn w:val="BodyTextRight"/>
    <w:rsid w:val="00B54304"/>
    <w:rPr>
      <w:sz w:val="18"/>
      <w:szCs w:val="18"/>
    </w:rPr>
  </w:style>
  <w:style w:type="paragraph" w:customStyle="1" w:styleId="MarginEdition">
    <w:name w:val="Margin Edition"/>
    <w:basedOn w:val="MarginNote"/>
    <w:rsid w:val="00B54304"/>
    <w:pPr>
      <w:spacing w:before="0" w:after="0"/>
    </w:pPr>
    <w:rPr>
      <w:rFonts w:ascii="Times New Roman" w:hAnsi="Times New Roman"/>
      <w:color w:val="999999"/>
    </w:rPr>
  </w:style>
  <w:style w:type="paragraph" w:customStyle="1" w:styleId="Spacer">
    <w:name w:val="Spacer"/>
    <w:basedOn w:val="Normal"/>
    <w:rsid w:val="00B54304"/>
    <w:rPr>
      <w:sz w:val="2"/>
      <w:szCs w:val="2"/>
    </w:rPr>
  </w:style>
  <w:style w:type="character" w:customStyle="1" w:styleId="Small">
    <w:name w:val="Small"/>
    <w:basedOn w:val="DefaultParagraphFont"/>
    <w:rsid w:val="00B54304"/>
    <w:rPr>
      <w:sz w:val="16"/>
    </w:rPr>
  </w:style>
  <w:style w:type="paragraph" w:customStyle="1" w:styleId="WideTable">
    <w:name w:val="Wide Table"/>
    <w:basedOn w:val="Normal"/>
    <w:rsid w:val="00B54304"/>
    <w:pPr>
      <w:ind w:left="-1418"/>
    </w:pPr>
    <w:rPr>
      <w:sz w:val="2"/>
      <w:szCs w:val="2"/>
    </w:rPr>
  </w:style>
  <w:style w:type="character" w:styleId="PageNumber">
    <w:name w:val="page number"/>
    <w:basedOn w:val="DefaultParagraphFont"/>
    <w:rsid w:val="00B54304"/>
  </w:style>
  <w:style w:type="paragraph" w:styleId="Quote">
    <w:name w:val="Quote"/>
    <w:basedOn w:val="Heading1"/>
    <w:link w:val="QuoteChar"/>
    <w:qFormat/>
    <w:rsid w:val="00B54304"/>
    <w:rPr>
      <w:b w:val="0"/>
      <w:sz w:val="72"/>
      <w:szCs w:val="72"/>
      <w:lang w:val="en-NZ"/>
    </w:rPr>
  </w:style>
  <w:style w:type="character" w:customStyle="1" w:styleId="QuoteChar">
    <w:name w:val="Quote Char"/>
    <w:basedOn w:val="DefaultParagraphFont"/>
    <w:link w:val="Quote"/>
    <w:rsid w:val="00B54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304"/>
    <w:pPr>
      <w:pageBreakBefore/>
    </w:pPr>
  </w:style>
  <w:style w:type="paragraph" w:customStyle="1" w:styleId="Border">
    <w:name w:val="Border"/>
    <w:basedOn w:val="Normal"/>
    <w:qFormat/>
    <w:rsid w:val="00B543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304"/>
    <w:rPr>
      <w:b/>
      <w:bCs/>
      <w:i/>
      <w:iCs/>
      <w:color w:val="auto"/>
    </w:rPr>
  </w:style>
  <w:style w:type="paragraph" w:styleId="IntenseQuote">
    <w:name w:val="Intense Quote"/>
    <w:basedOn w:val="Normal"/>
    <w:next w:val="Normal"/>
    <w:link w:val="IntenseQuoteChar"/>
    <w:uiPriority w:val="30"/>
    <w:qFormat/>
    <w:rsid w:val="00B543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3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304"/>
    <w:rPr>
      <w:smallCaps/>
      <w:color w:val="auto"/>
      <w:u w:val="single"/>
    </w:rPr>
  </w:style>
  <w:style w:type="character" w:styleId="IntenseReference">
    <w:name w:val="Intense Reference"/>
    <w:basedOn w:val="DefaultParagraphFont"/>
    <w:uiPriority w:val="32"/>
    <w:qFormat/>
    <w:rsid w:val="00B54304"/>
    <w:rPr>
      <w:b/>
      <w:bCs/>
      <w:smallCaps/>
      <w:color w:val="auto"/>
      <w:spacing w:val="5"/>
      <w:u w:val="single"/>
    </w:rPr>
  </w:style>
  <w:style w:type="paragraph" w:customStyle="1" w:styleId="2ColumnHeading">
    <w:name w:val="2Column Heading"/>
    <w:basedOn w:val="BodyText"/>
    <w:qFormat/>
    <w:rsid w:val="00B54304"/>
    <w:pPr>
      <w:spacing w:after="60"/>
      <w:ind w:left="-2268"/>
    </w:pPr>
    <w:rPr>
      <w:b/>
    </w:rPr>
  </w:style>
  <w:style w:type="paragraph" w:customStyle="1" w:styleId="Heading1TOC">
    <w:name w:val="Heading1 TOC"/>
    <w:basedOn w:val="Normal"/>
    <w:qFormat/>
    <w:rsid w:val="00B54304"/>
    <w:pPr>
      <w:spacing w:before="240" w:after="120"/>
    </w:pPr>
    <w:rPr>
      <w:rFonts w:ascii="Times New Roman" w:hAnsi="Times New Roman"/>
      <w:b/>
      <w:sz w:val="32"/>
    </w:rPr>
  </w:style>
  <w:style w:type="paragraph" w:customStyle="1" w:styleId="Heading2TOC">
    <w:name w:val="Heading2 TOC"/>
    <w:basedOn w:val="Normal"/>
    <w:qFormat/>
    <w:rsid w:val="00B54304"/>
    <w:pPr>
      <w:spacing w:before="240" w:after="60"/>
    </w:pPr>
    <w:rPr>
      <w:rFonts w:ascii="Times New Roman" w:hAnsi="Times New Roman"/>
      <w:b/>
      <w:sz w:val="28"/>
    </w:rPr>
  </w:style>
  <w:style w:type="character" w:customStyle="1" w:styleId="Underline">
    <w:name w:val="Underline"/>
    <w:basedOn w:val="DefaultParagraphFont"/>
    <w:qFormat/>
    <w:rsid w:val="00B54304"/>
    <w:rPr>
      <w:u w:val="single"/>
    </w:rPr>
  </w:style>
  <w:style w:type="character" w:customStyle="1" w:styleId="BoldandItalics">
    <w:name w:val="Bold and Italics"/>
    <w:qFormat/>
    <w:rsid w:val="00B54304"/>
    <w:rPr>
      <w:b/>
      <w:i/>
      <w:u w:val="none"/>
    </w:rPr>
  </w:style>
  <w:style w:type="paragraph" w:styleId="BalloonText">
    <w:name w:val="Balloon Text"/>
    <w:basedOn w:val="Normal"/>
    <w:link w:val="BalloonTextChar"/>
    <w:rsid w:val="00B54304"/>
    <w:rPr>
      <w:rFonts w:ascii="Tahoma" w:hAnsi="Tahoma" w:cs="Tahoma"/>
      <w:sz w:val="16"/>
      <w:szCs w:val="16"/>
    </w:rPr>
  </w:style>
  <w:style w:type="character" w:customStyle="1" w:styleId="BalloonTextChar">
    <w:name w:val="Balloon Text Char"/>
    <w:basedOn w:val="DefaultParagraphFont"/>
    <w:link w:val="BalloonText"/>
    <w:rsid w:val="00B543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3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3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304"/>
    <w:rPr>
      <w:b/>
      <w:color w:val="660033"/>
      <w:spacing w:val="0"/>
    </w:rPr>
  </w:style>
  <w:style w:type="paragraph" w:customStyle="1" w:styleId="Nameditemlist">
    <w:name w:val="Named item list"/>
    <w:basedOn w:val="BodyText"/>
    <w:qFormat/>
    <w:rsid w:val="00B54304"/>
    <w:pPr>
      <w:tabs>
        <w:tab w:val="left" w:pos="2835"/>
      </w:tabs>
      <w:ind w:left="2835" w:hanging="2835"/>
    </w:pPr>
  </w:style>
  <w:style w:type="paragraph" w:customStyle="1" w:styleId="BodyTextnopadding">
    <w:name w:val="Body Text no padding"/>
    <w:basedOn w:val="BodyText"/>
    <w:qFormat/>
    <w:rsid w:val="00B54304"/>
    <w:pPr>
      <w:spacing w:before="0" w:after="0"/>
    </w:pPr>
  </w:style>
  <w:style w:type="paragraph" w:customStyle="1" w:styleId="BodyTextBold">
    <w:name w:val="Body Text Bold"/>
    <w:basedOn w:val="BodyText"/>
    <w:qFormat/>
    <w:rsid w:val="00B54304"/>
    <w:rPr>
      <w:b/>
    </w:rPr>
  </w:style>
  <w:style w:type="character" w:styleId="Hyperlink">
    <w:name w:val="Hyperlink"/>
    <w:basedOn w:val="DefaultParagraphFont"/>
    <w:uiPriority w:val="99"/>
    <w:unhideWhenUsed/>
    <w:rsid w:val="00D028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1654</Words>
  <Characters>10754</Characters>
  <Application>Microsoft Office Word</Application>
  <DocSecurity>0</DocSecurity>
  <Lines>370</Lines>
  <Paragraphs>203</Paragraphs>
  <ScaleCrop>false</ScaleCrop>
  <Company>Author-it Software Corporation Ltd.</Company>
  <LinksUpToDate>false</LinksUpToDate>
  <CharactersWithSpaces>12205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UEGNSG807 Install gas flow, measuring and pressure regulating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