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C7B" w:rsidP="003C3C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UEGNSG615 Fill LPG cylinders</w:t>
      </w:r>
      <w:r>
        <w:fldChar w:fldCharType="end"/>
      </w:r>
    </w:p>
    <w:p w:rsidR="003C3C7B" w:rsidP="003C3C7B">
      <w:pPr>
        <w:pStyle w:val="Version"/>
        <w:sectPr w:rsidSect="00C05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610" w:rsidP="00C05610">
      <w:pPr>
        <w:pStyle w:val="SuperHeading"/>
      </w:pPr>
      <w:r w:rsidRPr="00C05610">
        <w:t>UEGNSG615 Fill LPG cylinders</w:t>
      </w:r>
    </w:p>
    <w:p w:rsidR="00000000" w:rsidRPr="00C05610" w:rsidP="00C05610">
      <w:pPr>
        <w:pStyle w:val="Heading1"/>
      </w:pPr>
      <w:bookmarkStart w:id="1" w:name="O_967611"/>
      <w:bookmarkEnd w:id="1"/>
      <w:r w:rsidRPr="00C056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6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t>Release 1. This is the first release of this unit of competency in the UEG Gas Industry Training Package.</w:t>
            </w:r>
          </w:p>
        </w:tc>
      </w:tr>
    </w:tbl>
    <w:p w:rsidR="00000000" w:rsidRPr="00C05610" w:rsidP="00C05610">
      <w:pPr>
        <w:pStyle w:val="NoPaddingFontSize1"/>
      </w:pPr>
    </w:p>
    <w:p w:rsidR="00000000" w:rsidRPr="00C05610" w:rsidP="00C05610">
      <w:pPr>
        <w:pStyle w:val="AllowPageBreak"/>
      </w:pPr>
    </w:p>
    <w:p w:rsidR="00000000" w:rsidRPr="00C05610" w:rsidP="00C05610">
      <w:pPr>
        <w:pStyle w:val="Heading1"/>
      </w:pPr>
      <w:bookmarkStart w:id="2" w:name="O_967612"/>
      <w:bookmarkEnd w:id="2"/>
      <w:r w:rsidRPr="00C056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6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t>This unit involves the skills and knowledge required to inspect and fill liquefied petroleum gas (</w:t>
            </w:r>
            <w:r w:rsidRPr="00C05610">
              <w:t>LPG) cylinders, and complete work and relevant documentation.</w:t>
            </w:r>
          </w:p>
          <w:p w:rsidR="00000000" w:rsidRPr="00C05610" w:rsidP="00C05610">
            <w:pPr>
              <w:pStyle w:val="BodyText"/>
            </w:pPr>
            <w:r w:rsidRPr="00C05610">
              <w:t>It includes carrying out the work using appropriate materials, tools and equipment in accordance with relevant legislation, codes of practice, regulations and workplace procedures.</w:t>
            </w:r>
          </w:p>
          <w:p w:rsidR="00000000" w:rsidRPr="00C05610" w:rsidP="00C05610">
            <w:pPr>
              <w:pStyle w:val="BodyText"/>
            </w:pPr>
            <w:r w:rsidRPr="00C05610">
              <w:t>No licensing,</w:t>
            </w:r>
            <w:r w:rsidRPr="00C05610">
              <w:t xml:space="preserve"> legislative or certification requirements apply to this unit at the time of publication.</w:t>
            </w:r>
          </w:p>
        </w:tc>
      </w:tr>
    </w:tbl>
    <w:p w:rsidR="00000000" w:rsidRPr="00C05610" w:rsidP="00C05610">
      <w:pPr>
        <w:pStyle w:val="NoPaddingFontSize1"/>
      </w:pPr>
    </w:p>
    <w:p w:rsidR="00000000" w:rsidRPr="00C05610" w:rsidP="00C05610">
      <w:pPr>
        <w:pStyle w:val="AllowPageBreak"/>
      </w:pPr>
    </w:p>
    <w:p w:rsidR="00000000" w:rsidRPr="00C05610" w:rsidP="00C05610">
      <w:pPr>
        <w:pStyle w:val="Heading1"/>
      </w:pPr>
      <w:bookmarkStart w:id="3" w:name="O_967613"/>
      <w:bookmarkEnd w:id="3"/>
      <w:r w:rsidRPr="00C056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6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t>Not applicable.</w:t>
            </w:r>
          </w:p>
        </w:tc>
      </w:tr>
    </w:tbl>
    <w:p w:rsidR="00000000" w:rsidRPr="00C05610" w:rsidP="00C05610">
      <w:pPr>
        <w:pStyle w:val="NoPaddingFontSize1"/>
      </w:pPr>
    </w:p>
    <w:p w:rsidR="00000000" w:rsidRPr="00C05610" w:rsidP="00C05610">
      <w:pPr>
        <w:pStyle w:val="AllowPageBreak"/>
      </w:pPr>
    </w:p>
    <w:p w:rsidR="00000000" w:rsidRPr="00C05610" w:rsidP="00C05610">
      <w:pPr>
        <w:pStyle w:val="Heading1"/>
      </w:pPr>
      <w:bookmarkStart w:id="4" w:name="O_967614"/>
      <w:bookmarkEnd w:id="4"/>
      <w:r w:rsidRPr="00C056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6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t>Gaseous fuel Vessels</w:t>
            </w:r>
          </w:p>
        </w:tc>
      </w:tr>
    </w:tbl>
    <w:p w:rsidR="00000000" w:rsidRPr="00C05610" w:rsidP="00C05610">
      <w:pPr>
        <w:pStyle w:val="NoPaddingFontSize1"/>
      </w:pPr>
    </w:p>
    <w:p w:rsidR="00000000" w:rsidRPr="00C05610" w:rsidP="00C05610">
      <w:pPr>
        <w:pStyle w:val="AllowPageBreak"/>
      </w:pPr>
    </w:p>
    <w:p w:rsidR="00000000" w:rsidRPr="00C05610" w:rsidP="00C05610">
      <w:pPr>
        <w:pStyle w:val="Heading1"/>
      </w:pPr>
      <w:bookmarkStart w:id="5" w:name="O_967615"/>
      <w:bookmarkEnd w:id="5"/>
      <w:r w:rsidRPr="00C056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6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t>Gas Industry</w:t>
            </w:r>
          </w:p>
        </w:tc>
      </w:tr>
    </w:tbl>
    <w:p w:rsidR="00000000" w:rsidRPr="00C05610" w:rsidP="00C05610">
      <w:pPr>
        <w:pStyle w:val="NoPaddingFontSize1"/>
      </w:pPr>
    </w:p>
    <w:p w:rsidR="00000000" w:rsidRPr="00C05610" w:rsidP="00C05610">
      <w:pPr>
        <w:pStyle w:val="AllowPageBreak"/>
      </w:pPr>
    </w:p>
    <w:p w:rsidR="00000000" w:rsidRPr="00C05610" w:rsidP="00C05610">
      <w:pPr>
        <w:pStyle w:val="Heading1"/>
      </w:pPr>
      <w:bookmarkStart w:id="6" w:name="O_967616"/>
      <w:bookmarkEnd w:id="6"/>
      <w:r w:rsidRPr="00C0561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PERFORMANCE CRITERIA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Performance criteria describe the performance needed to demonstrate achievement of the element.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rPr>
                <w:rStyle w:val="SpecialBold"/>
              </w:rPr>
              <w:t>Prepare to fill LPG cylinders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Job requirements and workplace procedures for the work are discussed with relevant person/s to confirm the work schedule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Work health and safety (WHS)/occupational health and safety (OHS), environmental and sustainable energy measures and workplace p</w:t>
            </w:r>
            <w:r w:rsidRPr="00C05610">
              <w:t xml:space="preserve">olicies and procedures for the </w:t>
            </w:r>
            <w:r w:rsidRPr="00C05610">
              <w:t>work are obtained and applied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Recommendations to assist with the filling of gas cylinders are made to others involved in the work in accordance with workplace procedures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Hazards are identified, WHS/OHS risks assessed and control measures prioritised, implemented and monitored in accordance with workplace procedures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Resources, including equipment, tools and personal protective equipment (PPE), required for the job ar</w:t>
            </w:r>
            <w:r w:rsidRPr="00C05610">
              <w:t>e obtained and checked for correct operation and safety in accordance with workplace procedures and manufacturer instructions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Responsibilities for first aid, emergencies and other related work safety procedures for an incident at the work site are c</w:t>
            </w:r>
            <w:r w:rsidRPr="00C05610">
              <w:t xml:space="preserve">hecked and confirmed with relevant person/s to ensure safety measures are followed 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Client issues are referred to relevant persons in accordance with industry and community, industry standards and workplace procedures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Work site is prepared in accordance with job instructions, work schedule and workplace procedures to minimise risk and damage to property, commerce and individuals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rPr>
                <w:rStyle w:val="SpecialBold"/>
              </w:rPr>
              <w:t>Inspect and fill LPG cylinder</w:t>
            </w:r>
            <w:r w:rsidRPr="00C05610"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WHS/OHS policies, procedures and safe work practices a</w:t>
            </w:r>
            <w:r w:rsidRPr="00C05610">
              <w:t>re followed to eliminate or minimise incidents and hazards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 xml:space="preserve">Hazardous activities associated with filling LPG cylinders are conducted in accordance with job instructions, safety requirements and workplace procedures 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Cylinders are inspected for</w:t>
            </w:r>
            <w:r w:rsidRPr="00C05610">
              <w:t xml:space="preserve"> leaks and soundness in accordance with job instructions, industry standards, regulations and workplace procedures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Cylinders with defects, including leaks and damage, are identified, marked and quarantined a</w:t>
            </w:r>
            <w:r w:rsidRPr="00C05610">
              <w:t>nd hazards and WHS/OHS risks are reported to authorised person/s for directions in accordance with workplace procedures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 xml:space="preserve">Filling of gas cylinders is carried out in accordance with job instructions, industry standards, regulations and </w:t>
            </w:r>
            <w:r w:rsidRPr="00C05610">
              <w:t>workplace proced</w:t>
            </w:r>
            <w:r w:rsidRPr="00C05610">
              <w:t>ures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 xml:space="preserve">Problems associated with the filling of gas cylinders are dealt with by using problem-solving techniques in accordance with workplace procedures, industry standards and regulations 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Unplanned situations are responded to in accordance wit</w:t>
            </w:r>
            <w:r w:rsidRPr="00C05610">
              <w:t>h workplace procedures, in a manner that minimises risk to personnel and equipment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Quality and safety checks of the work are undertaken in accordance with job instructions, industry standards and workplace procedures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Appropriate manual handing techniques are applied when moving full cylinders to designated storage areas or onto vehicles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Accidents and incidents are actioned, as required, and reported to authorised pers</w:t>
            </w:r>
            <w:r w:rsidRPr="00C05610">
              <w:t>on/s in accordance with workplace procedures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Work site is cleaned up and made safe in accordance with job instructions and workplace procedures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Tools, equipment and any surplus resources and materials are cleaned, checked and returned to stor</w:t>
            </w:r>
            <w:r w:rsidRPr="00C05610">
              <w:t>age in accordance with workplace procedures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Relevant person/s are notified of work completion in accordance with workplace procedures</w:t>
            </w:r>
          </w:p>
        </w:tc>
      </w:tr>
      <w:tr w:rsidTr="00C056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t>Work completion records, report forms and data sheets are completed accurately in accordance with job instructions and workplace procedures</w:t>
            </w:r>
          </w:p>
        </w:tc>
      </w:tr>
    </w:tbl>
    <w:p w:rsidR="00000000" w:rsidRPr="00C05610" w:rsidP="00C05610">
      <w:pPr>
        <w:pStyle w:val="NoPaddingFontSize1"/>
      </w:pPr>
    </w:p>
    <w:p w:rsidR="00000000" w:rsidRPr="00C05610" w:rsidP="00C05610">
      <w:pPr>
        <w:pStyle w:val="AllowPageBreak"/>
      </w:pPr>
    </w:p>
    <w:p w:rsidR="00000000" w:rsidRPr="00C05610" w:rsidP="00C05610">
      <w:pPr>
        <w:pStyle w:val="Heading1"/>
      </w:pPr>
      <w:bookmarkStart w:id="7" w:name="O_967617"/>
      <w:bookmarkEnd w:id="7"/>
      <w:r w:rsidRPr="00C056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6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t>Foundation skills essential to performance are explicit in the performance crit</w:t>
            </w:r>
            <w:r w:rsidRPr="00C05610">
              <w:t>eria of this unit of competency.</w:t>
            </w:r>
          </w:p>
        </w:tc>
      </w:tr>
    </w:tbl>
    <w:p w:rsidR="00000000" w:rsidRPr="00C05610" w:rsidP="00C05610">
      <w:pPr>
        <w:pStyle w:val="NoPaddingFontSize1"/>
      </w:pPr>
    </w:p>
    <w:p w:rsidR="00000000" w:rsidRPr="00C05610" w:rsidP="00C05610">
      <w:pPr>
        <w:pStyle w:val="AllowPageBreak"/>
      </w:pPr>
    </w:p>
    <w:p w:rsidR="00000000" w:rsidRPr="00C05610" w:rsidP="00C05610">
      <w:pPr>
        <w:pStyle w:val="Heading1"/>
      </w:pPr>
      <w:bookmarkStart w:id="8" w:name="O_967618"/>
      <w:bookmarkEnd w:id="8"/>
      <w:r w:rsidRPr="00C056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056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t>Range is restricted to essential operating conditions and any other variables essential to the work environment.</w:t>
            </w:r>
          </w:p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Non-essential conditions may be found in the UEG Gas Industry Training Package Companion Volume Implementation Guide.</w:t>
            </w:r>
          </w:p>
        </w:tc>
      </w:tr>
      <w:tr w:rsidTr="00C056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610">
            <w:pPr>
              <w:pStyle w:val="BodyText"/>
              <w:rPr>
                <w:lang w:val="en-NZ"/>
              </w:rPr>
            </w:pPr>
            <w:r w:rsidRPr="00C05610">
              <w:t>inspecting and filling cylinders must include one (1) of the following methods at a cylinder filling installation compliant with industr</w:t>
            </w:r>
            <w:r w:rsidRPr="00C05610">
              <w:t xml:space="preserve">y standards: 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ListBullet"/>
            </w:pPr>
            <w:r w:rsidRPr="00C05610">
              <w:t>by weight using scales</w:t>
            </w:r>
          </w:p>
          <w:p w:rsidR="00000000" w:rsidRPr="00C05610" w:rsidP="00C05610">
            <w:pPr>
              <w:pStyle w:val="ListBullet"/>
            </w:pPr>
            <w:r w:rsidRPr="00C05610">
              <w:t>by decanting</w:t>
            </w:r>
          </w:p>
          <w:p w:rsidR="00000000" w:rsidRPr="00C05610" w:rsidP="00C05610">
            <w:pPr>
              <w:pStyle w:val="ListBullet"/>
            </w:pPr>
            <w:r w:rsidRPr="00C05610">
              <w:t xml:space="preserve">by dispenser pump </w:t>
            </w:r>
          </w:p>
        </w:tc>
      </w:tr>
    </w:tbl>
    <w:p w:rsidR="00000000" w:rsidRPr="00C05610" w:rsidP="00C05610">
      <w:pPr>
        <w:pStyle w:val="NoPaddingFontSize1"/>
      </w:pPr>
    </w:p>
    <w:p w:rsidR="00000000" w:rsidRPr="00C05610" w:rsidP="00C05610">
      <w:pPr>
        <w:pStyle w:val="AllowPageBreak"/>
      </w:pPr>
    </w:p>
    <w:p w:rsidR="00000000" w:rsidRPr="00C05610" w:rsidP="00C05610">
      <w:pPr>
        <w:pStyle w:val="Heading1"/>
      </w:pPr>
      <w:bookmarkStart w:id="9" w:name="O_967619"/>
      <w:bookmarkEnd w:id="9"/>
      <w:r w:rsidRPr="00C056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56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610" w:rsidP="00C05610">
            <w:pPr>
              <w:pStyle w:val="BodyText"/>
            </w:pPr>
            <w:r w:rsidRPr="00C05610">
              <w:t>This unit replaces and is equivalent to UEGNSG615A Fill LPG cylinders.</w:t>
            </w:r>
          </w:p>
        </w:tc>
      </w:tr>
    </w:tbl>
    <w:p w:rsidR="00000000" w:rsidRPr="00C05610" w:rsidP="00C05610">
      <w:pPr>
        <w:pStyle w:val="NoPaddingFontSize1"/>
      </w:pPr>
    </w:p>
    <w:p w:rsidR="00000000" w:rsidRPr="00C05610" w:rsidP="00C05610">
      <w:pPr>
        <w:pStyle w:val="AllowPageBreak"/>
      </w:pPr>
    </w:p>
    <w:p w:rsidR="00000000" w:rsidRPr="00C05610" w:rsidP="00C05610">
      <w:pPr>
        <w:pStyle w:val="Heading1"/>
      </w:pPr>
      <w:bookmarkStart w:id="10" w:name="O_967626"/>
      <w:bookmarkEnd w:id="10"/>
      <w:r w:rsidRPr="00C05610">
        <w:t>Links</w:t>
      </w:r>
    </w:p>
    <w:p w:rsidR="00000000" w:rsidRPr="00C05610" w:rsidP="003C3C7B">
      <w:pPr>
        <w:pStyle w:val="BodyText"/>
      </w:pPr>
      <w:r w:rsidRPr="00C056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C29A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05610" w:rsidP="00C05610"/>
    <w:sectPr w:rsidSect="00C056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10" w:rsidRPr="003C3C7B" w:rsidP="003C3C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7B" w:rsidP="00C05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C7B" w:rsidP="00C05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3C7B" w:rsidP="00C05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610" w:rsidRPr="003C3C7B" w:rsidP="003C3C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7B" w:rsidRPr="002D2AF8" w:rsidP="00C05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UEGNSG615 Fill LPG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3C3C7B" w:rsidP="00C05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849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9E5F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610"/>
  </w:style>
  <w:style w:type="character" w:customStyle="1" w:styleId="Heading1Char">
    <w:name w:val="Heading 1 Char"/>
    <w:basedOn w:val="DefaultParagraphFont"/>
    <w:link w:val="Heading1"/>
    <w:rsid w:val="00C05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6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6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610"/>
    <w:rPr>
      <w:b/>
      <w:spacing w:val="0"/>
    </w:rPr>
  </w:style>
  <w:style w:type="paragraph" w:customStyle="1" w:styleId="SuperHeading">
    <w:name w:val="SuperHeading"/>
    <w:basedOn w:val="Normal"/>
    <w:rsid w:val="00C05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5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6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6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610"/>
    <w:rPr>
      <w:i/>
    </w:rPr>
  </w:style>
  <w:style w:type="paragraph" w:styleId="Caption">
    <w:name w:val="caption"/>
    <w:basedOn w:val="BodyText"/>
    <w:next w:val="Normal"/>
    <w:qFormat/>
    <w:rsid w:val="00C05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610"/>
  </w:style>
  <w:style w:type="paragraph" w:styleId="TableofFigures">
    <w:name w:val="table of figures"/>
    <w:basedOn w:val="Normal"/>
    <w:next w:val="Normal"/>
    <w:semiHidden/>
    <w:rsid w:val="00C05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6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5610"/>
    <w:rPr>
      <w:rFonts w:ascii="Wingdings" w:hAnsi="Wingdings"/>
    </w:rPr>
  </w:style>
  <w:style w:type="paragraph" w:customStyle="1" w:styleId="TableHeading">
    <w:name w:val="Table Heading"/>
    <w:basedOn w:val="HeadingBase"/>
    <w:rsid w:val="00C05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610"/>
    <w:rPr>
      <w:color w:val="0033CC"/>
      <w:u w:val="none"/>
    </w:rPr>
  </w:style>
  <w:style w:type="paragraph" w:customStyle="1" w:styleId="BodyTextRight">
    <w:name w:val="Body Text Right"/>
    <w:basedOn w:val="BodyText"/>
    <w:rsid w:val="00C05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6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610"/>
    <w:rPr>
      <w:sz w:val="32"/>
    </w:rPr>
  </w:style>
  <w:style w:type="paragraph" w:customStyle="1" w:styleId="HeadingProcedure">
    <w:name w:val="Heading Procedure"/>
    <w:basedOn w:val="HeadingBase"/>
    <w:next w:val="Normal"/>
    <w:rsid w:val="00C05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610"/>
    <w:pPr>
      <w:spacing w:before="60" w:after="60"/>
    </w:pPr>
  </w:style>
  <w:style w:type="paragraph" w:styleId="ListContinue">
    <w:name w:val="List Continue"/>
    <w:basedOn w:val="List"/>
    <w:rsid w:val="00C05610"/>
    <w:pPr>
      <w:ind w:firstLine="0"/>
    </w:pPr>
  </w:style>
  <w:style w:type="paragraph" w:customStyle="1" w:styleId="ListNote">
    <w:name w:val="List Note"/>
    <w:basedOn w:val="List"/>
    <w:rsid w:val="00C05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610"/>
    <w:rPr>
      <w:rFonts w:ascii="Courier New" w:hAnsi="Courier New"/>
    </w:rPr>
  </w:style>
  <w:style w:type="paragraph" w:customStyle="1" w:styleId="NoteBullet">
    <w:name w:val="Note Bullet"/>
    <w:basedOn w:val="Note"/>
    <w:rsid w:val="00C05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6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5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610"/>
    <w:rPr>
      <w:b/>
      <w:smallCaps/>
    </w:rPr>
  </w:style>
  <w:style w:type="paragraph" w:customStyle="1" w:styleId="TableListNumber">
    <w:name w:val="Table List Number"/>
    <w:basedOn w:val="ListNumber"/>
    <w:rsid w:val="00C05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610"/>
    <w:pPr>
      <w:numPr>
        <w:numId w:val="8"/>
      </w:numPr>
    </w:pPr>
  </w:style>
  <w:style w:type="paragraph" w:customStyle="1" w:styleId="ListAlpha2">
    <w:name w:val="List Alpha 2"/>
    <w:basedOn w:val="List2"/>
    <w:rsid w:val="00C05610"/>
    <w:pPr>
      <w:numPr>
        <w:numId w:val="7"/>
      </w:numPr>
    </w:pPr>
  </w:style>
  <w:style w:type="paragraph" w:styleId="List2">
    <w:name w:val="List 2"/>
    <w:basedOn w:val="BodyText"/>
    <w:rsid w:val="00C05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6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6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5610"/>
    <w:pPr>
      <w:numPr>
        <w:numId w:val="3"/>
      </w:numPr>
    </w:pPr>
  </w:style>
  <w:style w:type="paragraph" w:styleId="ListContinue2">
    <w:name w:val="List Continue 2"/>
    <w:basedOn w:val="List2"/>
    <w:rsid w:val="00C05610"/>
    <w:pPr>
      <w:ind w:firstLine="0"/>
    </w:pPr>
  </w:style>
  <w:style w:type="paragraph" w:styleId="ListContinue3">
    <w:name w:val="List Continue 3"/>
    <w:basedOn w:val="List3"/>
    <w:rsid w:val="00C05610"/>
    <w:pPr>
      <w:ind w:left="1021" w:firstLine="0"/>
    </w:pPr>
  </w:style>
  <w:style w:type="paragraph" w:styleId="ListContinue4">
    <w:name w:val="List Continue 4"/>
    <w:basedOn w:val="List4"/>
    <w:rsid w:val="00C05610"/>
    <w:pPr>
      <w:ind w:firstLine="0"/>
    </w:pPr>
  </w:style>
  <w:style w:type="paragraph" w:styleId="ListContinue5">
    <w:name w:val="List Continue 5"/>
    <w:basedOn w:val="List5"/>
    <w:rsid w:val="00C05610"/>
    <w:pPr>
      <w:ind w:firstLine="0"/>
    </w:pPr>
  </w:style>
  <w:style w:type="paragraph" w:styleId="ListNumber3">
    <w:name w:val="List Number 3"/>
    <w:basedOn w:val="List3"/>
    <w:rsid w:val="00C05610"/>
    <w:pPr>
      <w:numPr>
        <w:numId w:val="4"/>
      </w:numPr>
    </w:pPr>
  </w:style>
  <w:style w:type="paragraph" w:styleId="ListNumber4">
    <w:name w:val="List Number 4"/>
    <w:basedOn w:val="List4"/>
    <w:rsid w:val="00C05610"/>
    <w:pPr>
      <w:numPr>
        <w:numId w:val="5"/>
      </w:numPr>
    </w:pPr>
  </w:style>
  <w:style w:type="paragraph" w:styleId="ListNumber5">
    <w:name w:val="List Number 5"/>
    <w:basedOn w:val="List5"/>
    <w:rsid w:val="00C05610"/>
    <w:pPr>
      <w:numPr>
        <w:numId w:val="6"/>
      </w:numPr>
    </w:pPr>
  </w:style>
  <w:style w:type="paragraph" w:styleId="BlockText">
    <w:name w:val="Block Text"/>
    <w:basedOn w:val="Normal"/>
    <w:rsid w:val="00C05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610"/>
    <w:rPr>
      <w:sz w:val="16"/>
      <w:vertAlign w:val="superscript"/>
    </w:rPr>
  </w:style>
  <w:style w:type="character" w:customStyle="1" w:styleId="Symbols">
    <w:name w:val="Symbols"/>
    <w:basedOn w:val="DefaultParagraphFont"/>
    <w:rsid w:val="00C05610"/>
    <w:rPr>
      <w:rFonts w:ascii="Symbol" w:hAnsi="Symbol"/>
    </w:rPr>
  </w:style>
  <w:style w:type="character" w:customStyle="1" w:styleId="MenuOptions">
    <w:name w:val="Menu Options"/>
    <w:basedOn w:val="DefaultParagraphFont"/>
    <w:rsid w:val="00C05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610"/>
    <w:rPr>
      <w:b/>
    </w:rPr>
  </w:style>
  <w:style w:type="character" w:customStyle="1" w:styleId="Underlined">
    <w:name w:val="Underlined"/>
    <w:basedOn w:val="DefaultParagraphFont"/>
    <w:rsid w:val="00C05610"/>
    <w:rPr>
      <w:u w:val="single"/>
    </w:rPr>
  </w:style>
  <w:style w:type="paragraph" w:customStyle="1" w:styleId="TableBodyTextRight">
    <w:name w:val="Table Body Text Right"/>
    <w:basedOn w:val="TableBodyText"/>
    <w:rsid w:val="00C05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610"/>
    <w:rPr>
      <w:sz w:val="18"/>
    </w:rPr>
  </w:style>
  <w:style w:type="paragraph" w:customStyle="1" w:styleId="BodySmallRight">
    <w:name w:val="Body Small Right"/>
    <w:basedOn w:val="BodyTextRight"/>
    <w:rsid w:val="00C05610"/>
    <w:rPr>
      <w:sz w:val="18"/>
      <w:szCs w:val="18"/>
    </w:rPr>
  </w:style>
  <w:style w:type="paragraph" w:customStyle="1" w:styleId="MarginEdition">
    <w:name w:val="Margin Edition"/>
    <w:basedOn w:val="MarginNote"/>
    <w:rsid w:val="00C05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610"/>
    <w:rPr>
      <w:sz w:val="2"/>
      <w:szCs w:val="2"/>
    </w:rPr>
  </w:style>
  <w:style w:type="character" w:customStyle="1" w:styleId="Small">
    <w:name w:val="Small"/>
    <w:basedOn w:val="DefaultParagraphFont"/>
    <w:rsid w:val="00C05610"/>
    <w:rPr>
      <w:sz w:val="16"/>
    </w:rPr>
  </w:style>
  <w:style w:type="paragraph" w:customStyle="1" w:styleId="WideTable">
    <w:name w:val="Wide Table"/>
    <w:basedOn w:val="Normal"/>
    <w:rsid w:val="00C05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610"/>
  </w:style>
  <w:style w:type="paragraph" w:styleId="Quote">
    <w:name w:val="Quote"/>
    <w:basedOn w:val="Heading1"/>
    <w:link w:val="QuoteChar"/>
    <w:qFormat/>
    <w:rsid w:val="00C05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610"/>
    <w:pPr>
      <w:pageBreakBefore/>
    </w:pPr>
  </w:style>
  <w:style w:type="paragraph" w:customStyle="1" w:styleId="Border">
    <w:name w:val="Border"/>
    <w:basedOn w:val="Normal"/>
    <w:qFormat/>
    <w:rsid w:val="00C05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610"/>
    <w:rPr>
      <w:u w:val="single"/>
    </w:rPr>
  </w:style>
  <w:style w:type="character" w:customStyle="1" w:styleId="BoldandItalics">
    <w:name w:val="Bold and Italics"/>
    <w:qFormat/>
    <w:rsid w:val="00C05610"/>
    <w:rPr>
      <w:b/>
      <w:i/>
      <w:u w:val="none"/>
    </w:rPr>
  </w:style>
  <w:style w:type="paragraph" w:styleId="BalloonText">
    <w:name w:val="Balloon Text"/>
    <w:basedOn w:val="Normal"/>
    <w:link w:val="BalloonTextChar"/>
    <w:rsid w:val="00C05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610"/>
    <w:pPr>
      <w:spacing w:before="0" w:after="0"/>
    </w:pPr>
  </w:style>
  <w:style w:type="paragraph" w:customStyle="1" w:styleId="BodyTextBold">
    <w:name w:val="Body Text Bold"/>
    <w:basedOn w:val="BodyText"/>
    <w:qFormat/>
    <w:rsid w:val="00C05610"/>
    <w:rPr>
      <w:b/>
    </w:rPr>
  </w:style>
  <w:style w:type="character" w:styleId="Hyperlink">
    <w:name w:val="Hyperlink"/>
    <w:basedOn w:val="DefaultParagraphFont"/>
    <w:uiPriority w:val="99"/>
    <w:unhideWhenUsed/>
    <w:rsid w:val="003C3C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4738</Characters>
  <Application>Microsoft Office Word</Application>
  <DocSecurity>0</DocSecurity>
  <Lines>215</Lines>
  <Paragraphs>100</Paragraphs>
  <ScaleCrop>false</ScaleCrop>
  <Company>Author-it Software Corporation Ltd.</Company>
  <LinksUpToDate>false</LinksUpToDate>
  <CharactersWithSpaces>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UEGNSG615 Fill LPG cylinders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2022-04-19T09:10:00Z</dcterms:created>
  <dcterms:modified xsi:type="dcterms:W3CDTF">2022-04-19T09:10:00Z</dcterms:modified>
</cp:coreProperties>
</file>