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161" w:rsidP="004C0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UEGNSG515 Use control centre systems to monitor and control gas infrastructure</w:t>
      </w:r>
      <w:r>
        <w:fldChar w:fldCharType="end"/>
      </w:r>
    </w:p>
    <w:p w:rsidR="004C0161" w:rsidP="004C0161">
      <w:pPr>
        <w:pStyle w:val="Version"/>
        <w:sectPr w:rsidSect="008A1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394" w:rsidP="008A1394">
      <w:pPr>
        <w:pStyle w:val="SuperHeading"/>
      </w:pPr>
      <w:r w:rsidRPr="008A1394">
        <w:t>UEGNSG515 Use control centre systems to monitor and control gas infrastructure</w:t>
      </w:r>
    </w:p>
    <w:p w:rsidR="00000000" w:rsidRPr="008A1394" w:rsidP="008A1394">
      <w:pPr>
        <w:pStyle w:val="Heading1"/>
      </w:pPr>
      <w:bookmarkStart w:id="1" w:name="O_967535"/>
      <w:bookmarkEnd w:id="1"/>
      <w:r w:rsidRPr="008A13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t>Release 1. This is the first release of this unit of competency in the UEG Gas Industry Training Package.</w:t>
            </w:r>
          </w:p>
        </w:tc>
      </w:tr>
    </w:tbl>
    <w:p w:rsidR="00000000" w:rsidRPr="008A1394" w:rsidP="008A1394">
      <w:pPr>
        <w:pStyle w:val="NoPaddingFontSize1"/>
      </w:pPr>
    </w:p>
    <w:p w:rsidR="00000000" w:rsidRPr="008A1394" w:rsidP="008A1394">
      <w:pPr>
        <w:pStyle w:val="AllowPageBreak"/>
      </w:pPr>
    </w:p>
    <w:p w:rsidR="00000000" w:rsidRPr="008A1394" w:rsidP="008A1394">
      <w:pPr>
        <w:pStyle w:val="Heading1"/>
      </w:pPr>
      <w:bookmarkStart w:id="2" w:name="O_967536"/>
      <w:bookmarkEnd w:id="2"/>
      <w:r w:rsidRPr="008A13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t xml:space="preserve">This unit involves the skills and knowledge required to use control centre systems to monitor and control gas infrastructure.  </w:t>
            </w:r>
          </w:p>
          <w:p w:rsidR="00000000" w:rsidRPr="008A1394" w:rsidP="008A1394">
            <w:pPr>
              <w:pStyle w:val="BodyText"/>
            </w:pPr>
            <w:r w:rsidRPr="008A1394">
              <w:t>It includes operating supervisory control and data acquisition (SCADA) and other control centre information systems, including o</w:t>
            </w:r>
            <w:r w:rsidRPr="008A1394">
              <w:t>utage management systems, alarm management systems, site security and communications systems, and telemetry to effectively manage gas industry infrastructure.</w:t>
            </w:r>
          </w:p>
          <w:p w:rsidR="00000000" w:rsidRPr="008A1394" w:rsidP="008A1394">
            <w:pPr>
              <w:pStyle w:val="BodyText"/>
            </w:pPr>
            <w:r w:rsidRPr="008A1394">
              <w:t>No licensing, legislative or certification requirements apply to this unit at the time of publica</w:t>
            </w:r>
            <w:r w:rsidRPr="008A1394">
              <w:t>tion.</w:t>
            </w:r>
          </w:p>
        </w:tc>
      </w:tr>
    </w:tbl>
    <w:p w:rsidR="00000000" w:rsidRPr="008A1394" w:rsidP="008A1394">
      <w:pPr>
        <w:pStyle w:val="NoPaddingFontSize1"/>
      </w:pPr>
    </w:p>
    <w:p w:rsidR="00000000" w:rsidRPr="008A1394" w:rsidP="008A1394">
      <w:pPr>
        <w:pStyle w:val="AllowPageBreak"/>
      </w:pPr>
    </w:p>
    <w:p w:rsidR="00000000" w:rsidRPr="008A1394" w:rsidP="008A1394">
      <w:pPr>
        <w:pStyle w:val="Heading1"/>
      </w:pPr>
      <w:bookmarkStart w:id="3" w:name="O_967537"/>
      <w:bookmarkEnd w:id="3"/>
      <w:r w:rsidRPr="008A13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t>MSS402061 Use SCADA systems in operations</w:t>
            </w:r>
          </w:p>
        </w:tc>
      </w:tr>
    </w:tbl>
    <w:p w:rsidR="00000000" w:rsidRPr="008A1394" w:rsidP="008A1394">
      <w:pPr>
        <w:pStyle w:val="NoPaddingFontSize1"/>
      </w:pPr>
    </w:p>
    <w:p w:rsidR="00000000" w:rsidRPr="008A1394" w:rsidP="008A1394">
      <w:pPr>
        <w:pStyle w:val="AllowPageBreak"/>
      </w:pPr>
    </w:p>
    <w:p w:rsidR="00000000" w:rsidRPr="008A1394" w:rsidP="008A1394">
      <w:pPr>
        <w:pStyle w:val="Heading1"/>
      </w:pPr>
      <w:bookmarkStart w:id="4" w:name="O_967538"/>
      <w:bookmarkEnd w:id="4"/>
      <w:r w:rsidRPr="008A13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t>Control Centre Discipline</w:t>
            </w:r>
          </w:p>
        </w:tc>
      </w:tr>
    </w:tbl>
    <w:p w:rsidR="00000000" w:rsidRPr="008A1394" w:rsidP="008A1394">
      <w:pPr>
        <w:pStyle w:val="NoPaddingFontSize1"/>
      </w:pPr>
    </w:p>
    <w:p w:rsidR="00000000" w:rsidRPr="008A1394" w:rsidP="008A1394">
      <w:pPr>
        <w:pStyle w:val="AllowPageBreak"/>
      </w:pPr>
    </w:p>
    <w:p w:rsidR="00000000" w:rsidRPr="008A1394" w:rsidP="008A1394">
      <w:pPr>
        <w:pStyle w:val="Heading1"/>
      </w:pPr>
      <w:bookmarkStart w:id="5" w:name="O_967539"/>
      <w:bookmarkEnd w:id="5"/>
      <w:r w:rsidRPr="008A13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t>Gas Industry</w:t>
            </w:r>
          </w:p>
        </w:tc>
      </w:tr>
    </w:tbl>
    <w:p w:rsidR="00000000" w:rsidRPr="008A1394" w:rsidP="008A1394">
      <w:pPr>
        <w:pStyle w:val="NoPaddingFontSize1"/>
      </w:pPr>
    </w:p>
    <w:p w:rsidR="00000000" w:rsidRPr="008A1394" w:rsidP="008A1394">
      <w:pPr>
        <w:pStyle w:val="AllowPageBreak"/>
      </w:pPr>
    </w:p>
    <w:p w:rsidR="00000000" w:rsidRPr="008A1394" w:rsidP="008A1394">
      <w:pPr>
        <w:pStyle w:val="Heading1"/>
      </w:pPr>
      <w:bookmarkStart w:id="6" w:name="O_967540"/>
      <w:bookmarkEnd w:id="6"/>
      <w:r w:rsidRPr="008A139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PERFORMANCE CRITERIA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Performance criteria describe the performance needed to demonstrate achievement of the element.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rPr>
                <w:rStyle w:val="SpecialBold"/>
              </w:rPr>
              <w:t>Plan to use control centre systems to monitor and control gas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Work schedules, plans and job requirements are obtained and analysed to determine the preparation work required for planning and coordination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Shift handover detail is obtained and confirmed in accordance with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Relevant per</w:t>
            </w:r>
            <w:r w:rsidRPr="008A1394">
              <w:t>son/s are consulted and work is prioritised and sequenced for completion within acceptable timeframes and to industry standards in accordance with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 xml:space="preserve">Hazards are identified, work health and safety (WHS)/occupational health and safety (OHS) and environmental risks are assessed and control measures prioritised, implemented and monitored in accordance with workplace procedures 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Relevant system const</w:t>
            </w:r>
            <w:r w:rsidRPr="008A1394">
              <w:t>raints for gas infrastructure are identified and communicated to relevant person/s in accordance with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Operational and commercial requirements of gas infrastructure are communicated to stakeholders in accordance with workplace pr</w:t>
            </w:r>
            <w:r w:rsidRPr="008A1394">
              <w:t>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WHS/OHS, environmental and sustainable energy policies and procedures related to the work are obtained to ensure safe systems of work are followed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Communication with authorised person/s, authorities, clients and land owners is conducted and work coordinated in accordance with work schedule and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rPr>
                <w:rStyle w:val="SpecialBold"/>
              </w:rPr>
              <w:t>Monitor and control gas infrastructure</w:t>
            </w:r>
            <w:r w:rsidRPr="008A1394">
              <w:t xml:space="preserve"> </w:t>
            </w:r>
            <w:r w:rsidRPr="008A1394">
              <w:rPr>
                <w:rStyle w:val="SpecialBold"/>
              </w:rPr>
              <w:t>using control centre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WHS/OHS poli</w:t>
            </w:r>
            <w:r w:rsidRPr="008A1394">
              <w:t>cies and procedures and safe work practices are followed to eliminate or minimise incidents and hazards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Work is coordinated and performed in accordance with work schedule, workplace procedures, operating conditions and nominations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Alarms and out-of-specification conditions are responded to in accordance with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Hazards and WHS/OHS risks are identified and incidents actioned in accordance with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 xml:space="preserve">Operating conditions are </w:t>
            </w:r>
            <w:r w:rsidRPr="008A1394">
              <w:t>monitored and action taken to address any shortfalls or abnormal events encountered in accordance with workplace established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Gas infrastructure SCADA systems are monitored to ensure completion in agreed timeframes and to quality standards</w:t>
            </w:r>
            <w:r w:rsidRPr="008A1394">
              <w:t xml:space="preserve"> in accordance with job requirements and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Unplanned events and non-routine problems are identified and actioned in accordance with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Quality and safety checks of the work are conducted in accordance with</w:t>
            </w:r>
            <w:r w:rsidRPr="008A1394">
              <w:t xml:space="preserve"> job requirements, workplace procedures and community and industry standards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rPr>
                <w:rStyle w:val="SpecialBold"/>
              </w:rPr>
              <w:t>Complete procedures for monitoring and controlling gas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Work undertaken is checked against work schedule for conformance with job requirements and anomalies and proposed solutions identified and reported in accordance with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 xml:space="preserve">Shift handover is conducted and gas infrastructure detail is </w:t>
            </w:r>
            <w:r w:rsidRPr="008A1394">
              <w:t>relayed and confirmed with relevant person/s in accordance with workplace procedures</w:t>
            </w:r>
          </w:p>
        </w:tc>
      </w:tr>
      <w:tr w:rsidTr="008A13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t>Work completion records, reports and documentation are completed, processed and appropriate person/s notified in accordance with workplace procedures</w:t>
            </w:r>
          </w:p>
        </w:tc>
      </w:tr>
    </w:tbl>
    <w:p w:rsidR="00000000" w:rsidRPr="008A1394" w:rsidP="008A1394">
      <w:pPr>
        <w:pStyle w:val="NoPaddingFontSize1"/>
      </w:pPr>
    </w:p>
    <w:p w:rsidR="00000000" w:rsidRPr="008A1394" w:rsidP="008A1394">
      <w:pPr>
        <w:pStyle w:val="AllowPageBreak"/>
      </w:pPr>
    </w:p>
    <w:p w:rsidR="00000000" w:rsidRPr="008A1394" w:rsidP="008A1394">
      <w:pPr>
        <w:pStyle w:val="Heading1"/>
      </w:pPr>
      <w:bookmarkStart w:id="7" w:name="O_967541"/>
      <w:bookmarkEnd w:id="7"/>
      <w:r w:rsidRPr="008A13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t>Foundation skills essential to performance are explicit in the performance criteria of this unit of competency.</w:t>
            </w:r>
          </w:p>
        </w:tc>
      </w:tr>
    </w:tbl>
    <w:p w:rsidR="00000000" w:rsidRPr="008A1394" w:rsidP="008A1394">
      <w:pPr>
        <w:pStyle w:val="NoPaddingFontSize1"/>
      </w:pPr>
    </w:p>
    <w:p w:rsidR="00000000" w:rsidRPr="008A1394" w:rsidP="008A1394">
      <w:pPr>
        <w:pStyle w:val="AllowPageBreak"/>
      </w:pPr>
    </w:p>
    <w:p w:rsidR="00000000" w:rsidRPr="008A1394" w:rsidP="008A1394">
      <w:pPr>
        <w:pStyle w:val="Heading1"/>
      </w:pPr>
      <w:bookmarkStart w:id="8" w:name="O_967542"/>
      <w:bookmarkEnd w:id="8"/>
      <w:r w:rsidRPr="008A13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A1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t>Range is restricted to essential operating conditions and any other variables essential to the work environment.</w:t>
            </w:r>
          </w:p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Non-essential conditions may be found in the Companion Volume Implementation Guide.</w:t>
            </w:r>
          </w:p>
        </w:tc>
      </w:tr>
      <w:tr w:rsidTr="008A1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394">
            <w:pPr>
              <w:pStyle w:val="BodyText"/>
              <w:rPr>
                <w:lang w:val="en-NZ"/>
              </w:rPr>
            </w:pPr>
            <w:r w:rsidRPr="008A1394">
              <w:t>gas infrastructure systems must include at least three (3</w:t>
            </w:r>
            <w:r w:rsidRPr="008A1394">
              <w:t>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ListBullet"/>
            </w:pPr>
            <w:r w:rsidRPr="008A1394">
              <w:t>compressor stations</w:t>
            </w:r>
          </w:p>
          <w:p w:rsidR="00000000" w:rsidRPr="008A1394" w:rsidP="008A1394">
            <w:pPr>
              <w:pStyle w:val="ListBullet"/>
            </w:pPr>
            <w:r w:rsidRPr="008A1394">
              <w:t>regulator stations</w:t>
            </w:r>
          </w:p>
          <w:p w:rsidR="00000000" w:rsidRPr="008A1394" w:rsidP="008A1394">
            <w:pPr>
              <w:pStyle w:val="ListBullet"/>
            </w:pPr>
            <w:r w:rsidRPr="008A1394">
              <w:t>power generation stations</w:t>
            </w:r>
          </w:p>
          <w:p w:rsidR="00000000" w:rsidRPr="008A1394" w:rsidP="008A1394">
            <w:pPr>
              <w:pStyle w:val="ListBullet"/>
            </w:pPr>
            <w:r w:rsidRPr="008A1394">
              <w:t>custody transfer stations</w:t>
            </w:r>
          </w:p>
          <w:p w:rsidR="00000000" w:rsidRPr="008A1394" w:rsidP="008A1394">
            <w:pPr>
              <w:pStyle w:val="ListBullet"/>
            </w:pPr>
            <w:r w:rsidRPr="008A1394">
              <w:t>odourant stations</w:t>
            </w:r>
          </w:p>
          <w:p w:rsidR="00000000" w:rsidRPr="008A1394" w:rsidP="008A1394">
            <w:pPr>
              <w:pStyle w:val="ListBullet"/>
            </w:pPr>
            <w:r w:rsidRPr="008A1394">
              <w:t>valves and actuators</w:t>
            </w:r>
          </w:p>
          <w:p w:rsidR="00000000" w:rsidRPr="008A1394" w:rsidP="008A1394">
            <w:pPr>
              <w:pStyle w:val="ListBullet"/>
            </w:pPr>
            <w:r w:rsidRPr="008A1394">
              <w:t>heaters</w:t>
            </w:r>
          </w:p>
          <w:p w:rsidR="00000000" w:rsidRPr="008A1394" w:rsidP="008A1394">
            <w:pPr>
              <w:pStyle w:val="ListBullet"/>
            </w:pPr>
            <w:r w:rsidRPr="008A1394">
              <w:t>meter stations</w:t>
            </w:r>
          </w:p>
          <w:p w:rsidR="00000000" w:rsidRPr="008A1394" w:rsidP="008A1394">
            <w:pPr>
              <w:pStyle w:val="ListBullet"/>
            </w:pPr>
            <w:r w:rsidRPr="008A1394">
              <w:t>gas quality equipment</w:t>
            </w:r>
          </w:p>
          <w:p w:rsidR="00000000" w:rsidRPr="008A1394" w:rsidP="008A1394">
            <w:pPr>
              <w:pStyle w:val="ListBullet"/>
            </w:pPr>
            <w:r w:rsidRPr="008A1394">
              <w:t>system fringe location</w:t>
            </w:r>
          </w:p>
          <w:p w:rsidR="00000000" w:rsidRPr="008A1394" w:rsidP="008A1394">
            <w:pPr>
              <w:pStyle w:val="ListBullet"/>
            </w:pPr>
            <w:r w:rsidRPr="008A1394">
              <w:t>complex analysis modelling systems</w:t>
            </w:r>
          </w:p>
          <w:p w:rsidR="00000000" w:rsidRPr="008A1394" w:rsidP="008A1394">
            <w:pPr>
              <w:pStyle w:val="ListBullet"/>
            </w:pPr>
            <w:r w:rsidRPr="008A1394">
              <w:t>corrosion protection systems</w:t>
            </w:r>
          </w:p>
          <w:p w:rsidR="00000000" w:rsidRPr="008A1394" w:rsidP="008A1394">
            <w:pPr>
              <w:pStyle w:val="ListBullet"/>
            </w:pPr>
            <w:r w:rsidRPr="008A1394">
              <w:t>filtration systems</w:t>
            </w:r>
          </w:p>
          <w:p w:rsidR="00000000" w:rsidRPr="008A1394" w:rsidP="008A1394">
            <w:pPr>
              <w:pStyle w:val="ListBullet"/>
            </w:pPr>
            <w:r w:rsidRPr="008A1394">
              <w:t>pipeline inspection gauges (PIGs)</w:t>
            </w:r>
          </w:p>
          <w:p w:rsidR="00000000" w:rsidRPr="008A1394" w:rsidP="008A1394">
            <w:pPr>
              <w:pStyle w:val="ListBullet"/>
            </w:pPr>
            <w:r w:rsidRPr="008A1394">
              <w:t>telemetry and data communications systems</w:t>
            </w:r>
          </w:p>
        </w:tc>
      </w:tr>
    </w:tbl>
    <w:p w:rsidR="00000000" w:rsidRPr="008A1394" w:rsidP="008A1394">
      <w:pPr>
        <w:pStyle w:val="NoPaddingFontSize1"/>
      </w:pPr>
    </w:p>
    <w:p w:rsidR="00000000" w:rsidRPr="008A1394" w:rsidP="008A1394">
      <w:pPr>
        <w:pStyle w:val="AllowPageBreak"/>
      </w:pPr>
    </w:p>
    <w:p w:rsidR="00000000" w:rsidRPr="008A1394" w:rsidP="008A1394">
      <w:pPr>
        <w:pStyle w:val="Heading1"/>
      </w:pPr>
      <w:bookmarkStart w:id="9" w:name="O_967543"/>
      <w:bookmarkEnd w:id="9"/>
      <w:r w:rsidRPr="008A13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13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394" w:rsidP="008A1394">
            <w:pPr>
              <w:pStyle w:val="BodyText"/>
            </w:pPr>
            <w:r w:rsidRPr="008A1394">
              <w:t>This unit replaces and is equivalent to UEGNSG515A Use control centre systems to moni</w:t>
            </w:r>
            <w:r w:rsidRPr="008A1394">
              <w:t>tor and control gas infrastructure.</w:t>
            </w:r>
          </w:p>
        </w:tc>
      </w:tr>
    </w:tbl>
    <w:p w:rsidR="00000000" w:rsidRPr="008A1394" w:rsidP="008A1394">
      <w:pPr>
        <w:pStyle w:val="NoPaddingFontSize1"/>
      </w:pPr>
    </w:p>
    <w:p w:rsidR="00000000" w:rsidRPr="008A1394" w:rsidP="008A1394">
      <w:pPr>
        <w:pStyle w:val="AllowPageBreak"/>
      </w:pPr>
    </w:p>
    <w:p w:rsidR="00000000" w:rsidRPr="008A1394" w:rsidP="008A1394">
      <w:pPr>
        <w:pStyle w:val="Heading1"/>
      </w:pPr>
      <w:bookmarkStart w:id="10" w:name="O_967550"/>
      <w:bookmarkEnd w:id="10"/>
      <w:r w:rsidRPr="008A1394">
        <w:t>Links</w:t>
      </w:r>
    </w:p>
    <w:p w:rsidR="00000000" w:rsidRPr="008A1394" w:rsidP="008A1394">
      <w:pPr>
        <w:pStyle w:val="BodyText"/>
      </w:pPr>
      <w:r w:rsidRPr="008A1394">
        <w:t>Companion Volume Implementation Guides are found in VETNet - https://vetnet.education.gov.au/Pages/TrainingDocs.aspx?q=6a6c032e-ffcb-4f3d-8063-415efbd261e8</w:t>
      </w:r>
    </w:p>
    <w:p w:rsidR="00000000" w:rsidRPr="008A1394" w:rsidP="008A1394"/>
    <w:sectPr w:rsidSect="008A13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94" w:rsidRPr="004C0161" w:rsidP="004C0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1" w:rsidP="008A1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161" w:rsidP="008A1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0161" w:rsidP="008A1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394" w:rsidRPr="004C0161" w:rsidP="004C0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61" w:rsidRPr="002D2AF8" w:rsidP="008A1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UEGNSG515 Use control centre systems to monitor and control gas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September 2018</w:t>
    </w:r>
    <w:r>
      <w:fldChar w:fldCharType="end"/>
    </w:r>
  </w:p>
  <w:p w:rsidR="004C0161" w:rsidP="008A1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4C3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1AF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394"/>
  </w:style>
  <w:style w:type="character" w:customStyle="1" w:styleId="Heading1Char">
    <w:name w:val="Heading 1 Char"/>
    <w:basedOn w:val="DefaultParagraphFont"/>
    <w:link w:val="Heading1"/>
    <w:rsid w:val="008A1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3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3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394"/>
    <w:rPr>
      <w:b/>
      <w:spacing w:val="0"/>
    </w:rPr>
  </w:style>
  <w:style w:type="paragraph" w:customStyle="1" w:styleId="SuperHeading">
    <w:name w:val="SuperHeading"/>
    <w:basedOn w:val="Normal"/>
    <w:rsid w:val="008A1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1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3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3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3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3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394"/>
    <w:rPr>
      <w:i/>
    </w:rPr>
  </w:style>
  <w:style w:type="paragraph" w:styleId="Caption">
    <w:name w:val="caption"/>
    <w:basedOn w:val="BodyText"/>
    <w:next w:val="Normal"/>
    <w:qFormat/>
    <w:rsid w:val="008A1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394"/>
  </w:style>
  <w:style w:type="paragraph" w:styleId="TableofFigures">
    <w:name w:val="table of figures"/>
    <w:basedOn w:val="Normal"/>
    <w:next w:val="Normal"/>
    <w:semiHidden/>
    <w:rsid w:val="008A1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394"/>
    <w:pPr>
      <w:numPr>
        <w:numId w:val="10"/>
      </w:numPr>
    </w:pPr>
  </w:style>
  <w:style w:type="character" w:customStyle="1" w:styleId="WingdingSymbols">
    <w:name w:val="Wingding Symbols"/>
    <w:rsid w:val="008A1394"/>
    <w:rPr>
      <w:rFonts w:ascii="Wingdings" w:hAnsi="Wingdings"/>
    </w:rPr>
  </w:style>
  <w:style w:type="paragraph" w:customStyle="1" w:styleId="TableHeading">
    <w:name w:val="Table Heading"/>
    <w:basedOn w:val="HeadingBase"/>
    <w:rsid w:val="008A1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394"/>
    <w:rPr>
      <w:color w:val="0033CC"/>
      <w:u w:val="none"/>
    </w:rPr>
  </w:style>
  <w:style w:type="paragraph" w:customStyle="1" w:styleId="BodyTextRight">
    <w:name w:val="Body Text Right"/>
    <w:basedOn w:val="BodyText"/>
    <w:rsid w:val="008A1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3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394"/>
    <w:rPr>
      <w:sz w:val="32"/>
    </w:rPr>
  </w:style>
  <w:style w:type="paragraph" w:customStyle="1" w:styleId="HeadingProcedure">
    <w:name w:val="Heading Procedure"/>
    <w:basedOn w:val="HeadingBase"/>
    <w:next w:val="Normal"/>
    <w:rsid w:val="008A1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394"/>
    <w:pPr>
      <w:spacing w:before="60" w:after="60"/>
    </w:pPr>
  </w:style>
  <w:style w:type="paragraph" w:styleId="ListContinue">
    <w:name w:val="List Continue"/>
    <w:basedOn w:val="List"/>
    <w:rsid w:val="008A1394"/>
    <w:pPr>
      <w:ind w:firstLine="0"/>
    </w:pPr>
  </w:style>
  <w:style w:type="paragraph" w:customStyle="1" w:styleId="ListNote">
    <w:name w:val="List Note"/>
    <w:basedOn w:val="List"/>
    <w:rsid w:val="008A1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394"/>
    <w:rPr>
      <w:rFonts w:ascii="Courier New" w:hAnsi="Courier New"/>
    </w:rPr>
  </w:style>
  <w:style w:type="paragraph" w:customStyle="1" w:styleId="NoteBullet">
    <w:name w:val="Note Bullet"/>
    <w:basedOn w:val="Note"/>
    <w:rsid w:val="008A1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3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394"/>
    <w:rPr>
      <w:b/>
      <w:smallCaps/>
    </w:rPr>
  </w:style>
  <w:style w:type="paragraph" w:customStyle="1" w:styleId="TableListNumber">
    <w:name w:val="Table List Number"/>
    <w:basedOn w:val="ListNumber"/>
    <w:rsid w:val="008A1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394"/>
    <w:pPr>
      <w:numPr>
        <w:numId w:val="8"/>
      </w:numPr>
    </w:pPr>
  </w:style>
  <w:style w:type="paragraph" w:customStyle="1" w:styleId="ListAlpha2">
    <w:name w:val="List Alpha 2"/>
    <w:basedOn w:val="List2"/>
    <w:rsid w:val="008A1394"/>
    <w:pPr>
      <w:numPr>
        <w:numId w:val="7"/>
      </w:numPr>
    </w:pPr>
  </w:style>
  <w:style w:type="paragraph" w:styleId="List2">
    <w:name w:val="List 2"/>
    <w:basedOn w:val="BodyText"/>
    <w:rsid w:val="008A1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3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3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1394"/>
    <w:pPr>
      <w:numPr>
        <w:numId w:val="3"/>
      </w:numPr>
    </w:pPr>
  </w:style>
  <w:style w:type="paragraph" w:styleId="ListContinue2">
    <w:name w:val="List Continue 2"/>
    <w:basedOn w:val="List2"/>
    <w:rsid w:val="008A1394"/>
    <w:pPr>
      <w:ind w:firstLine="0"/>
    </w:pPr>
  </w:style>
  <w:style w:type="paragraph" w:styleId="ListContinue3">
    <w:name w:val="List Continue 3"/>
    <w:basedOn w:val="List3"/>
    <w:rsid w:val="008A1394"/>
    <w:pPr>
      <w:ind w:left="1021" w:firstLine="0"/>
    </w:pPr>
  </w:style>
  <w:style w:type="paragraph" w:styleId="ListContinue4">
    <w:name w:val="List Continue 4"/>
    <w:basedOn w:val="List4"/>
    <w:rsid w:val="008A1394"/>
    <w:pPr>
      <w:ind w:firstLine="0"/>
    </w:pPr>
  </w:style>
  <w:style w:type="paragraph" w:styleId="ListContinue5">
    <w:name w:val="List Continue 5"/>
    <w:basedOn w:val="List5"/>
    <w:rsid w:val="008A1394"/>
    <w:pPr>
      <w:ind w:firstLine="0"/>
    </w:pPr>
  </w:style>
  <w:style w:type="paragraph" w:styleId="ListNumber3">
    <w:name w:val="List Number 3"/>
    <w:basedOn w:val="List3"/>
    <w:rsid w:val="008A1394"/>
    <w:pPr>
      <w:numPr>
        <w:numId w:val="4"/>
      </w:numPr>
    </w:pPr>
  </w:style>
  <w:style w:type="paragraph" w:styleId="ListNumber4">
    <w:name w:val="List Number 4"/>
    <w:basedOn w:val="List4"/>
    <w:rsid w:val="008A1394"/>
    <w:pPr>
      <w:numPr>
        <w:numId w:val="5"/>
      </w:numPr>
    </w:pPr>
  </w:style>
  <w:style w:type="paragraph" w:styleId="ListNumber5">
    <w:name w:val="List Number 5"/>
    <w:basedOn w:val="List5"/>
    <w:rsid w:val="008A1394"/>
    <w:pPr>
      <w:numPr>
        <w:numId w:val="6"/>
      </w:numPr>
    </w:pPr>
  </w:style>
  <w:style w:type="paragraph" w:styleId="BlockText">
    <w:name w:val="Block Text"/>
    <w:basedOn w:val="Normal"/>
    <w:rsid w:val="008A1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394"/>
    <w:rPr>
      <w:sz w:val="16"/>
      <w:vertAlign w:val="superscript"/>
    </w:rPr>
  </w:style>
  <w:style w:type="character" w:customStyle="1" w:styleId="Symbols">
    <w:name w:val="Symbols"/>
    <w:basedOn w:val="DefaultParagraphFont"/>
    <w:rsid w:val="008A1394"/>
    <w:rPr>
      <w:rFonts w:ascii="Symbol" w:hAnsi="Symbol"/>
    </w:rPr>
  </w:style>
  <w:style w:type="character" w:customStyle="1" w:styleId="MenuOptions">
    <w:name w:val="Menu Options"/>
    <w:basedOn w:val="DefaultParagraphFont"/>
    <w:rsid w:val="008A1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394"/>
    <w:rPr>
      <w:b/>
    </w:rPr>
  </w:style>
  <w:style w:type="character" w:customStyle="1" w:styleId="Underlined">
    <w:name w:val="Underlined"/>
    <w:basedOn w:val="DefaultParagraphFont"/>
    <w:rsid w:val="008A1394"/>
    <w:rPr>
      <w:u w:val="single"/>
    </w:rPr>
  </w:style>
  <w:style w:type="paragraph" w:customStyle="1" w:styleId="TableBodyTextRight">
    <w:name w:val="Table Body Text Right"/>
    <w:basedOn w:val="TableBodyText"/>
    <w:rsid w:val="008A1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394"/>
    <w:rPr>
      <w:sz w:val="18"/>
    </w:rPr>
  </w:style>
  <w:style w:type="paragraph" w:customStyle="1" w:styleId="BodySmallRight">
    <w:name w:val="Body Small Right"/>
    <w:basedOn w:val="BodyTextRight"/>
    <w:rsid w:val="008A1394"/>
    <w:rPr>
      <w:sz w:val="18"/>
      <w:szCs w:val="18"/>
    </w:rPr>
  </w:style>
  <w:style w:type="paragraph" w:customStyle="1" w:styleId="MarginEdition">
    <w:name w:val="Margin Edition"/>
    <w:basedOn w:val="MarginNote"/>
    <w:rsid w:val="008A1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394"/>
    <w:rPr>
      <w:sz w:val="2"/>
      <w:szCs w:val="2"/>
    </w:rPr>
  </w:style>
  <w:style w:type="character" w:customStyle="1" w:styleId="Small">
    <w:name w:val="Small"/>
    <w:basedOn w:val="DefaultParagraphFont"/>
    <w:rsid w:val="008A1394"/>
    <w:rPr>
      <w:sz w:val="16"/>
    </w:rPr>
  </w:style>
  <w:style w:type="paragraph" w:customStyle="1" w:styleId="WideTable">
    <w:name w:val="Wide Table"/>
    <w:basedOn w:val="Normal"/>
    <w:rsid w:val="008A1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394"/>
  </w:style>
  <w:style w:type="paragraph" w:styleId="Quote">
    <w:name w:val="Quote"/>
    <w:basedOn w:val="Heading1"/>
    <w:link w:val="QuoteChar"/>
    <w:qFormat/>
    <w:rsid w:val="008A1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394"/>
    <w:pPr>
      <w:pageBreakBefore/>
    </w:pPr>
  </w:style>
  <w:style w:type="paragraph" w:customStyle="1" w:styleId="Border">
    <w:name w:val="Border"/>
    <w:basedOn w:val="Normal"/>
    <w:qFormat/>
    <w:rsid w:val="008A1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394"/>
    <w:rPr>
      <w:u w:val="single"/>
    </w:rPr>
  </w:style>
  <w:style w:type="character" w:customStyle="1" w:styleId="BoldandItalics">
    <w:name w:val="Bold and Italics"/>
    <w:qFormat/>
    <w:rsid w:val="008A1394"/>
    <w:rPr>
      <w:b/>
      <w:i/>
      <w:u w:val="none"/>
    </w:rPr>
  </w:style>
  <w:style w:type="paragraph" w:styleId="BalloonText">
    <w:name w:val="Balloon Text"/>
    <w:basedOn w:val="Normal"/>
    <w:link w:val="BalloonTextChar"/>
    <w:rsid w:val="008A1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39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4606</Characters>
  <Application>Microsoft Office Word</Application>
  <DocSecurity>0</DocSecurity>
  <Lines>204</Lines>
  <Paragraphs>89</Paragraphs>
  <ScaleCrop>false</ScaleCrop>
  <Company>Author-it Software Corporation Ltd.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UEGNSG515 Use control centre systems to monitor and control gas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2018-09-05T05:55:00Z</dcterms:created>
  <dcterms:modified xsi:type="dcterms:W3CDTF">2018-09-05T05:55:00Z</dcterms:modified>
</cp:coreProperties>
</file>