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B89" w:rsidP="00341B89">
      <w:pPr>
        <w:pStyle w:val="Title"/>
      </w:pPr>
      <w:r>
        <w:fldChar w:fldCharType="begin"/>
      </w:r>
      <w:r>
        <w:instrText xml:space="preserve"> TITLE   \* MERGEFORMAT </w:instrText>
      </w:r>
      <w:r>
        <w:fldChar w:fldCharType="separate"/>
      </w:r>
      <w:r>
        <w:t>Assessment Requirements for UEGNSG511 Operate gas infrastructure to meet nominated demand</w:t>
      </w:r>
      <w:r>
        <w:fldChar w:fldCharType="end"/>
      </w:r>
    </w:p>
    <w:p w:rsidR="00341B89" w:rsidP="00341B89">
      <w:pPr>
        <w:pStyle w:val="Version"/>
        <w:sectPr w:rsidSect="003D4C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C88" w:rsidP="003D4C88">
      <w:pPr>
        <w:pStyle w:val="SuperHeading"/>
      </w:pPr>
      <w:r w:rsidRPr="003D4C88">
        <w:t>Assessment Requirements for UEGNSG511 Operate gas infrastructure to meet nominated demand</w:t>
      </w:r>
    </w:p>
    <w:p w:rsidR="00000000" w:rsidRPr="003D4C88" w:rsidP="003D4C88">
      <w:pPr>
        <w:pStyle w:val="Heading1"/>
      </w:pPr>
      <w:bookmarkStart w:id="1" w:name="O_967469"/>
      <w:bookmarkEnd w:id="1"/>
      <w:r w:rsidRPr="003D4C88">
        <w:t>Modification History</w:t>
      </w:r>
    </w:p>
    <w:tbl>
      <w:tblPr>
        <w:tblW w:w="9497" w:type="dxa"/>
        <w:tblLayout w:type="fixed"/>
        <w:tblCellMar>
          <w:left w:w="62" w:type="dxa"/>
          <w:right w:w="62" w:type="dxa"/>
        </w:tblCellMar>
        <w:tblLook w:val="0000"/>
      </w:tblPr>
      <w:tblGrid>
        <w:gridCol w:w="9497"/>
      </w:tblGrid>
      <w:tr w:rsidTr="003D4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C88" w:rsidP="003D4C88">
            <w:pPr>
              <w:pStyle w:val="BodyText"/>
            </w:pPr>
            <w:r w:rsidRPr="003D4C88">
              <w:t>Release 1. This is the first release of this unit of competency in the UEG Gas Industry Training Package.</w:t>
            </w:r>
          </w:p>
        </w:tc>
      </w:tr>
    </w:tbl>
    <w:p w:rsidR="00000000" w:rsidRPr="003D4C88" w:rsidP="003D4C88">
      <w:pPr>
        <w:pStyle w:val="NoPaddingFontSize1"/>
      </w:pPr>
    </w:p>
    <w:p w:rsidR="00000000" w:rsidRPr="003D4C88" w:rsidP="003D4C88">
      <w:pPr>
        <w:pStyle w:val="AllowPageBreak"/>
      </w:pPr>
    </w:p>
    <w:p w:rsidR="00000000" w:rsidRPr="003D4C88" w:rsidP="003D4C88">
      <w:pPr>
        <w:pStyle w:val="Heading1"/>
      </w:pPr>
      <w:bookmarkStart w:id="2" w:name="O_967470"/>
      <w:bookmarkEnd w:id="2"/>
      <w:r w:rsidRPr="003D4C88">
        <w:t>Performance Evidence</w:t>
      </w:r>
    </w:p>
    <w:tbl>
      <w:tblPr>
        <w:tblW w:w="9497" w:type="dxa"/>
        <w:tblLayout w:type="fixed"/>
        <w:tblCellMar>
          <w:left w:w="62" w:type="dxa"/>
          <w:right w:w="62" w:type="dxa"/>
        </w:tblCellMar>
        <w:tblLook w:val="0000"/>
      </w:tblPr>
      <w:tblGrid>
        <w:gridCol w:w="9497"/>
      </w:tblGrid>
      <w:tr w:rsidTr="003D4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4C88">
            <w:pPr>
              <w:pStyle w:val="BodyText"/>
              <w:rPr>
                <w:lang w:val="en-NZ"/>
              </w:rPr>
            </w:pPr>
            <w:r w:rsidRPr="003D4C88">
              <w:t xml:space="preserve">Evidence required to demonstrate competence in this unit must be relevant to and satisfy all of the requirements of the elements and performance criteria on at least two separate occasions and include: </w:t>
            </w:r>
          </w:p>
        </w:tc>
      </w:tr>
      <w:tr w:rsidTr="003D4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C88" w:rsidP="003D4C88">
            <w:pPr>
              <w:pStyle w:val="ListBullet"/>
            </w:pPr>
            <w:r w:rsidRPr="003D4C88">
              <w:t>actioning work requests from o</w:t>
            </w:r>
            <w:r w:rsidRPr="003D4C88">
              <w:t>ther parties</w:t>
            </w:r>
          </w:p>
          <w:p w:rsidR="00000000" w:rsidRPr="003D4C88" w:rsidP="003D4C88">
            <w:pPr>
              <w:pStyle w:val="ListBullet"/>
            </w:pPr>
            <w:r w:rsidRPr="003D4C88">
              <w:t>analysing process functions and problems</w:t>
            </w:r>
          </w:p>
          <w:p w:rsidR="00000000" w:rsidRPr="003D4C88" w:rsidP="003D4C88">
            <w:pPr>
              <w:pStyle w:val="ListBullet"/>
            </w:pPr>
            <w:r w:rsidRPr="003D4C88">
              <w:t>applying relevant customer service policies and procedures</w:t>
            </w:r>
          </w:p>
          <w:p w:rsidR="00000000" w:rsidRPr="003D4C88" w:rsidP="003D4C88">
            <w:pPr>
              <w:pStyle w:val="ListBullet"/>
            </w:pPr>
            <w:r w:rsidRPr="003D4C88">
              <w:t>applying relevant procedures for equipment use</w:t>
            </w:r>
          </w:p>
          <w:p w:rsidR="00000000" w:rsidRPr="003D4C88" w:rsidP="003D4C88">
            <w:pPr>
              <w:pStyle w:val="ListBullet"/>
            </w:pPr>
            <w:r w:rsidRPr="003D4C88">
              <w:t>applying relevant work health and safety (WHS)/occupational health and safety (OHS) requirements</w:t>
            </w:r>
            <w:r w:rsidRPr="003D4C88">
              <w:t xml:space="preserve"> </w:t>
            </w:r>
          </w:p>
          <w:p w:rsidR="00000000" w:rsidRPr="003D4C88" w:rsidP="003D4C88">
            <w:pPr>
              <w:pStyle w:val="ListBullet"/>
            </w:pPr>
            <w:r w:rsidRPr="003D4C88">
              <w:t xml:space="preserve">applying sustainable energy and environmental principles and practices </w:t>
            </w:r>
          </w:p>
          <w:p w:rsidR="00000000" w:rsidRPr="003D4C88" w:rsidP="003D4C88">
            <w:pPr>
              <w:pStyle w:val="ListBullet"/>
            </w:pPr>
            <w:r w:rsidRPr="003D4C88">
              <w:t>carrying out work in regular or specified timeframe</w:t>
            </w:r>
          </w:p>
          <w:p w:rsidR="00000000" w:rsidRPr="003D4C88" w:rsidP="003D4C88">
            <w:pPr>
              <w:pStyle w:val="ListBullet"/>
            </w:pPr>
            <w:r w:rsidRPr="003D4C88">
              <w:t xml:space="preserve">communicating effectively at a supervisory level, including oral, written or electronic, </w:t>
            </w:r>
          </w:p>
          <w:p w:rsidR="00000000" w:rsidRPr="003D4C88" w:rsidP="003D4C88">
            <w:pPr>
              <w:pStyle w:val="ListBullet"/>
            </w:pPr>
            <w:r w:rsidRPr="003D4C88">
              <w:t>completing and reviewing operation of gas infrastructure to meet nominated demand</w:t>
            </w:r>
          </w:p>
          <w:p w:rsidR="00000000" w:rsidRPr="003D4C88" w:rsidP="003D4C88">
            <w:pPr>
              <w:pStyle w:val="ListBullet"/>
            </w:pPr>
            <w:r w:rsidRPr="003D4C88">
              <w:t>conducting quality and safety checks</w:t>
            </w:r>
          </w:p>
          <w:p w:rsidR="00000000" w:rsidRPr="003D4C88" w:rsidP="003D4C88">
            <w:pPr>
              <w:pStyle w:val="ListBullet"/>
            </w:pPr>
            <w:r w:rsidRPr="003D4C88">
              <w:t>dealing with unplanned events/situations in accordance with workplace procedures in a manner that minimises risk to personnel and equipme</w:t>
            </w:r>
            <w:r w:rsidRPr="003D4C88">
              <w:t>nt</w:t>
            </w:r>
          </w:p>
          <w:p w:rsidR="00000000" w:rsidRPr="003D4C88" w:rsidP="003D4C88">
            <w:pPr>
              <w:pStyle w:val="ListBullet"/>
            </w:pPr>
            <w:r w:rsidRPr="003D4C88">
              <w:t>identifying gas industry production, transmission and distribution areas</w:t>
            </w:r>
          </w:p>
          <w:p w:rsidR="00000000" w:rsidRPr="003D4C88" w:rsidP="003D4C88">
            <w:pPr>
              <w:pStyle w:val="ListBullet"/>
            </w:pPr>
            <w:r w:rsidRPr="003D4C88">
              <w:t>locating control centres or other places where communication processes occur</w:t>
            </w:r>
          </w:p>
          <w:p w:rsidR="00000000" w:rsidRPr="003D4C88" w:rsidP="003D4C88">
            <w:pPr>
              <w:pStyle w:val="ListBullet"/>
            </w:pPr>
            <w:r w:rsidRPr="003D4C88">
              <w:t>locating, interpreting and applying relevant information</w:t>
            </w:r>
          </w:p>
          <w:p w:rsidR="00000000" w:rsidRPr="003D4C88" w:rsidP="003D4C88">
            <w:pPr>
              <w:pStyle w:val="ListBullet"/>
            </w:pPr>
            <w:r w:rsidRPr="003D4C88">
              <w:t>maintaining relevant workplace records</w:t>
            </w:r>
          </w:p>
          <w:p w:rsidR="00000000" w:rsidRPr="003D4C88" w:rsidP="003D4C88">
            <w:pPr>
              <w:pStyle w:val="ListBullet"/>
            </w:pPr>
            <w:r w:rsidRPr="003D4C88">
              <w:t>operati</w:t>
            </w:r>
            <w:r w:rsidRPr="003D4C88">
              <w:t>ng gas infrastructure to meet nominated demand</w:t>
            </w:r>
          </w:p>
          <w:p w:rsidR="00000000" w:rsidRPr="003D4C88" w:rsidP="003D4C88">
            <w:pPr>
              <w:pStyle w:val="ListBullet"/>
            </w:pPr>
            <w:r w:rsidRPr="003D4C88">
              <w:t>performing work under/without supervision</w:t>
            </w:r>
          </w:p>
          <w:p w:rsidR="00000000" w:rsidRPr="003D4C88" w:rsidP="003D4C88">
            <w:pPr>
              <w:pStyle w:val="ListBullet"/>
            </w:pPr>
            <w:r w:rsidRPr="003D4C88">
              <w:t>planning to operate gas infrastructure to meet nominated demand</w:t>
            </w:r>
          </w:p>
          <w:p w:rsidR="00000000" w:rsidRPr="003D4C88" w:rsidP="003D4C88">
            <w:pPr>
              <w:pStyle w:val="ListBullet"/>
            </w:pPr>
            <w:r w:rsidRPr="003D4C88">
              <w:t>producing gas schedule</w:t>
            </w:r>
          </w:p>
          <w:p w:rsidR="00000000" w:rsidRPr="003D4C88" w:rsidP="003D4C88">
            <w:pPr>
              <w:pStyle w:val="ListBullet"/>
            </w:pPr>
            <w:r w:rsidRPr="003D4C88">
              <w:t>producing written requests and reports</w:t>
            </w:r>
          </w:p>
          <w:p w:rsidR="00000000" w:rsidRPr="003D4C88" w:rsidP="003D4C88">
            <w:pPr>
              <w:pStyle w:val="ListBullet"/>
            </w:pPr>
            <w:r w:rsidRPr="003D4C88">
              <w:t>supervising transmission pipeline operati</w:t>
            </w:r>
            <w:r w:rsidRPr="003D4C88">
              <w:t>ons</w:t>
            </w:r>
          </w:p>
          <w:p w:rsidR="00000000" w:rsidRPr="003D4C88" w:rsidP="003D4C88">
            <w:pPr>
              <w:pStyle w:val="ListBullet"/>
            </w:pPr>
            <w:r w:rsidRPr="003D4C88">
              <w:t>using appropriate workplace language and communication technologies and techniques</w:t>
            </w:r>
          </w:p>
          <w:p w:rsidR="00000000" w:rsidRPr="003D4C88" w:rsidP="003D4C88">
            <w:pPr>
              <w:pStyle w:val="ListBullet"/>
            </w:pPr>
            <w:r w:rsidRPr="003D4C88">
              <w:t>using relevant computer systems</w:t>
            </w:r>
          </w:p>
          <w:p w:rsidR="00000000" w:rsidRPr="003D4C88" w:rsidP="003D4C88">
            <w:pPr>
              <w:pStyle w:val="ListBullet"/>
            </w:pPr>
            <w:r w:rsidRPr="003D4C88">
              <w:t>using strategies for dealing with difficult situations and a variety of stakeholders, including:</w:t>
            </w:r>
          </w:p>
          <w:p w:rsidR="00000000" w:rsidRPr="003D4C88" w:rsidP="003D4C88">
            <w:pPr>
              <w:pStyle w:val="ListBullet2"/>
            </w:pPr>
            <w:r w:rsidRPr="003D4C88">
              <w:t>workplace colleagues</w:t>
            </w:r>
          </w:p>
          <w:p w:rsidR="00000000" w:rsidRPr="003D4C88" w:rsidP="003D4C88">
            <w:pPr>
              <w:pStyle w:val="ListBullet2"/>
            </w:pPr>
            <w:r w:rsidRPr="003D4C88">
              <w:t>workplace managers</w:t>
            </w:r>
          </w:p>
          <w:p w:rsidR="00000000" w:rsidRPr="003D4C88" w:rsidP="003D4C88">
            <w:pPr>
              <w:pStyle w:val="ListBullet2"/>
            </w:pPr>
            <w:r w:rsidRPr="003D4C88">
              <w:t>relevant customers and suppliers</w:t>
            </w:r>
          </w:p>
          <w:p w:rsidR="00000000" w:rsidRPr="003D4C88" w:rsidP="003D4C88">
            <w:pPr>
              <w:pStyle w:val="ListBullet2"/>
            </w:pPr>
            <w:r w:rsidRPr="003D4C88">
              <w:t>regulatory bodies</w:t>
            </w:r>
          </w:p>
          <w:p w:rsidR="00000000" w:rsidRPr="003D4C88" w:rsidP="003D4C88">
            <w:pPr>
              <w:pStyle w:val="ListBullet2"/>
            </w:pPr>
            <w:r w:rsidRPr="003D4C88">
              <w:t>property/land owners (including traditional land owners) and tenants</w:t>
            </w:r>
          </w:p>
          <w:p w:rsidR="00000000" w:rsidRPr="003D4C88" w:rsidP="003D4C88">
            <w:pPr>
              <w:pStyle w:val="ListBullet2"/>
            </w:pPr>
            <w:r w:rsidRPr="003D4C88">
              <w:t>emergency response organisations.</w:t>
            </w:r>
          </w:p>
        </w:tc>
      </w:tr>
    </w:tbl>
    <w:p w:rsidR="00000000" w:rsidRPr="003D4C88" w:rsidP="003D4C88">
      <w:pPr>
        <w:pStyle w:val="BodyText"/>
      </w:pPr>
    </w:p>
    <w:p w:rsidR="00000000" w:rsidRPr="003D4C88" w:rsidP="003D4C88">
      <w:pPr>
        <w:pStyle w:val="AllowPageBreak"/>
      </w:pPr>
    </w:p>
    <w:p w:rsidR="00000000" w:rsidRPr="003D4C88" w:rsidP="003D4C88">
      <w:pPr>
        <w:pStyle w:val="Heading1"/>
      </w:pPr>
      <w:bookmarkStart w:id="3" w:name="O_967471"/>
      <w:bookmarkEnd w:id="3"/>
      <w:r w:rsidRPr="003D4C88">
        <w:t>Knowledge Evidence</w:t>
      </w:r>
    </w:p>
    <w:tbl>
      <w:tblPr>
        <w:tblW w:w="9497" w:type="dxa"/>
        <w:tblLayout w:type="fixed"/>
        <w:tblCellMar>
          <w:left w:w="62" w:type="dxa"/>
          <w:right w:w="62" w:type="dxa"/>
        </w:tblCellMar>
        <w:tblLook w:val="0000"/>
      </w:tblPr>
      <w:tblGrid>
        <w:gridCol w:w="9497"/>
      </w:tblGrid>
      <w:tr w:rsidTr="003D4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4C88">
            <w:pPr>
              <w:pStyle w:val="BodyText"/>
              <w:rPr>
                <w:lang w:val="en-NZ"/>
              </w:rPr>
            </w:pPr>
            <w:r w:rsidRPr="003D4C88">
              <w:t>Evidence required to demonstrate competence in this unit must b</w:t>
            </w:r>
            <w:r w:rsidRPr="003D4C88">
              <w:t xml:space="preserve">e relevant to and satisfy all of the requirements of the elements and performance criteria and include knowledge of: </w:t>
            </w:r>
          </w:p>
        </w:tc>
      </w:tr>
      <w:tr w:rsidTr="003D4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C88" w:rsidP="003D4C88">
            <w:pPr>
              <w:pStyle w:val="ListBullet"/>
            </w:pPr>
            <w:r w:rsidRPr="003D4C88">
              <w:t>application of applicable commercial agreements and contractual requirements in the gas industry</w:t>
            </w:r>
          </w:p>
          <w:p w:rsidR="00000000" w:rsidRPr="003D4C88" w:rsidP="003D4C88">
            <w:pPr>
              <w:pStyle w:val="ListBullet"/>
            </w:pPr>
            <w:r w:rsidRPr="003D4C88">
              <w:t>coatings for corrosion protection</w:t>
            </w:r>
          </w:p>
          <w:p w:rsidR="00000000" w:rsidRPr="003D4C88" w:rsidP="003D4C88">
            <w:pPr>
              <w:pStyle w:val="ListBullet"/>
            </w:pPr>
            <w:r w:rsidRPr="003D4C88">
              <w:t>communicating techniques</w:t>
            </w:r>
          </w:p>
          <w:p w:rsidR="00000000" w:rsidRPr="003D4C88" w:rsidP="003D4C88">
            <w:pPr>
              <w:pStyle w:val="ListBullet"/>
            </w:pPr>
            <w:r w:rsidRPr="003D4C88">
              <w:t>excavation machinery and their effects used near pipelines</w:t>
            </w:r>
          </w:p>
          <w:p w:rsidR="00000000" w:rsidRPr="003D4C88" w:rsidP="003D4C88">
            <w:pPr>
              <w:pStyle w:val="ListBullet"/>
            </w:pPr>
            <w:r w:rsidRPr="003D4C88">
              <w:t>gas industry production, transmission and distribution areas</w:t>
            </w:r>
          </w:p>
          <w:p w:rsidR="00000000" w:rsidRPr="003D4C88" w:rsidP="003D4C88">
            <w:pPr>
              <w:pStyle w:val="ListBullet"/>
            </w:pPr>
            <w:r w:rsidRPr="003D4C88">
              <w:t>gas industry products, processes and characteristics</w:t>
            </w:r>
          </w:p>
          <w:p w:rsidR="00000000" w:rsidRPr="003D4C88" w:rsidP="003D4C88">
            <w:pPr>
              <w:pStyle w:val="ListBullet"/>
            </w:pPr>
            <w:r w:rsidRPr="003D4C88">
              <w:t>gas industry reports and documentation</w:t>
            </w:r>
          </w:p>
          <w:p w:rsidR="00000000" w:rsidRPr="003D4C88" w:rsidP="003D4C88">
            <w:pPr>
              <w:pStyle w:val="ListBullet"/>
            </w:pPr>
            <w:r w:rsidRPr="003D4C88">
              <w:t>gas industry facili</w:t>
            </w:r>
            <w:r w:rsidRPr="003D4C88">
              <w:t>ties and infrastructure, including:</w:t>
            </w:r>
          </w:p>
          <w:p w:rsidR="00000000" w:rsidRPr="003D4C88" w:rsidP="003D4C88">
            <w:pPr>
              <w:pStyle w:val="ListBullet2"/>
            </w:pPr>
            <w:r w:rsidRPr="003D4C88">
              <w:t>regulation and metering facilities</w:t>
            </w:r>
          </w:p>
          <w:p w:rsidR="00000000" w:rsidRPr="003D4C88" w:rsidP="003D4C88">
            <w:pPr>
              <w:pStyle w:val="ListBullet2"/>
            </w:pPr>
            <w:r w:rsidRPr="003D4C88">
              <w:t>compression facilities</w:t>
            </w:r>
          </w:p>
          <w:p w:rsidR="00000000" w:rsidRPr="003D4C88" w:rsidP="003D4C88">
            <w:pPr>
              <w:pStyle w:val="ListBullet2"/>
            </w:pPr>
            <w:r w:rsidRPr="003D4C88">
              <w:t>gas processing facilities, such as coal seam methane plants</w:t>
            </w:r>
          </w:p>
          <w:p w:rsidR="00000000" w:rsidRPr="003D4C88" w:rsidP="003D4C88">
            <w:pPr>
              <w:pStyle w:val="ListBullet2"/>
            </w:pPr>
            <w:r w:rsidRPr="003D4C88">
              <w:t>liquified petroleum gas (LPG) processing facilities</w:t>
            </w:r>
          </w:p>
          <w:p w:rsidR="00000000" w:rsidRPr="003D4C88" w:rsidP="003D4C88">
            <w:pPr>
              <w:pStyle w:val="ListBullet2"/>
            </w:pPr>
            <w:r w:rsidRPr="003D4C88">
              <w:t>scraper stations and pigging facilities</w:t>
            </w:r>
          </w:p>
          <w:p w:rsidR="00000000" w:rsidRPr="003D4C88" w:rsidP="003D4C88">
            <w:pPr>
              <w:pStyle w:val="ListBullet2"/>
            </w:pPr>
            <w:r w:rsidRPr="003D4C88">
              <w:t>odourisat</w:t>
            </w:r>
            <w:r w:rsidRPr="003D4C88">
              <w:t>ion facilities</w:t>
            </w:r>
          </w:p>
          <w:p w:rsidR="00000000" w:rsidRPr="003D4C88" w:rsidP="003D4C88">
            <w:pPr>
              <w:pStyle w:val="ListBullet2"/>
            </w:pPr>
            <w:r w:rsidRPr="003D4C88">
              <w:t>reference to relevant operating policies and procedures</w:t>
            </w:r>
          </w:p>
          <w:p w:rsidR="00000000" w:rsidRPr="003D4C88" w:rsidP="003D4C88">
            <w:pPr>
              <w:pStyle w:val="ListBullet"/>
            </w:pPr>
            <w:r w:rsidRPr="003D4C88">
              <w:t xml:space="preserve">general principles associated with pipelines and other gas infrastructure </w:t>
            </w:r>
          </w:p>
          <w:p w:rsidR="00000000" w:rsidRPr="003D4C88" w:rsidP="003D4C88">
            <w:pPr>
              <w:pStyle w:val="ListBullet"/>
            </w:pPr>
            <w:r w:rsidRPr="003D4C88">
              <w:t>location of control centres or other places where communication processes occur</w:t>
            </w:r>
          </w:p>
          <w:p w:rsidR="00000000" w:rsidRPr="003D4C88" w:rsidP="003D4C88">
            <w:pPr>
              <w:pStyle w:val="ListBullet"/>
            </w:pPr>
            <w:r w:rsidRPr="003D4C88">
              <w:t>pinpointing pipeline locations</w:t>
            </w:r>
          </w:p>
          <w:p w:rsidR="00000000" w:rsidRPr="003D4C88" w:rsidP="003D4C88">
            <w:pPr>
              <w:pStyle w:val="ListBullet"/>
            </w:pPr>
            <w:r w:rsidRPr="003D4C88">
              <w:t>pipeline specifications</w:t>
            </w:r>
          </w:p>
          <w:p w:rsidR="00000000" w:rsidRPr="003D4C88" w:rsidP="003D4C88">
            <w:pPr>
              <w:pStyle w:val="ListBullet"/>
            </w:pPr>
            <w:r w:rsidRPr="003D4C88">
              <w:t>pipeline threats, identification and control</w:t>
            </w:r>
          </w:p>
          <w:p w:rsidR="00000000" w:rsidRPr="003D4C88" w:rsidP="003D4C88">
            <w:pPr>
              <w:pStyle w:val="ListBullet"/>
            </w:pPr>
            <w:r w:rsidRPr="003D4C88">
              <w:t>problem-solving and troubleshooting techniques</w:t>
            </w:r>
          </w:p>
          <w:p w:rsidR="00000000" w:rsidRPr="003D4C88" w:rsidP="003D4C88">
            <w:pPr>
              <w:pStyle w:val="ListBullet"/>
            </w:pPr>
            <w:r w:rsidRPr="003D4C88">
              <w:t>relevant manufacturer specifications</w:t>
            </w:r>
          </w:p>
          <w:p w:rsidR="00000000" w:rsidRPr="003D4C88" w:rsidP="003D4C88">
            <w:pPr>
              <w:pStyle w:val="ListBullet"/>
            </w:pPr>
            <w:r w:rsidRPr="003D4C88">
              <w:t>relevant pipeline legislation, regulatory and advisory standards and cod</w:t>
            </w:r>
            <w:r w:rsidRPr="003D4C88">
              <w:t>es of practice</w:t>
            </w:r>
          </w:p>
          <w:p w:rsidR="00000000" w:rsidRPr="003D4C88" w:rsidP="003D4C88">
            <w:pPr>
              <w:pStyle w:val="ListBullet"/>
            </w:pPr>
            <w:r w:rsidRPr="003D4C88">
              <w:t>relevant safe work method statements (SWMS)/job safety assessments or risk mitigation processes</w:t>
            </w:r>
          </w:p>
          <w:p w:rsidR="00000000" w:rsidRPr="003D4C88" w:rsidP="003D4C88">
            <w:pPr>
              <w:pStyle w:val="ListBullet"/>
            </w:pPr>
            <w:r w:rsidRPr="003D4C88">
              <w:t>relevant stakeholders</w:t>
            </w:r>
          </w:p>
          <w:p w:rsidR="00000000" w:rsidRPr="003D4C88" w:rsidP="003D4C88">
            <w:pPr>
              <w:pStyle w:val="ListBullet"/>
            </w:pPr>
            <w:r w:rsidRPr="003D4C88">
              <w:t>relevant WHS/OHS legislated requirements</w:t>
            </w:r>
          </w:p>
          <w:p w:rsidR="00000000" w:rsidRPr="003D4C88" w:rsidP="003D4C88">
            <w:pPr>
              <w:pStyle w:val="ListBullet"/>
            </w:pPr>
            <w:r w:rsidRPr="003D4C88">
              <w:t>relevant workplace documentation</w:t>
            </w:r>
          </w:p>
          <w:p w:rsidR="00000000" w:rsidRPr="003D4C88" w:rsidP="003D4C88">
            <w:pPr>
              <w:pStyle w:val="ListBullet"/>
            </w:pPr>
            <w:r w:rsidRPr="003D4C88">
              <w:t>relevant workplace policies and procedures.</w:t>
            </w:r>
          </w:p>
        </w:tc>
      </w:tr>
    </w:tbl>
    <w:p w:rsidR="00000000" w:rsidRPr="003D4C88" w:rsidP="003D4C88">
      <w:pPr>
        <w:pStyle w:val="NoPaddingFontSize1"/>
      </w:pPr>
    </w:p>
    <w:p w:rsidR="00000000" w:rsidRPr="003D4C88" w:rsidP="003D4C88">
      <w:pPr>
        <w:pStyle w:val="AllowPageBreak"/>
      </w:pPr>
    </w:p>
    <w:p w:rsidR="00000000" w:rsidRPr="003D4C88" w:rsidP="003D4C88">
      <w:pPr>
        <w:pStyle w:val="Heading1"/>
      </w:pPr>
      <w:bookmarkStart w:id="4" w:name="O_967472"/>
      <w:bookmarkEnd w:id="4"/>
      <w:r w:rsidRPr="003D4C88">
        <w:t>Assessment Conditions</w:t>
      </w:r>
    </w:p>
    <w:tbl>
      <w:tblPr>
        <w:tblW w:w="9497" w:type="dxa"/>
        <w:tblLayout w:type="fixed"/>
        <w:tblCellMar>
          <w:left w:w="62" w:type="dxa"/>
          <w:right w:w="62" w:type="dxa"/>
        </w:tblCellMar>
        <w:tblLook w:val="0000"/>
      </w:tblPr>
      <w:tblGrid>
        <w:gridCol w:w="9497"/>
      </w:tblGrid>
      <w:tr w:rsidTr="003D4C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C88" w:rsidP="003D4C88">
            <w:pPr>
              <w:pStyle w:val="BodyText"/>
            </w:pPr>
            <w:r w:rsidRPr="003D4C88">
              <w:t xml:space="preserve">As a minimum, assessors must satisfy applicable regulatory requirements, which include requirements in the Standards for Registered Training Organisations current at the time of assessment. </w:t>
            </w:r>
          </w:p>
          <w:p w:rsidR="00000000" w:rsidRPr="003D4C88" w:rsidP="003D4C88">
            <w:pPr>
              <w:pStyle w:val="BodyText"/>
            </w:pPr>
            <w:r w:rsidRPr="003D4C88">
              <w:t>As a minimum, assessment mu</w:t>
            </w:r>
            <w:r w:rsidRPr="003D4C88">
              <w:t>st satisfy applicable regulatory requirements, which include requirements in the Standards for Registered Training Organisations current at the time of assessment.</w:t>
            </w:r>
          </w:p>
          <w:p w:rsidR="00000000" w:rsidRPr="003D4C88" w:rsidP="003D4C88">
            <w:pPr>
              <w:pStyle w:val="BodyText"/>
            </w:pPr>
            <w:r w:rsidRPr="003D4C88">
              <w:t xml:space="preserve">Assessment must occur in workplace operational situations where it is appropriate to do so; </w:t>
            </w:r>
            <w:r w:rsidRPr="003D4C88">
              <w:t>where this is not appropriate, assessment must occur in simulated workplace operational situations that replicate workplace conditions.</w:t>
            </w:r>
          </w:p>
          <w:p w:rsidR="00000000" w:rsidRPr="003D4C88" w:rsidP="003D4C88">
            <w:pPr>
              <w:pStyle w:val="BodyText"/>
            </w:pPr>
            <w:r w:rsidRPr="003D4C88">
              <w:t xml:space="preserve">Assessment processes and techniques must be appropriate to the language, literacy and numeracy requirements of the work </w:t>
            </w:r>
            <w:r w:rsidRPr="003D4C88">
              <w:t>being performed and the needs of the candidate.</w:t>
            </w:r>
          </w:p>
          <w:p w:rsidR="00000000" w:rsidRPr="003D4C88" w:rsidP="003D4C88">
            <w:pPr>
              <w:pStyle w:val="BodyText"/>
            </w:pPr>
            <w:r w:rsidRPr="003D4C88">
              <w:t>Resources for assessment must include access to:</w:t>
            </w:r>
          </w:p>
          <w:p w:rsidR="00000000" w:rsidRPr="003D4C88" w:rsidP="003D4C88">
            <w:pPr>
              <w:pStyle w:val="ListBullet"/>
            </w:pPr>
            <w:r w:rsidRPr="003D4C88">
              <w:t>a range of relevant exercises, case studies and/or other simulations</w:t>
            </w:r>
          </w:p>
          <w:p w:rsidR="00000000" w:rsidRPr="003D4C88" w:rsidP="003D4C88">
            <w:pPr>
              <w:pStyle w:val="ListBullet"/>
            </w:pPr>
            <w:r w:rsidRPr="003D4C88">
              <w:t>relevant and appropriate materials, tools, equipment and personal protective equipment (P</w:t>
            </w:r>
            <w:r w:rsidRPr="003D4C88">
              <w:t xml:space="preserve">PE) currently used in industry </w:t>
            </w:r>
          </w:p>
          <w:p w:rsidR="00000000" w:rsidRPr="003D4C88" w:rsidP="003D4C88">
            <w:pPr>
              <w:pStyle w:val="ListBullet"/>
            </w:pPr>
            <w:r w:rsidRPr="003D4C88">
              <w:t>applicable documentation, including workplace procedures, equipment specifications, regulations, codes of practice and operation manuals.</w:t>
            </w:r>
          </w:p>
        </w:tc>
      </w:tr>
    </w:tbl>
    <w:p w:rsidR="00000000" w:rsidRPr="003D4C88" w:rsidP="003D4C88">
      <w:pPr>
        <w:pStyle w:val="NoPaddingFontSize1"/>
      </w:pPr>
    </w:p>
    <w:p w:rsidR="00000000" w:rsidRPr="003D4C88" w:rsidP="003D4C88">
      <w:pPr>
        <w:pStyle w:val="AllowPageBreak"/>
      </w:pPr>
    </w:p>
    <w:p w:rsidR="00000000" w:rsidRPr="003D4C88" w:rsidP="003D4C88">
      <w:pPr>
        <w:pStyle w:val="Heading1"/>
      </w:pPr>
      <w:bookmarkStart w:id="5" w:name="O_967475"/>
      <w:bookmarkEnd w:id="5"/>
      <w:r w:rsidRPr="003D4C88">
        <w:t>Links</w:t>
      </w:r>
    </w:p>
    <w:p w:rsidR="00000000" w:rsidRPr="003D4C88" w:rsidP="003D4C88">
      <w:pPr>
        <w:pStyle w:val="BodyText"/>
      </w:pPr>
      <w:r w:rsidRPr="003D4C88">
        <w:t>Companion Volume Implementation Guides are found in VETNet - https://vetnet.education.gov.au/Pages/TrainingDocs.aspx?q=6a6c032e-ffcb-4f3d-8063-415efbd261e8</w:t>
      </w:r>
    </w:p>
    <w:p w:rsidR="00000000" w:rsidRPr="003D4C88" w:rsidP="003D4C88"/>
    <w:sectPr w:rsidSect="003D4C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88" w:rsidRPr="00341B89" w:rsidP="00341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89" w:rsidP="003D4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41B89" w:rsidP="003D4C8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41B89" w:rsidP="003D4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C88" w:rsidRPr="00341B89" w:rsidP="00341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B89" w:rsidRPr="002D2AF8" w:rsidP="003D4C88">
    <w:pPr>
      <w:pStyle w:val="Header"/>
      <w:framePr w:wrap="around"/>
    </w:pPr>
    <w:r>
      <w:fldChar w:fldCharType="begin"/>
    </w:r>
    <w:r>
      <w:instrText xml:space="preserve"> TITLE   \* MERGEFORMAT </w:instrText>
    </w:r>
    <w:r>
      <w:fldChar w:fldCharType="separate"/>
    </w:r>
    <w:r>
      <w:t>Assessment Requirements for UEGNSG511 Operate gas infrastructure to meet nominated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341B89" w:rsidP="003D4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D40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42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4C9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C88"/>
    <w:pPr>
      <w:spacing w:before="360" w:after="60"/>
      <w:outlineLvl w:val="0"/>
    </w:pPr>
    <w:rPr>
      <w:sz w:val="32"/>
    </w:rPr>
  </w:style>
  <w:style w:type="paragraph" w:styleId="Heading2">
    <w:name w:val="heading 2"/>
    <w:basedOn w:val="HeadingBase"/>
    <w:next w:val="BodyText"/>
    <w:link w:val="Heading2Char"/>
    <w:qFormat/>
    <w:rsid w:val="003D4C88"/>
    <w:pPr>
      <w:keepLines/>
      <w:spacing w:before="240" w:after="120"/>
      <w:outlineLvl w:val="1"/>
    </w:pPr>
    <w:rPr>
      <w:sz w:val="28"/>
      <w:szCs w:val="40"/>
    </w:rPr>
  </w:style>
  <w:style w:type="paragraph" w:styleId="Heading3">
    <w:name w:val="heading 3"/>
    <w:basedOn w:val="HeadingBase"/>
    <w:next w:val="BodyText"/>
    <w:link w:val="Heading3Char"/>
    <w:qFormat/>
    <w:rsid w:val="003D4C88"/>
    <w:pPr>
      <w:spacing w:before="180" w:after="120"/>
      <w:outlineLvl w:val="2"/>
    </w:pPr>
    <w:rPr>
      <w:spacing w:val="-10"/>
      <w:kern w:val="32"/>
    </w:rPr>
  </w:style>
  <w:style w:type="paragraph" w:styleId="Heading4">
    <w:name w:val="heading 4"/>
    <w:basedOn w:val="HeadingBase"/>
    <w:next w:val="BodyText"/>
    <w:link w:val="Heading4Char"/>
    <w:qFormat/>
    <w:rsid w:val="003D4C88"/>
    <w:pPr>
      <w:spacing w:before="160" w:after="120"/>
      <w:outlineLvl w:val="3"/>
    </w:pPr>
    <w:rPr>
      <w:sz w:val="22"/>
    </w:rPr>
  </w:style>
  <w:style w:type="paragraph" w:styleId="Heading5">
    <w:name w:val="heading 5"/>
    <w:basedOn w:val="HeadingBase"/>
    <w:next w:val="Normal"/>
    <w:link w:val="Heading5Char"/>
    <w:qFormat/>
    <w:rsid w:val="003D4C88"/>
    <w:pPr>
      <w:spacing w:before="80"/>
      <w:outlineLvl w:val="4"/>
    </w:pPr>
    <w:rPr>
      <w:color w:val="918585"/>
      <w:sz w:val="20"/>
    </w:rPr>
  </w:style>
  <w:style w:type="paragraph" w:styleId="Heading6">
    <w:name w:val="heading 6"/>
    <w:basedOn w:val="HeadingBase"/>
    <w:next w:val="Normal"/>
    <w:link w:val="Heading6Char"/>
    <w:qFormat/>
    <w:rsid w:val="003D4C88"/>
    <w:pPr>
      <w:spacing w:before="60"/>
      <w:outlineLvl w:val="5"/>
    </w:pPr>
    <w:rPr>
      <w:color w:val="918585"/>
      <w:sz w:val="20"/>
    </w:rPr>
  </w:style>
  <w:style w:type="paragraph" w:styleId="Heading7">
    <w:name w:val="heading 7"/>
    <w:basedOn w:val="Normal"/>
    <w:next w:val="Normal"/>
    <w:link w:val="Heading7Char"/>
    <w:qFormat/>
    <w:rsid w:val="003D4C88"/>
    <w:pPr>
      <w:ind w:left="720"/>
      <w:outlineLvl w:val="6"/>
    </w:pPr>
    <w:rPr>
      <w:i/>
    </w:rPr>
  </w:style>
  <w:style w:type="paragraph" w:styleId="Heading8">
    <w:name w:val="heading 8"/>
    <w:basedOn w:val="Normal"/>
    <w:next w:val="Normal"/>
    <w:link w:val="Heading8Char"/>
    <w:qFormat/>
    <w:rsid w:val="003D4C88"/>
    <w:pPr>
      <w:ind w:left="720"/>
      <w:outlineLvl w:val="7"/>
    </w:pPr>
    <w:rPr>
      <w:i/>
    </w:rPr>
  </w:style>
  <w:style w:type="paragraph" w:styleId="Heading9">
    <w:name w:val="heading 9"/>
    <w:basedOn w:val="Normal"/>
    <w:next w:val="Normal"/>
    <w:link w:val="Heading9Char"/>
    <w:qFormat/>
    <w:rsid w:val="003D4C88"/>
    <w:pPr>
      <w:ind w:left="720"/>
      <w:outlineLvl w:val="8"/>
    </w:pPr>
    <w:rPr>
      <w:i/>
    </w:rPr>
  </w:style>
  <w:style w:type="character" w:default="1" w:styleId="DefaultParagraphFont">
    <w:name w:val="Default Paragraph Font"/>
    <w:uiPriority w:val="1"/>
    <w:unhideWhenUsed/>
    <w:rsid w:val="003D4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C88"/>
  </w:style>
  <w:style w:type="character" w:customStyle="1" w:styleId="Heading1Char">
    <w:name w:val="Heading 1 Char"/>
    <w:basedOn w:val="DefaultParagraphFont"/>
    <w:link w:val="Heading1"/>
    <w:rsid w:val="003D4C88"/>
    <w:rPr>
      <w:rFonts w:ascii="Times New Roman" w:eastAsia="Times New Roman" w:hAnsi="Times New Roman" w:cs="Times New Roman"/>
      <w:b/>
      <w:sz w:val="32"/>
      <w:szCs w:val="20"/>
      <w:lang w:eastAsia="en-US"/>
    </w:rPr>
  </w:style>
  <w:style w:type="paragraph" w:styleId="BodyText">
    <w:name w:val="Body Text"/>
    <w:basedOn w:val="Normal"/>
    <w:link w:val="BodyTextChar"/>
    <w:rsid w:val="003D4C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C88"/>
    <w:rPr>
      <w:rFonts w:ascii="Times New Roman" w:eastAsia="Times New Roman" w:hAnsi="Times New Roman" w:cs="Times New Roman"/>
      <w:sz w:val="24"/>
      <w:lang w:eastAsia="en-US"/>
    </w:rPr>
  </w:style>
  <w:style w:type="paragraph" w:styleId="ListBullet">
    <w:name w:val="List Bullet"/>
    <w:basedOn w:val="List"/>
    <w:rsid w:val="003D4C88"/>
    <w:pPr>
      <w:numPr>
        <w:numId w:val="13"/>
      </w:numPr>
      <w:tabs>
        <w:tab w:val="clear" w:pos="340"/>
      </w:tabs>
      <w:spacing w:before="40" w:after="40"/>
    </w:pPr>
  </w:style>
  <w:style w:type="paragraph" w:styleId="ListBullet2">
    <w:name w:val="List Bullet 2"/>
    <w:basedOn w:val="List2"/>
    <w:rsid w:val="003D4C88"/>
    <w:pPr>
      <w:numPr>
        <w:numId w:val="14"/>
      </w:numPr>
      <w:tabs>
        <w:tab w:val="clear" w:pos="680"/>
      </w:tabs>
    </w:pPr>
  </w:style>
  <w:style w:type="paragraph" w:customStyle="1" w:styleId="SuperHeading">
    <w:name w:val="SuperHeading"/>
    <w:basedOn w:val="Normal"/>
    <w:rsid w:val="003D4C88"/>
    <w:pPr>
      <w:spacing w:before="240" w:after="120"/>
      <w:outlineLvl w:val="0"/>
    </w:pPr>
    <w:rPr>
      <w:rFonts w:ascii="Times New Roman" w:hAnsi="Times New Roman"/>
      <w:b/>
      <w:sz w:val="32"/>
    </w:rPr>
  </w:style>
  <w:style w:type="paragraph" w:customStyle="1" w:styleId="AllowPageBreak">
    <w:name w:val="AllowPageBreak"/>
    <w:rsid w:val="003D4C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4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C88"/>
    <w:rPr>
      <w:rFonts w:ascii="Courier New" w:eastAsia="Times New Roman" w:hAnsi="Courier New" w:cs="Times New Roman"/>
      <w:i/>
      <w:szCs w:val="20"/>
      <w:lang w:eastAsia="en-US"/>
    </w:rPr>
  </w:style>
  <w:style w:type="paragraph" w:customStyle="1" w:styleId="HeadingBase">
    <w:name w:val="Heading Base"/>
    <w:rsid w:val="003D4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C88"/>
    <w:pPr>
      <w:tabs>
        <w:tab w:val="right" w:leader="dot" w:pos="9072"/>
      </w:tabs>
      <w:ind w:left="567"/>
    </w:pPr>
    <w:rPr>
      <w:szCs w:val="22"/>
    </w:rPr>
  </w:style>
  <w:style w:type="paragraph" w:customStyle="1" w:styleId="TOCBase">
    <w:name w:val="TOC Base"/>
    <w:rsid w:val="003D4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C88"/>
    <w:pPr>
      <w:tabs>
        <w:tab w:val="right" w:leader="dot" w:pos="9072"/>
      </w:tabs>
      <w:spacing w:before="40" w:after="40"/>
      <w:ind w:left="284"/>
    </w:pPr>
    <w:rPr>
      <w:rFonts w:ascii="Times New Roman" w:hAnsi="Times New Roman"/>
    </w:rPr>
  </w:style>
  <w:style w:type="paragraph" w:styleId="TOC1">
    <w:name w:val="toc 1"/>
    <w:basedOn w:val="TOCBase"/>
    <w:next w:val="Normal"/>
    <w:rsid w:val="003D4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C88"/>
    <w:rPr>
      <w:rFonts w:ascii="Times New Roman" w:eastAsia="Times New Roman" w:hAnsi="Times New Roman" w:cs="Times New Roman"/>
      <w:sz w:val="16"/>
      <w:lang w:eastAsia="en-US"/>
    </w:rPr>
  </w:style>
  <w:style w:type="paragraph" w:styleId="Title">
    <w:name w:val="Title"/>
    <w:basedOn w:val="HeadingBase"/>
    <w:link w:val="TitleChar"/>
    <w:qFormat/>
    <w:rsid w:val="003D4C88"/>
    <w:pPr>
      <w:spacing w:before="5040"/>
      <w:jc w:val="center"/>
    </w:pPr>
    <w:rPr>
      <w:sz w:val="48"/>
      <w:szCs w:val="72"/>
      <w:lang w:val="en-US"/>
    </w:rPr>
  </w:style>
  <w:style w:type="character" w:customStyle="1" w:styleId="TitleChar">
    <w:name w:val="Title Char"/>
    <w:basedOn w:val="DefaultParagraphFont"/>
    <w:link w:val="Title"/>
    <w:rsid w:val="003D4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C88"/>
    <w:pPr>
      <w:tabs>
        <w:tab w:val="left" w:pos="3600"/>
        <w:tab w:val="left" w:pos="3958"/>
      </w:tabs>
    </w:pPr>
  </w:style>
  <w:style w:type="paragraph" w:styleId="List">
    <w:name w:val="List"/>
    <w:basedOn w:val="BodyText"/>
    <w:next w:val="BodyText"/>
    <w:rsid w:val="003D4C88"/>
    <w:pPr>
      <w:tabs>
        <w:tab w:val="left" w:pos="340"/>
      </w:tabs>
      <w:spacing w:before="60" w:after="60"/>
      <w:ind w:left="340" w:hanging="340"/>
    </w:pPr>
  </w:style>
  <w:style w:type="paragraph" w:customStyle="1" w:styleId="Note">
    <w:name w:val="Note"/>
    <w:basedOn w:val="BodyText"/>
    <w:rsid w:val="003D4C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4C88"/>
    <w:rPr>
      <w:b/>
      <w:spacing w:val="0"/>
    </w:rPr>
  </w:style>
  <w:style w:type="paragraph" w:customStyle="1" w:styleId="SuperTitle">
    <w:name w:val="SuperTitle"/>
    <w:basedOn w:val="Title"/>
    <w:rsid w:val="003D4C88"/>
    <w:pPr>
      <w:framePr w:wrap="auto" w:hAnchor="text" w:y="6049"/>
    </w:pPr>
    <w:rPr>
      <w:color w:val="000000"/>
      <w:sz w:val="40"/>
    </w:rPr>
  </w:style>
  <w:style w:type="paragraph" w:customStyle="1" w:styleId="TOCTitle">
    <w:name w:val="TOCTitle"/>
    <w:basedOn w:val="Heading1"/>
    <w:rsid w:val="003D4C88"/>
    <w:pPr>
      <w:spacing w:after="240"/>
      <w:jc w:val="center"/>
      <w:outlineLvl w:val="9"/>
    </w:pPr>
    <w:rPr>
      <w:caps/>
    </w:rPr>
  </w:style>
  <w:style w:type="paragraph" w:customStyle="1" w:styleId="Version">
    <w:name w:val="Version"/>
    <w:rsid w:val="003D4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C88"/>
    <w:pPr>
      <w:keepNext w:val="0"/>
      <w:tabs>
        <w:tab w:val="right" w:pos="4176"/>
      </w:tabs>
      <w:ind w:left="198" w:hanging="198"/>
    </w:pPr>
    <w:rPr>
      <w:rFonts w:ascii="Garamond" w:hAnsi="Garamond"/>
    </w:rPr>
  </w:style>
  <w:style w:type="paragraph" w:styleId="IndexHeading">
    <w:name w:val="index heading"/>
    <w:basedOn w:val="Normal"/>
    <w:next w:val="Index1"/>
    <w:semiHidden/>
    <w:rsid w:val="003D4C88"/>
    <w:pPr>
      <w:spacing w:before="120" w:after="120"/>
    </w:pPr>
    <w:rPr>
      <w:rFonts w:ascii="Arial" w:hAnsi="Arial"/>
      <w:b/>
      <w:color w:val="918585"/>
      <w:sz w:val="24"/>
    </w:rPr>
  </w:style>
  <w:style w:type="paragraph" w:styleId="Header">
    <w:name w:val="header"/>
    <w:basedOn w:val="Normal"/>
    <w:link w:val="HeaderChar"/>
    <w:rsid w:val="003D4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C88"/>
    <w:rPr>
      <w:rFonts w:ascii="Times New Roman" w:eastAsia="Times New Roman" w:hAnsi="Times New Roman" w:cs="Times New Roman"/>
      <w:sz w:val="16"/>
      <w:szCs w:val="20"/>
      <w:lang w:val="en-GB" w:eastAsia="en-US"/>
    </w:rPr>
  </w:style>
  <w:style w:type="paragraph" w:customStyle="1" w:styleId="Chapter">
    <w:name w:val="Chapter"/>
    <w:basedOn w:val="Normal"/>
    <w:rsid w:val="003D4C88"/>
    <w:pPr>
      <w:spacing w:before="240"/>
    </w:pPr>
    <w:rPr>
      <w:rFonts w:ascii="Times New Roman" w:hAnsi="Times New Roman"/>
      <w:smallCaps/>
      <w:spacing w:val="80"/>
      <w:sz w:val="28"/>
    </w:rPr>
  </w:style>
  <w:style w:type="paragraph" w:customStyle="1" w:styleId="InChapter">
    <w:name w:val="InChapter"/>
    <w:basedOn w:val="Heading3"/>
    <w:rsid w:val="003D4C88"/>
    <w:pPr>
      <w:spacing w:after="240"/>
      <w:outlineLvl w:val="9"/>
    </w:pPr>
    <w:rPr>
      <w:noProof/>
    </w:rPr>
  </w:style>
  <w:style w:type="paragraph" w:styleId="Index2">
    <w:name w:val="index 2"/>
    <w:basedOn w:val="Normal"/>
    <w:next w:val="Normal"/>
    <w:semiHidden/>
    <w:rsid w:val="003D4C88"/>
    <w:pPr>
      <w:tabs>
        <w:tab w:val="right" w:pos="4176"/>
      </w:tabs>
      <w:ind w:left="568" w:hanging="284"/>
    </w:pPr>
    <w:rPr>
      <w:rFonts w:ascii="Garamond" w:hAnsi="Garamond"/>
    </w:rPr>
  </w:style>
  <w:style w:type="paragraph" w:customStyle="1" w:styleId="Byline">
    <w:name w:val="Byline"/>
    <w:rsid w:val="003D4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C88"/>
    <w:pPr>
      <w:tabs>
        <w:tab w:val="clear" w:pos="3600"/>
        <w:tab w:val="clear" w:pos="3958"/>
      </w:tabs>
      <w:jc w:val="right"/>
    </w:pPr>
  </w:style>
  <w:style w:type="character" w:styleId="Emphasis">
    <w:name w:val="Emphasis"/>
    <w:basedOn w:val="DefaultParagraphFont"/>
    <w:qFormat/>
    <w:rsid w:val="003D4C88"/>
    <w:rPr>
      <w:i/>
    </w:rPr>
  </w:style>
  <w:style w:type="paragraph" w:styleId="Caption">
    <w:name w:val="caption"/>
    <w:basedOn w:val="BodyText"/>
    <w:next w:val="Normal"/>
    <w:qFormat/>
    <w:rsid w:val="003D4C88"/>
    <w:pPr>
      <w:framePr w:w="2268" w:hSpace="181" w:vSpace="181" w:wrap="around" w:vAnchor="text" w:hAnchor="page" w:x="1135" w:y="285" w:anchorLock="1"/>
    </w:pPr>
    <w:rPr>
      <w:i/>
    </w:rPr>
  </w:style>
  <w:style w:type="paragraph" w:customStyle="1" w:styleId="MiniTOCTitle">
    <w:name w:val="MiniTOCTitle"/>
    <w:basedOn w:val="Heading4"/>
    <w:rsid w:val="003D4C88"/>
    <w:pPr>
      <w:spacing w:before="240"/>
      <w:outlineLvl w:val="9"/>
    </w:pPr>
    <w:rPr>
      <w:noProof/>
      <w:sz w:val="24"/>
    </w:rPr>
  </w:style>
  <w:style w:type="paragraph" w:customStyle="1" w:styleId="MiniTOCItem">
    <w:name w:val="MiniTOCItem"/>
    <w:basedOn w:val="ListBullet"/>
    <w:rsid w:val="003D4C88"/>
    <w:pPr>
      <w:numPr>
        <w:numId w:val="0"/>
      </w:numPr>
      <w:tabs>
        <w:tab w:val="right" w:leader="dot" w:pos="6521"/>
      </w:tabs>
      <w:spacing w:before="0" w:after="0"/>
    </w:pPr>
  </w:style>
  <w:style w:type="paragraph" w:customStyle="1" w:styleId="TOFTitle">
    <w:name w:val="TOFTitle"/>
    <w:basedOn w:val="TOCTitle"/>
    <w:rsid w:val="003D4C88"/>
  </w:style>
  <w:style w:type="paragraph" w:styleId="TableofFigures">
    <w:name w:val="table of figures"/>
    <w:basedOn w:val="Normal"/>
    <w:next w:val="Normal"/>
    <w:semiHidden/>
    <w:rsid w:val="003D4C88"/>
    <w:pPr>
      <w:tabs>
        <w:tab w:val="right" w:leader="dot" w:pos="9072"/>
      </w:tabs>
      <w:ind w:left="970" w:hanging="403"/>
    </w:pPr>
    <w:rPr>
      <w:rFonts w:ascii="Times New Roman" w:hAnsi="Times New Roman"/>
      <w:b/>
    </w:rPr>
  </w:style>
  <w:style w:type="paragraph" w:styleId="ListNumber">
    <w:name w:val="List Number"/>
    <w:basedOn w:val="List"/>
    <w:rsid w:val="003D4C88"/>
    <w:pPr>
      <w:numPr>
        <w:numId w:val="11"/>
      </w:numPr>
    </w:pPr>
  </w:style>
  <w:style w:type="character" w:customStyle="1" w:styleId="WingdingSymbols">
    <w:name w:val="Wingding Symbols"/>
    <w:rsid w:val="003D4C88"/>
    <w:rPr>
      <w:rFonts w:ascii="Wingdings" w:hAnsi="Wingdings"/>
    </w:rPr>
  </w:style>
  <w:style w:type="paragraph" w:customStyle="1" w:styleId="TableHeading">
    <w:name w:val="Table Heading"/>
    <w:basedOn w:val="HeadingBase"/>
    <w:rsid w:val="003D4C88"/>
    <w:pPr>
      <w:keepLines/>
      <w:pBdr>
        <w:bottom w:val="single" w:sz="6" w:space="1" w:color="918585"/>
      </w:pBdr>
      <w:spacing w:before="240"/>
    </w:pPr>
  </w:style>
  <w:style w:type="character" w:customStyle="1" w:styleId="HotSpot">
    <w:name w:val="HotSpot"/>
    <w:rsid w:val="003D4C88"/>
    <w:rPr>
      <w:color w:val="0033CC"/>
      <w:u w:val="none"/>
    </w:rPr>
  </w:style>
  <w:style w:type="paragraph" w:customStyle="1" w:styleId="BodyTextRight">
    <w:name w:val="Body Text Right"/>
    <w:basedOn w:val="BodyText"/>
    <w:rsid w:val="003D4C88"/>
    <w:pPr>
      <w:spacing w:before="0" w:after="0"/>
      <w:jc w:val="right"/>
    </w:pPr>
  </w:style>
  <w:style w:type="paragraph" w:styleId="Index3">
    <w:name w:val="index 3"/>
    <w:basedOn w:val="ListNumber2"/>
    <w:next w:val="Normal"/>
    <w:semiHidden/>
    <w:rsid w:val="003D4C88"/>
    <w:pPr>
      <w:numPr>
        <w:numId w:val="0"/>
      </w:numPr>
      <w:tabs>
        <w:tab w:val="right" w:leader="dot" w:pos="4176"/>
      </w:tabs>
    </w:pPr>
  </w:style>
  <w:style w:type="paragraph" w:styleId="ListNumber2">
    <w:name w:val="List Number 2"/>
    <w:basedOn w:val="List2"/>
    <w:rsid w:val="003D4C88"/>
    <w:pPr>
      <w:numPr>
        <w:numId w:val="10"/>
      </w:numPr>
      <w:tabs>
        <w:tab w:val="clear" w:pos="1060"/>
      </w:tabs>
    </w:pPr>
  </w:style>
  <w:style w:type="paragraph" w:customStyle="1" w:styleId="MarginNote">
    <w:name w:val="Margin Note"/>
    <w:basedOn w:val="BodyText"/>
    <w:rsid w:val="003D4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C88"/>
    <w:rPr>
      <w:sz w:val="32"/>
    </w:rPr>
  </w:style>
  <w:style w:type="paragraph" w:customStyle="1" w:styleId="HeadingProcedure">
    <w:name w:val="Heading Procedure"/>
    <w:basedOn w:val="HeadingBase"/>
    <w:next w:val="Normal"/>
    <w:rsid w:val="003D4C88"/>
    <w:pPr>
      <w:tabs>
        <w:tab w:val="left" w:pos="0"/>
      </w:tabs>
      <w:spacing w:before="120" w:after="60"/>
    </w:pPr>
    <w:rPr>
      <w:i/>
      <w:color w:val="918585"/>
      <w:sz w:val="22"/>
    </w:rPr>
  </w:style>
  <w:style w:type="paragraph" w:customStyle="1" w:styleId="TableBodyText">
    <w:name w:val="Table Body Text"/>
    <w:basedOn w:val="BodyText"/>
    <w:rsid w:val="003D4C88"/>
    <w:pPr>
      <w:spacing w:before="60" w:after="60"/>
    </w:pPr>
  </w:style>
  <w:style w:type="paragraph" w:styleId="ListContinue">
    <w:name w:val="List Continue"/>
    <w:basedOn w:val="List"/>
    <w:rsid w:val="003D4C88"/>
    <w:pPr>
      <w:ind w:firstLine="0"/>
    </w:pPr>
  </w:style>
  <w:style w:type="paragraph" w:customStyle="1" w:styleId="ListNote">
    <w:name w:val="List Note"/>
    <w:basedOn w:val="List"/>
    <w:rsid w:val="003D4C88"/>
    <w:pPr>
      <w:pBdr>
        <w:top w:val="single" w:sz="6" w:space="2" w:color="918585"/>
        <w:bottom w:val="single" w:sz="6" w:space="2" w:color="918585"/>
      </w:pBdr>
      <w:tabs>
        <w:tab w:val="left" w:pos="1021"/>
      </w:tabs>
      <w:ind w:firstLine="0"/>
    </w:pPr>
  </w:style>
  <w:style w:type="paragraph" w:customStyle="1" w:styleId="Warning">
    <w:name w:val="Warning"/>
    <w:basedOn w:val="BodyText"/>
    <w:rsid w:val="003D4C88"/>
    <w:pPr>
      <w:shd w:val="clear" w:color="auto" w:fill="D9D9D9"/>
      <w:tabs>
        <w:tab w:val="left" w:pos="992"/>
      </w:tabs>
      <w:ind w:left="119" w:right="119"/>
    </w:pPr>
    <w:rPr>
      <w:sz w:val="20"/>
    </w:rPr>
  </w:style>
  <w:style w:type="paragraph" w:customStyle="1" w:styleId="MarginIcons">
    <w:name w:val="Margin Icons"/>
    <w:basedOn w:val="BodyText"/>
    <w:rsid w:val="003D4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C88"/>
    <w:rPr>
      <w:rFonts w:ascii="Courier New" w:hAnsi="Courier New"/>
    </w:rPr>
  </w:style>
  <w:style w:type="paragraph" w:customStyle="1" w:styleId="NoteBullet">
    <w:name w:val="Note Bullet"/>
    <w:basedOn w:val="Note"/>
    <w:rsid w:val="003D4C88"/>
    <w:pPr>
      <w:tabs>
        <w:tab w:val="clear" w:pos="680"/>
      </w:tabs>
      <w:spacing w:before="60" w:after="60"/>
    </w:pPr>
  </w:style>
  <w:style w:type="paragraph" w:customStyle="1" w:styleId="SubHeading2">
    <w:name w:val="SubHeading2"/>
    <w:basedOn w:val="HeadingBase"/>
    <w:rsid w:val="003D4C88"/>
    <w:pPr>
      <w:spacing w:before="240" w:after="60"/>
    </w:pPr>
    <w:rPr>
      <w:sz w:val="20"/>
    </w:rPr>
  </w:style>
  <w:style w:type="paragraph" w:customStyle="1" w:styleId="SubHeading1">
    <w:name w:val="SubHeading1"/>
    <w:basedOn w:val="HeadingBase"/>
    <w:rsid w:val="003D4C88"/>
    <w:pPr>
      <w:spacing w:before="240" w:after="60"/>
    </w:pPr>
    <w:rPr>
      <w:color w:val="918585"/>
      <w:sz w:val="22"/>
    </w:rPr>
  </w:style>
  <w:style w:type="paragraph" w:customStyle="1" w:styleId="SideHeading">
    <w:name w:val="Side Heading"/>
    <w:basedOn w:val="HeadingBase"/>
    <w:rsid w:val="003D4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C88"/>
    <w:pPr>
      <w:numPr>
        <w:numId w:val="12"/>
      </w:numPr>
    </w:pPr>
  </w:style>
  <w:style w:type="paragraph" w:styleId="PlainText">
    <w:name w:val="Plain Text"/>
    <w:basedOn w:val="Normal"/>
    <w:link w:val="PlainTextChar"/>
    <w:rsid w:val="003D4C88"/>
    <w:rPr>
      <w:sz w:val="20"/>
    </w:rPr>
  </w:style>
  <w:style w:type="character" w:customStyle="1" w:styleId="PlainTextChar">
    <w:name w:val="Plain Text Char"/>
    <w:basedOn w:val="DefaultParagraphFont"/>
    <w:link w:val="PlainText"/>
    <w:rsid w:val="003D4C88"/>
    <w:rPr>
      <w:rFonts w:ascii="Courier New" w:eastAsia="Times New Roman" w:hAnsi="Courier New" w:cs="Times New Roman"/>
      <w:sz w:val="20"/>
      <w:szCs w:val="20"/>
      <w:lang w:eastAsia="en-US"/>
    </w:rPr>
  </w:style>
  <w:style w:type="character" w:customStyle="1" w:styleId="MenuOption">
    <w:name w:val="Menu Option"/>
    <w:basedOn w:val="DefaultParagraphFont"/>
    <w:rsid w:val="003D4C88"/>
    <w:rPr>
      <w:b/>
      <w:smallCaps/>
    </w:rPr>
  </w:style>
  <w:style w:type="paragraph" w:customStyle="1" w:styleId="TableListNumber">
    <w:name w:val="Table List Number"/>
    <w:basedOn w:val="ListNumber"/>
    <w:rsid w:val="003D4C88"/>
    <w:pPr>
      <w:numPr>
        <w:numId w:val="0"/>
      </w:numPr>
    </w:pPr>
  </w:style>
  <w:style w:type="paragraph" w:styleId="TOC4">
    <w:name w:val="toc 4"/>
    <w:basedOn w:val="TOCBase"/>
    <w:next w:val="Normal"/>
    <w:semiHidden/>
    <w:rsid w:val="003D4C88"/>
    <w:pPr>
      <w:tabs>
        <w:tab w:val="right" w:leader="dot" w:pos="9071"/>
      </w:tabs>
      <w:ind w:left="1701"/>
    </w:pPr>
  </w:style>
  <w:style w:type="paragraph" w:customStyle="1" w:styleId="ListAlpha">
    <w:name w:val="List Alpha"/>
    <w:basedOn w:val="List"/>
    <w:rsid w:val="003D4C88"/>
    <w:pPr>
      <w:numPr>
        <w:numId w:val="9"/>
      </w:numPr>
    </w:pPr>
  </w:style>
  <w:style w:type="paragraph" w:customStyle="1" w:styleId="ListAlpha2">
    <w:name w:val="List Alpha 2"/>
    <w:basedOn w:val="List2"/>
    <w:rsid w:val="003D4C88"/>
    <w:pPr>
      <w:numPr>
        <w:numId w:val="8"/>
      </w:numPr>
    </w:pPr>
  </w:style>
  <w:style w:type="paragraph" w:styleId="List2">
    <w:name w:val="List 2"/>
    <w:basedOn w:val="BodyText"/>
    <w:rsid w:val="003D4C88"/>
    <w:pPr>
      <w:tabs>
        <w:tab w:val="left" w:pos="680"/>
      </w:tabs>
      <w:spacing w:before="60" w:after="60"/>
      <w:ind w:left="680" w:hanging="340"/>
    </w:pPr>
  </w:style>
  <w:style w:type="paragraph" w:styleId="List3">
    <w:name w:val="List 3"/>
    <w:basedOn w:val="BodyText"/>
    <w:rsid w:val="003D4C88"/>
    <w:pPr>
      <w:tabs>
        <w:tab w:val="left" w:pos="1021"/>
      </w:tabs>
      <w:spacing w:before="60" w:after="60"/>
      <w:ind w:left="1020" w:hanging="340"/>
    </w:pPr>
  </w:style>
  <w:style w:type="paragraph" w:styleId="List4">
    <w:name w:val="List 4"/>
    <w:basedOn w:val="BodyText"/>
    <w:rsid w:val="003D4C88"/>
    <w:pPr>
      <w:tabs>
        <w:tab w:val="left" w:pos="1361"/>
      </w:tabs>
      <w:spacing w:before="60" w:after="60"/>
      <w:ind w:left="1361" w:hanging="340"/>
    </w:pPr>
  </w:style>
  <w:style w:type="paragraph" w:styleId="List5">
    <w:name w:val="List 5"/>
    <w:basedOn w:val="BodyText"/>
    <w:rsid w:val="003D4C88"/>
    <w:pPr>
      <w:tabs>
        <w:tab w:val="left" w:pos="1701"/>
      </w:tabs>
      <w:spacing w:before="60" w:after="60"/>
      <w:ind w:left="1701" w:hanging="340"/>
    </w:pPr>
  </w:style>
  <w:style w:type="paragraph" w:styleId="ListBullet3">
    <w:name w:val="List Bullet 3"/>
    <w:basedOn w:val="List3"/>
    <w:rsid w:val="003D4C88"/>
    <w:pPr>
      <w:numPr>
        <w:numId w:val="15"/>
      </w:numPr>
      <w:tabs>
        <w:tab w:val="clear" w:pos="1021"/>
      </w:tabs>
      <w:ind w:left="1037" w:hanging="357"/>
    </w:pPr>
  </w:style>
  <w:style w:type="paragraph" w:styleId="ListBullet4">
    <w:name w:val="List Bullet 4"/>
    <w:basedOn w:val="List4"/>
    <w:rsid w:val="003D4C88"/>
    <w:pPr>
      <w:numPr>
        <w:numId w:val="3"/>
      </w:numPr>
      <w:tabs>
        <w:tab w:val="clear" w:pos="1361"/>
      </w:tabs>
    </w:pPr>
  </w:style>
  <w:style w:type="paragraph" w:styleId="ListBullet5">
    <w:name w:val="List Bullet 5"/>
    <w:basedOn w:val="List5"/>
    <w:rsid w:val="003D4C88"/>
    <w:pPr>
      <w:numPr>
        <w:numId w:val="4"/>
      </w:numPr>
    </w:pPr>
  </w:style>
  <w:style w:type="paragraph" w:styleId="ListContinue2">
    <w:name w:val="List Continue 2"/>
    <w:basedOn w:val="List2"/>
    <w:rsid w:val="003D4C88"/>
    <w:pPr>
      <w:ind w:firstLine="0"/>
    </w:pPr>
  </w:style>
  <w:style w:type="paragraph" w:styleId="ListContinue3">
    <w:name w:val="List Continue 3"/>
    <w:basedOn w:val="List3"/>
    <w:rsid w:val="003D4C88"/>
    <w:pPr>
      <w:ind w:left="1021" w:firstLine="0"/>
    </w:pPr>
  </w:style>
  <w:style w:type="paragraph" w:styleId="ListContinue4">
    <w:name w:val="List Continue 4"/>
    <w:basedOn w:val="List4"/>
    <w:rsid w:val="003D4C88"/>
    <w:pPr>
      <w:ind w:firstLine="0"/>
    </w:pPr>
  </w:style>
  <w:style w:type="paragraph" w:styleId="ListContinue5">
    <w:name w:val="List Continue 5"/>
    <w:basedOn w:val="List5"/>
    <w:rsid w:val="003D4C88"/>
    <w:pPr>
      <w:ind w:firstLine="0"/>
    </w:pPr>
  </w:style>
  <w:style w:type="paragraph" w:styleId="ListNumber3">
    <w:name w:val="List Number 3"/>
    <w:basedOn w:val="List3"/>
    <w:rsid w:val="003D4C88"/>
    <w:pPr>
      <w:numPr>
        <w:numId w:val="5"/>
      </w:numPr>
    </w:pPr>
  </w:style>
  <w:style w:type="paragraph" w:styleId="ListNumber4">
    <w:name w:val="List Number 4"/>
    <w:basedOn w:val="List4"/>
    <w:rsid w:val="003D4C88"/>
    <w:pPr>
      <w:numPr>
        <w:numId w:val="6"/>
      </w:numPr>
    </w:pPr>
  </w:style>
  <w:style w:type="paragraph" w:styleId="ListNumber5">
    <w:name w:val="List Number 5"/>
    <w:basedOn w:val="List5"/>
    <w:rsid w:val="003D4C88"/>
    <w:pPr>
      <w:numPr>
        <w:numId w:val="7"/>
      </w:numPr>
    </w:pPr>
  </w:style>
  <w:style w:type="paragraph" w:styleId="BlockText">
    <w:name w:val="Block Text"/>
    <w:basedOn w:val="Normal"/>
    <w:rsid w:val="003D4C88"/>
    <w:pPr>
      <w:spacing w:after="120"/>
      <w:ind w:left="1440" w:right="1440"/>
    </w:pPr>
  </w:style>
  <w:style w:type="character" w:customStyle="1" w:styleId="Subscript">
    <w:name w:val="Subscript"/>
    <w:basedOn w:val="DefaultParagraphFont"/>
    <w:rsid w:val="003D4C88"/>
    <w:rPr>
      <w:sz w:val="16"/>
      <w:vertAlign w:val="subscript"/>
    </w:rPr>
  </w:style>
  <w:style w:type="character" w:customStyle="1" w:styleId="Superscript">
    <w:name w:val="Superscript"/>
    <w:basedOn w:val="DefaultParagraphFont"/>
    <w:rsid w:val="003D4C88"/>
    <w:rPr>
      <w:sz w:val="16"/>
      <w:vertAlign w:val="superscript"/>
    </w:rPr>
  </w:style>
  <w:style w:type="character" w:customStyle="1" w:styleId="Symbols">
    <w:name w:val="Symbols"/>
    <w:basedOn w:val="DefaultParagraphFont"/>
    <w:rsid w:val="003D4C88"/>
    <w:rPr>
      <w:rFonts w:ascii="Symbol" w:hAnsi="Symbol"/>
    </w:rPr>
  </w:style>
  <w:style w:type="character" w:customStyle="1" w:styleId="MenuOptions">
    <w:name w:val="Menu Options"/>
    <w:basedOn w:val="DefaultParagraphFont"/>
    <w:rsid w:val="003D4C88"/>
    <w:rPr>
      <w:rFonts w:ascii="Arial Narrow" w:hAnsi="Arial Narrow"/>
      <w:smallCaps/>
    </w:rPr>
  </w:style>
  <w:style w:type="character" w:customStyle="1" w:styleId="Buttons">
    <w:name w:val="Buttons"/>
    <w:basedOn w:val="DefaultParagraphFont"/>
    <w:rsid w:val="003D4C88"/>
    <w:rPr>
      <w:b/>
    </w:rPr>
  </w:style>
  <w:style w:type="character" w:customStyle="1" w:styleId="Underlined">
    <w:name w:val="Underlined"/>
    <w:basedOn w:val="DefaultParagraphFont"/>
    <w:rsid w:val="003D4C88"/>
    <w:rPr>
      <w:u w:val="single"/>
    </w:rPr>
  </w:style>
  <w:style w:type="paragraph" w:customStyle="1" w:styleId="TableBodyTextRight">
    <w:name w:val="Table Body Text Right"/>
    <w:basedOn w:val="TableBodyText"/>
    <w:rsid w:val="003D4C88"/>
    <w:pPr>
      <w:widowControl w:val="0"/>
      <w:autoSpaceDE w:val="0"/>
      <w:autoSpaceDN w:val="0"/>
      <w:adjustRightInd w:val="0"/>
      <w:jc w:val="right"/>
    </w:pPr>
    <w:rPr>
      <w:rFonts w:cs="Arial"/>
      <w:szCs w:val="18"/>
    </w:rPr>
  </w:style>
  <w:style w:type="paragraph" w:customStyle="1" w:styleId="CopyrightText">
    <w:name w:val="Copyright Text"/>
    <w:basedOn w:val="BodyText"/>
    <w:rsid w:val="003D4C88"/>
    <w:rPr>
      <w:sz w:val="18"/>
    </w:rPr>
  </w:style>
  <w:style w:type="paragraph" w:customStyle="1" w:styleId="BodySmallRight">
    <w:name w:val="Body Small Right"/>
    <w:basedOn w:val="BodyTextRight"/>
    <w:rsid w:val="003D4C88"/>
    <w:rPr>
      <w:sz w:val="18"/>
      <w:szCs w:val="18"/>
    </w:rPr>
  </w:style>
  <w:style w:type="paragraph" w:customStyle="1" w:styleId="MarginEdition">
    <w:name w:val="Margin Edition"/>
    <w:basedOn w:val="MarginNote"/>
    <w:rsid w:val="003D4C88"/>
    <w:pPr>
      <w:spacing w:before="0" w:after="0"/>
    </w:pPr>
    <w:rPr>
      <w:rFonts w:ascii="Times New Roman" w:hAnsi="Times New Roman"/>
      <w:color w:val="999999"/>
    </w:rPr>
  </w:style>
  <w:style w:type="paragraph" w:customStyle="1" w:styleId="Spacer">
    <w:name w:val="Spacer"/>
    <w:basedOn w:val="Normal"/>
    <w:rsid w:val="003D4C88"/>
    <w:rPr>
      <w:sz w:val="2"/>
      <w:szCs w:val="2"/>
    </w:rPr>
  </w:style>
  <w:style w:type="character" w:customStyle="1" w:styleId="Small">
    <w:name w:val="Small"/>
    <w:basedOn w:val="DefaultParagraphFont"/>
    <w:rsid w:val="003D4C88"/>
    <w:rPr>
      <w:sz w:val="16"/>
    </w:rPr>
  </w:style>
  <w:style w:type="paragraph" w:customStyle="1" w:styleId="WideTable">
    <w:name w:val="Wide Table"/>
    <w:basedOn w:val="Normal"/>
    <w:rsid w:val="003D4C88"/>
    <w:pPr>
      <w:ind w:left="-1418"/>
    </w:pPr>
    <w:rPr>
      <w:sz w:val="2"/>
      <w:szCs w:val="2"/>
    </w:rPr>
  </w:style>
  <w:style w:type="character" w:styleId="PageNumber">
    <w:name w:val="page number"/>
    <w:basedOn w:val="DefaultParagraphFont"/>
    <w:rsid w:val="003D4C88"/>
  </w:style>
  <w:style w:type="paragraph" w:styleId="Quote">
    <w:name w:val="Quote"/>
    <w:basedOn w:val="Heading1"/>
    <w:link w:val="QuoteChar"/>
    <w:qFormat/>
    <w:rsid w:val="003D4C88"/>
    <w:rPr>
      <w:b w:val="0"/>
      <w:sz w:val="72"/>
      <w:szCs w:val="72"/>
      <w:lang w:val="en-NZ"/>
    </w:rPr>
  </w:style>
  <w:style w:type="character" w:customStyle="1" w:styleId="QuoteChar">
    <w:name w:val="Quote Char"/>
    <w:basedOn w:val="DefaultParagraphFont"/>
    <w:link w:val="Quote"/>
    <w:rsid w:val="003D4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C88"/>
    <w:pPr>
      <w:pageBreakBefore/>
    </w:pPr>
  </w:style>
  <w:style w:type="paragraph" w:customStyle="1" w:styleId="Border">
    <w:name w:val="Border"/>
    <w:basedOn w:val="Normal"/>
    <w:qFormat/>
    <w:rsid w:val="003D4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C88"/>
    <w:rPr>
      <w:b/>
      <w:bCs/>
      <w:i/>
      <w:iCs/>
      <w:color w:val="auto"/>
    </w:rPr>
  </w:style>
  <w:style w:type="paragraph" w:styleId="IntenseQuote">
    <w:name w:val="Intense Quote"/>
    <w:basedOn w:val="Normal"/>
    <w:next w:val="Normal"/>
    <w:link w:val="IntenseQuoteChar"/>
    <w:uiPriority w:val="30"/>
    <w:qFormat/>
    <w:rsid w:val="003D4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C88"/>
    <w:rPr>
      <w:smallCaps/>
      <w:color w:val="auto"/>
      <w:u w:val="single"/>
    </w:rPr>
  </w:style>
  <w:style w:type="character" w:styleId="IntenseReference">
    <w:name w:val="Intense Reference"/>
    <w:basedOn w:val="DefaultParagraphFont"/>
    <w:uiPriority w:val="32"/>
    <w:qFormat/>
    <w:rsid w:val="003D4C88"/>
    <w:rPr>
      <w:b/>
      <w:bCs/>
      <w:smallCaps/>
      <w:color w:val="auto"/>
      <w:spacing w:val="5"/>
      <w:u w:val="single"/>
    </w:rPr>
  </w:style>
  <w:style w:type="paragraph" w:customStyle="1" w:styleId="2ColumnHeading">
    <w:name w:val="2Column Heading"/>
    <w:basedOn w:val="BodyText"/>
    <w:qFormat/>
    <w:rsid w:val="003D4C88"/>
    <w:pPr>
      <w:spacing w:after="60"/>
      <w:ind w:left="-2268"/>
    </w:pPr>
    <w:rPr>
      <w:b/>
    </w:rPr>
  </w:style>
  <w:style w:type="paragraph" w:customStyle="1" w:styleId="Heading1TOC">
    <w:name w:val="Heading1 TOC"/>
    <w:basedOn w:val="Normal"/>
    <w:qFormat/>
    <w:rsid w:val="003D4C88"/>
    <w:pPr>
      <w:spacing w:before="240" w:after="120"/>
    </w:pPr>
    <w:rPr>
      <w:rFonts w:ascii="Times New Roman" w:hAnsi="Times New Roman"/>
      <w:b/>
      <w:sz w:val="32"/>
    </w:rPr>
  </w:style>
  <w:style w:type="paragraph" w:customStyle="1" w:styleId="Heading2TOC">
    <w:name w:val="Heading2 TOC"/>
    <w:basedOn w:val="Normal"/>
    <w:qFormat/>
    <w:rsid w:val="003D4C88"/>
    <w:pPr>
      <w:spacing w:before="240" w:after="60"/>
    </w:pPr>
    <w:rPr>
      <w:rFonts w:ascii="Times New Roman" w:hAnsi="Times New Roman"/>
      <w:b/>
      <w:sz w:val="28"/>
    </w:rPr>
  </w:style>
  <w:style w:type="character" w:customStyle="1" w:styleId="Underline">
    <w:name w:val="Underline"/>
    <w:basedOn w:val="DefaultParagraphFont"/>
    <w:qFormat/>
    <w:rsid w:val="003D4C88"/>
    <w:rPr>
      <w:u w:val="single"/>
    </w:rPr>
  </w:style>
  <w:style w:type="character" w:customStyle="1" w:styleId="BoldandItalics">
    <w:name w:val="Bold and Italics"/>
    <w:qFormat/>
    <w:rsid w:val="003D4C88"/>
    <w:rPr>
      <w:b/>
      <w:i/>
      <w:u w:val="none"/>
    </w:rPr>
  </w:style>
  <w:style w:type="paragraph" w:styleId="BalloonText">
    <w:name w:val="Balloon Text"/>
    <w:basedOn w:val="Normal"/>
    <w:link w:val="BalloonTextChar"/>
    <w:rsid w:val="003D4C88"/>
    <w:rPr>
      <w:rFonts w:ascii="Tahoma" w:hAnsi="Tahoma" w:cs="Tahoma"/>
      <w:sz w:val="16"/>
      <w:szCs w:val="16"/>
    </w:rPr>
  </w:style>
  <w:style w:type="character" w:customStyle="1" w:styleId="BalloonTextChar">
    <w:name w:val="Balloon Text Char"/>
    <w:basedOn w:val="DefaultParagraphFont"/>
    <w:link w:val="BalloonText"/>
    <w:rsid w:val="003D4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C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C88"/>
    <w:rPr>
      <w:b/>
      <w:color w:val="660033"/>
      <w:spacing w:val="0"/>
    </w:rPr>
  </w:style>
  <w:style w:type="paragraph" w:customStyle="1" w:styleId="Nameditemlist">
    <w:name w:val="Named item list"/>
    <w:basedOn w:val="BodyText"/>
    <w:qFormat/>
    <w:rsid w:val="003D4C88"/>
    <w:pPr>
      <w:tabs>
        <w:tab w:val="left" w:pos="2835"/>
      </w:tabs>
      <w:ind w:left="2835" w:hanging="2835"/>
    </w:pPr>
  </w:style>
  <w:style w:type="paragraph" w:customStyle="1" w:styleId="BodyTextnopadding">
    <w:name w:val="Body Text no padding"/>
    <w:basedOn w:val="BodyText"/>
    <w:qFormat/>
    <w:rsid w:val="003D4C8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4551</Characters>
  <Application>Microsoft Office Word</Application>
  <DocSecurity>0</DocSecurity>
  <Lines>109</Lines>
  <Paragraphs>78</Paragraphs>
  <ScaleCrop>false</ScaleCrop>
  <Company>Author-it Software Corporation Ltd.</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UEGNSG511 Operate gas infrastructure to meet nominated demand</dc:title>
  <dc:subject>Approved</dc:subject>
  <dc:creator>Australian Industry Standards</dc:creator>
  <cp:keywords>Release: 1</cp:keywords>
  <dc:description>Review Date: 12 April 2008</dc:description>
  <cp:lastModifiedBy>HSD_TPCMSd.prod</cp:lastModifiedBy>
  <cp:revision>3</cp:revision>
  <dcterms:created xsi:type="dcterms:W3CDTF">2018-09-05T05:39:00Z</dcterms:created>
  <dcterms:modified xsi:type="dcterms:W3CDTF">2018-09-05T05:39:00Z</dcterms:modified>
</cp:coreProperties>
</file>