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F24" w:rsidP="007B5F24">
      <w:pPr>
        <w:pStyle w:val="Title"/>
      </w:pPr>
      <w:r>
        <w:fldChar w:fldCharType="begin"/>
      </w:r>
      <w:r>
        <w:instrText xml:space="preserve"> TITLE   \* MERGEFORMAT </w:instrText>
      </w:r>
      <w:r>
        <w:fldChar w:fldCharType="separate"/>
      </w:r>
      <w:r>
        <w:t>UEGNSG507 Remotely monitor and operate gas transmission flow and pressure measuring and regulating devices</w:t>
      </w:r>
      <w:r>
        <w:fldChar w:fldCharType="end"/>
      </w:r>
    </w:p>
    <w:p w:rsidR="007B5F24" w:rsidP="007B5F24">
      <w:pPr>
        <w:pStyle w:val="Version"/>
        <w:sectPr w:rsidSect="00DA1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F74" w:rsidP="00DA1F74">
      <w:pPr>
        <w:pStyle w:val="SuperHeading"/>
      </w:pPr>
      <w:r w:rsidRPr="00DA1F74">
        <w:t>UEGNSG507 Remotely monitor and operate gas transmission flow and pressure measuring and regulating devices</w:t>
      </w:r>
    </w:p>
    <w:p w:rsidR="00000000" w:rsidRPr="00DA1F74" w:rsidP="00DA1F74">
      <w:pPr>
        <w:pStyle w:val="Heading1"/>
      </w:pPr>
      <w:bookmarkStart w:id="1" w:name="O_967421"/>
      <w:bookmarkEnd w:id="1"/>
      <w:r w:rsidRPr="00DA1F74">
        <w:t>Modification History</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Release 1. This is the first release of this unit of competency in the UEG Gas Industry Training Package.</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2" w:name="O_967422"/>
      <w:bookmarkEnd w:id="2"/>
      <w:r w:rsidRPr="00DA1F74">
        <w:t>Application</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This unit involves the skills and knowledge required to remotely monitor and operate complex gas flow control and pressure measuring and regulating device to monitor and control gas supply in gas transmission systems in accordan</w:t>
            </w:r>
            <w:r w:rsidRPr="00DA1F74">
              <w:t>ce with relevant legislation, codes of practice, regulations and workplace procedures.</w:t>
            </w:r>
          </w:p>
          <w:p w:rsidR="00000000" w:rsidRPr="00DA1F74" w:rsidP="00DA1F74">
            <w:pPr>
              <w:pStyle w:val="BodyText"/>
            </w:pPr>
            <w:r w:rsidRPr="00DA1F74">
              <w:t xml:space="preserve">It includes remotely monitoring gas flow control and pressure measuring and regulating device system performance by checking and controlling flow and pressure measuring </w:t>
            </w:r>
            <w:r w:rsidRPr="00DA1F74">
              <w:t>device. It also includes recording and reporting regulation of the system, equipment, organisational and statutory requirements.</w:t>
            </w:r>
          </w:p>
          <w:p w:rsidR="00000000" w:rsidRPr="00DA1F74" w:rsidP="00DA1F74">
            <w:pPr>
              <w:pStyle w:val="BodyText"/>
            </w:pPr>
            <w:r w:rsidRPr="00DA1F74">
              <w:t>No licensing, legislative or certification requirements apply to this unit at the time of publication.</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3" w:name="O_967423"/>
      <w:bookmarkEnd w:id="3"/>
      <w:r w:rsidRPr="00DA1F74">
        <w:t>Pre-r</w:t>
      </w:r>
      <w:r w:rsidRPr="00DA1F74">
        <w:t>equisite Unit</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MSS402061 Use SCADA systems in operations</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4" w:name="O_967424"/>
      <w:bookmarkEnd w:id="4"/>
      <w:r w:rsidRPr="00DA1F74">
        <w:t>Competency Field</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Control Centre Discipline</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5" w:name="O_967425"/>
      <w:bookmarkEnd w:id="5"/>
      <w:r w:rsidRPr="00DA1F74">
        <w:t>Unit Sector</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Gas Industry</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6" w:name="O_967426"/>
      <w:bookmarkEnd w:id="6"/>
      <w:r w:rsidRPr="00DA1F7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A1F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PERFORMANCE CRITERIA</w:t>
            </w:r>
          </w:p>
        </w:tc>
      </w:tr>
      <w:tr w:rsidTr="00DA1F7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Performance criteria describe the performance needed to demonstrate achievement of the element.</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rPr>
                <w:rStyle w:val="SpecialBold"/>
              </w:rPr>
              <w:t>Prepare to monitor gas</w:t>
            </w:r>
            <w:r w:rsidRPr="00DA1F74">
              <w:t xml:space="preserve"> </w:t>
            </w:r>
            <w:r w:rsidRPr="00DA1F74">
              <w:rPr>
                <w:rStyle w:val="SpecialBold"/>
              </w:rPr>
              <w:t xml:space="preserve">flow control and pressure </w:t>
            </w:r>
            <w:r w:rsidRPr="00DA1F74">
              <w:rPr>
                <w:rStyle w:val="SpecialBold"/>
              </w:rPr>
              <w:t>measuring and regulating device</w:t>
            </w:r>
            <w:r w:rsidRPr="00DA1F74">
              <w:t xml:space="preserve"> </w:t>
            </w:r>
            <w:r w:rsidRPr="00DA1F74">
              <w:rPr>
                <w:rStyle w:val="SpecialBold"/>
              </w:rPr>
              <w:t>remotely</w:t>
            </w: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 xml:space="preserve">Work requirements for monitoring and operating complex gas flow control, pressure measuring and </w:t>
            </w:r>
            <w:r w:rsidRPr="00DA1F74">
              <w:t>regulating device are interpreted from schedules, plan/s, specifications and instructions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Relevant gas supply monitoring requirements and workplace proce</w:t>
            </w:r>
            <w:r w:rsidRPr="00DA1F74">
              <w:t>dures for work are communicated to relevant person/s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 xml:space="preserve">Work health and safety (WHS)/occupational health and safety (OHS), environmental and sustainable energy workplace policies and procedures related to gas supply </w:t>
            </w:r>
            <w:r w:rsidRPr="00DA1F74">
              <w:t>monitoring and operating of complex gas flow controls are obtained and confirmed</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Work activities are prioritised and sequenced following consultation with relevant person/s for completion within acceptable timeframes and in accordance with workplace</w:t>
            </w:r>
            <w:r w:rsidRPr="00DA1F74">
              <w:t xml:space="preserv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 xml:space="preserve">WHS/OHS and environmental risk control measures for identified hazards are prioritised, implemented and monitored </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Relevant work permits are obtained to access, isolate/de-energise systems, as required, and work activities perform</w:t>
            </w:r>
            <w:r w:rsidRPr="00DA1F74">
              <w:t>ed in accordance with job requirements and workplace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Liaison and communication with authorised person/s, authorities, clients and land owners are undertaken to resolve gas supply issues and work activities monitored in accordance with wor</w:t>
            </w:r>
            <w:r w:rsidRPr="00DA1F74">
              <w:t>kplace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Person/s participating in work activities are fully briefed and respective responsibilities confirmed, as required, in accordance with workplace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Third-party issues are referred to appropriate person/s in accordance with workplace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rPr>
                <w:rStyle w:val="SpecialBold"/>
              </w:rPr>
              <w:t>Monitor gas</w:t>
            </w:r>
            <w:r w:rsidRPr="00DA1F74">
              <w:t xml:space="preserve"> </w:t>
            </w:r>
            <w:r w:rsidRPr="00DA1F74">
              <w:rPr>
                <w:rStyle w:val="SpecialBold"/>
              </w:rPr>
              <w:t>flow control and pressure measuring and regulating device system performance</w:t>
            </w:r>
            <w:r w:rsidRPr="00DA1F74">
              <w:t xml:space="preserve"> </w:t>
            </w:r>
            <w:r w:rsidRPr="00DA1F74">
              <w:rPr>
                <w:rStyle w:val="SpecialBold"/>
              </w:rPr>
              <w:t>remotely</w:t>
            </w: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WHS/OHS and environmental workplace policies, procedures and safe work practices are followed to eliminate or minimise risk of harm from incidents and hazards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Information on gas supply device and equipment performance is collected and reported in ac</w:t>
            </w:r>
            <w:r w:rsidRPr="00DA1F74">
              <w:t>cordance with organisational requirements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Dealings with customers are consistent with workplace procedures and the specific needs of customer/s are identified and considered in targeting client service</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Routine che</w:t>
            </w:r>
            <w:r w:rsidRPr="00DA1F74">
              <w:t>cks of system are scheduled and monitored in accordance with the work schedule and workplace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Hazard warnings and safety signs are recognised and hazards are identified, assessed and WHS/OHS risks are reported to the authorised person/s fo</w:t>
            </w:r>
            <w:r w:rsidRPr="00DA1F74">
              <w:t>r directions in accordance with workplace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System performance data and usage is collected, analysed and reported with any unplanned events from remote monitoring operation of complex gas flow control in accordance with workplace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Samples are taken in accordance with workplace procedures and known solutions to a variety of problems are applied</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Ongoing checks of quality of work are undertaken in accordance with given instructions and workplace procedures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rPr>
                <w:rStyle w:val="SpecialBold"/>
              </w:rPr>
              <w:t>Control and adjust gas flows and complete records and reports</w:t>
            </w: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Gas flow and overflow regulating systems are checked and adjusted to meet demand and customer requirements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Incidents and injuries are reported in accordance with workplace procedures,</w:t>
            </w:r>
            <w:r w:rsidRPr="00DA1F74">
              <w:t xml:space="preserve"> as required</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Gas flows and diversion/s are determined to facilitate repair or emergency activities in accordance with organisational requirements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Process faults and operational conditions of the gas transmission system are identified, addressed and reported in accordance with organisational requirements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Relevant work permit/s are signed off in accordance with job requirements</w:t>
            </w:r>
          </w:p>
        </w:tc>
      </w:tr>
      <w:tr w:rsidTr="00DA1F7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1F7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Work comp</w:t>
            </w:r>
            <w:r w:rsidRPr="00DA1F74">
              <w:t>letion records, reports and documentation are finalised and processed and appropriate person/s notified</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7" w:name="O_967427"/>
      <w:bookmarkEnd w:id="7"/>
      <w:r w:rsidRPr="00DA1F74">
        <w:t>Foundation Skills</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Foundation skills essential to performance are explicit in the performance criteria of this unit of competency.</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8" w:name="O_967428"/>
      <w:bookmarkEnd w:id="8"/>
      <w:r w:rsidRPr="00DA1F74">
        <w:t>Range of Conditions</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Range is restricted to essential operating conditions and any other variables essential to the work environment.</w:t>
            </w:r>
          </w:p>
          <w:p w:rsidR="00000000" w:rsidRPr="00DA1F74" w:rsidP="00DA1F74">
            <w:pPr>
              <w:pStyle w:val="BodyText"/>
            </w:pPr>
            <w:r w:rsidRPr="00DA1F74">
              <w:t>Non-essential conditions may be found in the Companion Volume Implementation Guide.</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9" w:name="O_967429"/>
      <w:bookmarkEnd w:id="9"/>
      <w:r w:rsidRPr="00DA1F74">
        <w:t>Unit</w:t>
      </w:r>
      <w:r w:rsidRPr="00DA1F74">
        <w:t xml:space="preserve"> Mapping Information</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This unit replaces and is equivalent to UEGNSG507A Remotely monitor and operate gas transmission flow and pressure measuring and regulating devices.</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10" w:name="O_967436"/>
      <w:bookmarkEnd w:id="10"/>
      <w:r w:rsidRPr="00DA1F74">
        <w:t>Links</w:t>
      </w:r>
    </w:p>
    <w:p w:rsidR="00000000" w:rsidRPr="00DA1F74" w:rsidP="007B5F24">
      <w:pPr>
        <w:pStyle w:val="BodyText"/>
      </w:pPr>
      <w:r w:rsidRPr="00DA1F7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93A54">
        <w:rPr>
          <w:rStyle w:val="Hyperlink"/>
        </w:rPr>
        <w:t>https://vetnet.gov.au/Pages/TrainingDocs.aspx?q=6a6c032e-ffcb-4f3d-8063-415efbd261e8</w:t>
      </w:r>
      <w:r>
        <w:fldChar w:fldCharType="end"/>
      </w:r>
    </w:p>
    <w:p w:rsidR="00000000" w:rsidRPr="00DA1F74" w:rsidP="007B5F24">
      <w:pPr>
        <w:pStyle w:val="BodyText"/>
        <w:sectPr w:rsidSect="00DA1F74">
          <w:headerReference w:type="default" r:id="rId10"/>
          <w:footerReference w:type="default" r:id="rId11"/>
          <w:pgSz w:w="11908" w:h="16833"/>
          <w:pgMar w:top="1702" w:right="1418" w:bottom="1702" w:left="1418" w:header="992" w:footer="992" w:gutter="0"/>
          <w:cols w:space="720"/>
          <w:noEndnote/>
          <w:docGrid w:linePitch="299"/>
        </w:sectPr>
      </w:pPr>
    </w:p>
    <w:p w:rsidR="00000000" w:rsidRPr="00DA1F74" w:rsidP="00DA1F74">
      <w:pPr>
        <w:pStyle w:val="SuperHeading"/>
      </w:pPr>
      <w:r w:rsidRPr="00DA1F74">
        <w:t xml:space="preserve">Assessment </w:t>
      </w:r>
      <w:r w:rsidRPr="00DA1F74">
        <w:t>Requirements for UEGNSG507 Remotely monitor and operate gas transmission flow and pressure measuring and regulating devices</w:t>
      </w:r>
    </w:p>
    <w:p w:rsidR="00000000" w:rsidRPr="00DA1F74" w:rsidP="00DA1F74">
      <w:pPr>
        <w:pStyle w:val="Heading1"/>
      </w:pPr>
      <w:bookmarkStart w:id="11" w:name="O_967431"/>
      <w:bookmarkEnd w:id="11"/>
      <w:r w:rsidRPr="00DA1F74">
        <w:t>Modification History</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Release 1. This is the first release of this unit of competency in the UEG Gas Industry Training Package.</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12" w:name="O_967432"/>
      <w:bookmarkEnd w:id="12"/>
      <w:r w:rsidRPr="00DA1F74">
        <w:t>Performance Evidence</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Evidence required to demonstrate competence in this unit must be relevant to and satisfy all of the requiremen</w:t>
            </w:r>
            <w:r w:rsidRPr="00DA1F74">
              <w:t xml:space="preserve">ts of the elements and performance criteria on at least two separate occasions and include: </w:t>
            </w:r>
          </w:p>
        </w:tc>
      </w:tr>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ListBullet"/>
            </w:pPr>
            <w:r w:rsidRPr="00DA1F74">
              <w:t>applying relevant work health and safety (WHS)/occupational health and safety (OHS) requirements, including:</w:t>
            </w:r>
          </w:p>
          <w:p w:rsidR="00000000" w:rsidRPr="00DA1F74" w:rsidP="00DA1F74">
            <w:pPr>
              <w:pStyle w:val="ListBullet2"/>
            </w:pPr>
            <w:r w:rsidRPr="00DA1F74">
              <w:t>workplace procedures and practices</w:t>
            </w:r>
          </w:p>
          <w:p w:rsidR="00000000" w:rsidRPr="00DA1F74" w:rsidP="00DA1F74">
            <w:pPr>
              <w:pStyle w:val="ListBullet2"/>
            </w:pPr>
            <w:r w:rsidRPr="00DA1F74">
              <w:t>using risk control measures</w:t>
            </w:r>
          </w:p>
          <w:p w:rsidR="00000000" w:rsidRPr="00DA1F74" w:rsidP="00DA1F74">
            <w:pPr>
              <w:pStyle w:val="ListBullet"/>
            </w:pPr>
            <w:r w:rsidRPr="00DA1F74">
              <w:t>applying sustainable energy principles and practices</w:t>
            </w:r>
          </w:p>
          <w:p w:rsidR="00000000" w:rsidRPr="00DA1F74" w:rsidP="00DA1F74">
            <w:pPr>
              <w:pStyle w:val="ListBullet"/>
            </w:pPr>
            <w:r w:rsidRPr="00DA1F74">
              <w:t>completing records and reports</w:t>
            </w:r>
          </w:p>
          <w:p w:rsidR="00000000" w:rsidRPr="00DA1F74" w:rsidP="00DA1F74">
            <w:pPr>
              <w:pStyle w:val="ListBullet"/>
            </w:pPr>
            <w:r w:rsidRPr="00DA1F74">
              <w:t>controlling and adjusting gas supply flow remotely</w:t>
            </w:r>
          </w:p>
          <w:p w:rsidR="00000000" w:rsidRPr="00DA1F74" w:rsidP="00DA1F74">
            <w:pPr>
              <w:pStyle w:val="ListBullet"/>
            </w:pPr>
            <w:r w:rsidRPr="00DA1F74">
              <w:t>dealing effectively with unplanned events in accordance with workplace procedures in a manne</w:t>
            </w:r>
            <w:r w:rsidRPr="00DA1F74">
              <w:t>r that minimises risk to personnel and equipment</w:t>
            </w:r>
          </w:p>
          <w:p w:rsidR="00000000" w:rsidRPr="00DA1F74" w:rsidP="00DA1F74">
            <w:pPr>
              <w:pStyle w:val="ListBullet"/>
            </w:pPr>
            <w:r w:rsidRPr="00DA1F74">
              <w:t>monitoring remotely and operating of gas flow control and pressure measuring and regulating devices for gas pressure and flow control in gas transmission systems in accordance with relevant legislation, code</w:t>
            </w:r>
            <w:r w:rsidRPr="00DA1F74">
              <w:t>s of practice, regulations and workplace procedures.</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13" w:name="O_967433"/>
      <w:bookmarkEnd w:id="13"/>
      <w:r w:rsidRPr="00DA1F74">
        <w:t>Knowledge Evidence</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1F74">
            <w:pPr>
              <w:pStyle w:val="BodyText"/>
              <w:rPr>
                <w:lang w:val="en-NZ"/>
              </w:rPr>
            </w:pPr>
            <w:r w:rsidRPr="00DA1F74">
              <w:t xml:space="preserve">Evidence required to demonstrate competence in this unit must be relevant to and satisfy all of the requirements of the elements and performance criteria and </w:t>
            </w:r>
            <w:r w:rsidRPr="00DA1F74">
              <w:t xml:space="preserve">include knowledge of: </w:t>
            </w:r>
          </w:p>
        </w:tc>
      </w:tr>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ListBullet"/>
            </w:pPr>
            <w:r w:rsidRPr="00DA1F74">
              <w:t>gas conditioning and monitoring equipment, including principles of operation, fault finding, adjustments, replacement and minor repairs</w:t>
            </w:r>
          </w:p>
          <w:p w:rsidR="00000000" w:rsidRPr="00DA1F74" w:rsidP="00DA1F74">
            <w:pPr>
              <w:pStyle w:val="ListBullet"/>
            </w:pPr>
            <w:r w:rsidRPr="00DA1F74">
              <w:t>gas facilities/station venting, purging and pressurisation operations</w:t>
            </w:r>
          </w:p>
          <w:p w:rsidR="00000000" w:rsidRPr="00DA1F74" w:rsidP="00DA1F74">
            <w:pPr>
              <w:pStyle w:val="ListBullet"/>
            </w:pPr>
            <w:r w:rsidRPr="00DA1F74">
              <w:t>gas flow measurement equi</w:t>
            </w:r>
            <w:r w:rsidRPr="00DA1F74">
              <w:t>pment types</w:t>
            </w:r>
          </w:p>
          <w:p w:rsidR="00000000" w:rsidRPr="00DA1F74" w:rsidP="00DA1F74">
            <w:pPr>
              <w:pStyle w:val="ListBullet"/>
            </w:pPr>
            <w:r w:rsidRPr="00DA1F74">
              <w:t>gas pressure control equipment, including principles of operation</w:t>
            </w:r>
          </w:p>
          <w:p w:rsidR="00000000" w:rsidRPr="00DA1F74" w:rsidP="00DA1F74">
            <w:pPr>
              <w:pStyle w:val="ListBullet"/>
            </w:pPr>
            <w:r w:rsidRPr="00DA1F74">
              <w:t>gas transmission pipeline flow control, pressure, measuring and regulating devices</w:t>
            </w:r>
          </w:p>
          <w:p w:rsidR="00000000" w:rsidRPr="00DA1F74" w:rsidP="00DA1F74">
            <w:pPr>
              <w:pStyle w:val="ListBullet"/>
            </w:pPr>
            <w:r w:rsidRPr="00DA1F74">
              <w:t>gas transmission systems relevant legislation, codes of practice and regulations</w:t>
            </w:r>
          </w:p>
          <w:p w:rsidR="00000000" w:rsidRPr="00DA1F74" w:rsidP="00DA1F74">
            <w:pPr>
              <w:pStyle w:val="ListBullet"/>
            </w:pPr>
            <w:r w:rsidRPr="00DA1F74">
              <w:t>monitoring and</w:t>
            </w:r>
            <w:r w:rsidRPr="00DA1F74">
              <w:t xml:space="preserve"> operating complex flow control, measuring and regulating devices on gas transmission systems</w:t>
            </w:r>
          </w:p>
          <w:p w:rsidR="00000000" w:rsidRPr="00DA1F74" w:rsidP="00DA1F74">
            <w:pPr>
              <w:pStyle w:val="ListBullet"/>
            </w:pPr>
            <w:r w:rsidRPr="00DA1F74">
              <w:t>principles of control systems used in monitoring and control of applicable organisational gas infrastructure</w:t>
            </w:r>
          </w:p>
          <w:p w:rsidR="00000000" w:rsidRPr="00DA1F74" w:rsidP="00DA1F74">
            <w:pPr>
              <w:pStyle w:val="ListBullet"/>
            </w:pPr>
            <w:r w:rsidRPr="00DA1F74">
              <w:t>relevant manufacturer specifications, manuals and pro</w:t>
            </w:r>
            <w:r w:rsidRPr="00DA1F74">
              <w:t>cedures</w:t>
            </w:r>
          </w:p>
          <w:p w:rsidR="00000000" w:rsidRPr="00DA1F74" w:rsidP="00DA1F74">
            <w:pPr>
              <w:pStyle w:val="ListBullet"/>
            </w:pPr>
            <w:r w:rsidRPr="00DA1F74">
              <w:t>relevant safe work method statements (SWMS)/job safety assessments or risk mitigation processes including safe working practices</w:t>
            </w:r>
          </w:p>
          <w:p w:rsidR="00000000" w:rsidRPr="00DA1F74" w:rsidP="00DA1F74">
            <w:pPr>
              <w:pStyle w:val="ListBullet"/>
            </w:pPr>
            <w:r w:rsidRPr="00DA1F74">
              <w:t>relevant WHS/OHS legislated requirements</w:t>
            </w:r>
          </w:p>
          <w:p w:rsidR="00000000" w:rsidRPr="00DA1F74" w:rsidP="00DA1F74">
            <w:pPr>
              <w:pStyle w:val="ListBullet"/>
            </w:pPr>
            <w:r w:rsidRPr="00DA1F74">
              <w:t>relevant workplace documentation, records and reports</w:t>
            </w:r>
          </w:p>
          <w:p w:rsidR="00000000" w:rsidRPr="00DA1F74" w:rsidP="00DA1F74">
            <w:pPr>
              <w:pStyle w:val="ListBullet"/>
            </w:pPr>
            <w:r w:rsidRPr="00DA1F74">
              <w:t>relevant workplace policies and procedures</w:t>
            </w:r>
          </w:p>
          <w:p w:rsidR="00000000" w:rsidRPr="00DA1F74" w:rsidP="00DA1F74">
            <w:pPr>
              <w:pStyle w:val="ListBullet"/>
            </w:pPr>
            <w:r w:rsidRPr="00DA1F74">
              <w:t>remote telemetry units (RTU’s) and associated controller operation.</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14" w:name="O_967434"/>
      <w:bookmarkEnd w:id="14"/>
      <w:r w:rsidRPr="00DA1F74">
        <w:t>Assessment Conditions</w:t>
      </w:r>
    </w:p>
    <w:tbl>
      <w:tblPr>
        <w:tblW w:w="9497" w:type="dxa"/>
        <w:tblLayout w:type="fixed"/>
        <w:tblCellMar>
          <w:left w:w="62" w:type="dxa"/>
          <w:right w:w="62" w:type="dxa"/>
        </w:tblCellMar>
        <w:tblLook w:val="0000"/>
      </w:tblPr>
      <w:tblGrid>
        <w:gridCol w:w="9497"/>
      </w:tblGrid>
      <w:tr w:rsidTr="00DA1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74" w:rsidP="00DA1F74">
            <w:pPr>
              <w:pStyle w:val="BodyText"/>
            </w:pPr>
            <w:r w:rsidRPr="00DA1F74">
              <w:t>As a minimum, assessors must satisfy applicable regulatory requirements, which include requirements in t</w:t>
            </w:r>
            <w:r w:rsidRPr="00DA1F74">
              <w:t xml:space="preserve">he Standards for Registered Training Organisations current at the time of assessment. </w:t>
            </w:r>
          </w:p>
          <w:p w:rsidR="00000000" w:rsidRPr="00DA1F74" w:rsidP="00DA1F74">
            <w:pPr>
              <w:pStyle w:val="BodyText"/>
            </w:pPr>
            <w:r w:rsidRPr="00DA1F74">
              <w:t>As a minimum, assessment must satisfy applicable regulatory requirements, which include requirements in the Standards for Registered Training Organisations current at th</w:t>
            </w:r>
            <w:r w:rsidRPr="00DA1F74">
              <w:t>e time of assessment.</w:t>
            </w:r>
          </w:p>
          <w:p w:rsidR="00000000" w:rsidRPr="00DA1F74" w:rsidP="00DA1F74">
            <w:pPr>
              <w:pStyle w:val="BodyText"/>
            </w:pPr>
            <w:r w:rsidRPr="00DA1F74">
              <w:t>Assessment must occur in workplace operational situations where it is appropriate to do so; where this is not appropriate, assessment must occur in simulated workplace operational situations that replicate workplace conditions.</w:t>
            </w:r>
          </w:p>
          <w:p w:rsidR="00000000" w:rsidRPr="00DA1F74" w:rsidP="00DA1F74">
            <w:pPr>
              <w:pStyle w:val="BodyText"/>
            </w:pPr>
            <w:r w:rsidRPr="00DA1F74">
              <w:t>Assess</w:t>
            </w:r>
            <w:r w:rsidRPr="00DA1F74">
              <w:t>ment processes and techniques must be appropriate to the language, literacy and numeracy requirements of the work being performed and the needs of the candidate.</w:t>
            </w:r>
          </w:p>
          <w:p w:rsidR="00000000" w:rsidRPr="00DA1F74" w:rsidP="00DA1F74">
            <w:pPr>
              <w:pStyle w:val="BodyText"/>
            </w:pPr>
            <w:r w:rsidRPr="00DA1F74">
              <w:t>Resources for assessment must include access to:</w:t>
            </w:r>
          </w:p>
          <w:p w:rsidR="00000000" w:rsidRPr="00DA1F74" w:rsidP="00DA1F74">
            <w:pPr>
              <w:pStyle w:val="ListBullet"/>
            </w:pPr>
            <w:r w:rsidRPr="00DA1F74">
              <w:t>a range of relevant exercises, case studies and/or other simulations</w:t>
            </w:r>
          </w:p>
          <w:p w:rsidR="00000000" w:rsidRPr="00DA1F74" w:rsidP="00DA1F74">
            <w:pPr>
              <w:pStyle w:val="ListBullet"/>
            </w:pPr>
            <w:r w:rsidRPr="00DA1F74">
              <w:t xml:space="preserve">relevant and appropriate materials, tools, facilities, equipment and personal protective equipment (PPE) currently used in industry </w:t>
            </w:r>
          </w:p>
          <w:p w:rsidR="00000000" w:rsidRPr="00DA1F74" w:rsidP="00DA1F74">
            <w:pPr>
              <w:pStyle w:val="ListBullet"/>
            </w:pPr>
            <w:r w:rsidRPr="00DA1F74">
              <w:t>resources used should reflect current industry practic</w:t>
            </w:r>
            <w:r w:rsidRPr="00DA1F74">
              <w:t>es for monitoring and operating gas transmission flow and pressure measuring and regulating device remotely</w:t>
            </w:r>
          </w:p>
          <w:p w:rsidR="00000000" w:rsidRPr="00DA1F74" w:rsidP="00DA1F74">
            <w:pPr>
              <w:pStyle w:val="ListBullet"/>
            </w:pPr>
            <w:r w:rsidRPr="00DA1F74">
              <w:t>applicable documentation, including workplace procedures, equipment specifications, regulations, codes of practice and operation manuals.</w:t>
            </w:r>
          </w:p>
        </w:tc>
      </w:tr>
    </w:tbl>
    <w:p w:rsidR="00000000" w:rsidRPr="00DA1F74" w:rsidP="00DA1F74">
      <w:pPr>
        <w:pStyle w:val="NoPaddingFontSize1"/>
      </w:pPr>
    </w:p>
    <w:p w:rsidR="00000000" w:rsidRPr="00DA1F74" w:rsidP="00DA1F74">
      <w:pPr>
        <w:pStyle w:val="AllowPageBreak"/>
      </w:pPr>
    </w:p>
    <w:p w:rsidR="00000000" w:rsidRPr="00DA1F74" w:rsidP="00DA1F74">
      <w:pPr>
        <w:pStyle w:val="Heading1"/>
      </w:pPr>
      <w:bookmarkStart w:id="15" w:name="O_967437"/>
      <w:bookmarkEnd w:id="15"/>
      <w:r w:rsidRPr="00DA1F74">
        <w:t>Links</w:t>
      </w:r>
    </w:p>
    <w:p w:rsidR="00000000" w:rsidRPr="00DA1F74" w:rsidP="007B5F24">
      <w:pPr>
        <w:pStyle w:val="BodyText"/>
      </w:pPr>
      <w:r w:rsidRPr="00DA1F7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93A54">
        <w:rPr>
          <w:rStyle w:val="Hyperlink"/>
        </w:rPr>
        <w:t>https://vetnet.gov.au/Pages/TrainingDocs.aspx?q=6a6c032e-ffcb-4f3d-8063-415efbd261e8</w:t>
      </w:r>
      <w:r>
        <w:fldChar w:fldCharType="end"/>
      </w:r>
    </w:p>
    <w:p w:rsidR="00000000" w:rsidRPr="00DA1F74" w:rsidP="00DA1F74"/>
    <w:sectPr w:rsidSect="00DA1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4" w:rsidRPr="007B5F24" w:rsidP="007B5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24" w:rsidP="00DA1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5F24" w:rsidP="00DA1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B5F24" w:rsidP="00DA1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4" w:rsidP="00DA1F74">
    <w:pPr>
      <w:pStyle w:val="Footer"/>
      <w:framePr w:wrap="around"/>
    </w:pPr>
    <w:r>
      <w:fldChar w:fldCharType="begin"/>
    </w:r>
    <w:r>
      <w:instrText xml:space="preserve"> DOCPROPERTY  Subject  \* MERGEFORMAT </w:instrText>
    </w:r>
    <w:r>
      <w:fldChar w:fldCharType="separate"/>
    </w:r>
    <w:r w:rsidR="007B5F24">
      <w:t>Approved</w:t>
    </w:r>
    <w:r w:rsidR="007B5F24">
      <w:fldChar w:fldCharType="end"/>
    </w:r>
    <w:r>
      <w:tab/>
      <w:t xml:space="preserve">Page </w:t>
    </w:r>
    <w:r>
      <w:fldChar w:fldCharType="begin"/>
    </w:r>
    <w:r>
      <w:instrText xml:space="preserve"> PAGE  \* Arabic  \* MERGEFORMAT </w:instrText>
    </w:r>
    <w:r>
      <w:fldChar w:fldCharType="separate"/>
    </w:r>
    <w:r w:rsidR="007B5F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5F24">
      <w:rPr>
        <w:noProof/>
      </w:rPr>
      <w:t>5</w:t>
    </w:r>
    <w:r>
      <w:rPr>
        <w:noProof/>
      </w:rPr>
      <w:fldChar w:fldCharType="end"/>
    </w:r>
  </w:p>
  <w:p w:rsidR="00DA1F74" w:rsidP="00DA1F74">
    <w:pPr>
      <w:pStyle w:val="Footer"/>
      <w:framePr w:wrap="around"/>
    </w:pPr>
    <w:r>
      <w:t xml:space="preserve">© Commonwealth of Australia, </w:t>
    </w:r>
    <w:r>
      <w:fldChar w:fldCharType="begin"/>
    </w:r>
    <w:r>
      <w:instrText xml:space="preserve"> DATE  \@ "yyyy"  \* MERGEFORMAT </w:instrText>
    </w:r>
    <w:r>
      <w:fldChar w:fldCharType="separate"/>
    </w:r>
    <w:r w:rsidR="007B5F24">
      <w:rPr>
        <w:noProof/>
      </w:rPr>
      <w:t>2025</w:t>
    </w:r>
    <w:r>
      <w:fldChar w:fldCharType="end"/>
    </w:r>
    <w:r>
      <w:tab/>
    </w:r>
    <w:r>
      <w:fldChar w:fldCharType="begin"/>
    </w:r>
    <w:r>
      <w:instrText xml:space="preserve"> DOCPROPERTY  Author  \* MERGEFORMAT </w:instrText>
    </w:r>
    <w:r>
      <w:fldChar w:fldCharType="separate"/>
    </w:r>
    <w:r w:rsidR="007B5F24">
      <w:t>Powering Skills Organisation</w:t>
    </w:r>
    <w:r w:rsidR="007B5F24">
      <w:fldChar w:fldCharType="end"/>
    </w:r>
  </w:p>
  <w:p w:rsidR="00DA1F74" w:rsidP="00DA1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F74" w:rsidRPr="007B5F24" w:rsidP="007B5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24" w:rsidRPr="002D2AF8" w:rsidP="00DA1F74">
    <w:pPr>
      <w:pStyle w:val="Header"/>
      <w:framePr w:wrap="around"/>
    </w:pPr>
    <w:r>
      <w:fldChar w:fldCharType="begin"/>
    </w:r>
    <w:r>
      <w:instrText xml:space="preserve"> TITLE   \* MERGEFORMAT </w:instrText>
    </w:r>
    <w:r>
      <w:fldChar w:fldCharType="separate"/>
    </w:r>
    <w:r>
      <w:t>UEGNSG507 Remotely monitor and operate gas transmission flow and pressure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5F24" w:rsidP="00DA1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4" w:rsidRPr="002D2AF8" w:rsidP="00DA1F74">
    <w:pPr>
      <w:pStyle w:val="Header"/>
      <w:framePr w:wrap="around"/>
    </w:pPr>
    <w:r>
      <w:fldChar w:fldCharType="begin"/>
    </w:r>
    <w:r>
      <w:instrText xml:space="preserve"> TITLE   \* MERGEFORMAT </w:instrText>
    </w:r>
    <w:r>
      <w:fldChar w:fldCharType="separate"/>
    </w:r>
    <w:r w:rsidR="007B5F24">
      <w:t>UEGNSG507 Remotely monitor and operate gas transmission flow and pressure measuring and regulating devices</w:t>
    </w:r>
    <w:r w:rsidR="007B5F24">
      <w:fldChar w:fldCharType="end"/>
    </w:r>
    <w:r>
      <w:tab/>
      <w:t xml:space="preserve">Date this document was generated: </w:t>
    </w:r>
    <w:r>
      <w:fldChar w:fldCharType="begin"/>
    </w:r>
    <w:r>
      <w:instrText xml:space="preserve"> CREATEDATE  \@ "d MMMM yyyy"  \* MERGEFORMAT </w:instrText>
    </w:r>
    <w:r>
      <w:fldChar w:fldCharType="separate"/>
    </w:r>
    <w:r w:rsidR="007B5F24">
      <w:rPr>
        <w:noProof/>
      </w:rPr>
      <w:t>2 March 2025</w:t>
    </w:r>
    <w:r>
      <w:fldChar w:fldCharType="end"/>
    </w:r>
  </w:p>
  <w:p w:rsidR="00DA1F74" w:rsidP="00DA1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C28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48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064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F74"/>
    <w:pPr>
      <w:spacing w:before="360" w:after="60"/>
      <w:outlineLvl w:val="0"/>
    </w:pPr>
    <w:rPr>
      <w:sz w:val="32"/>
    </w:rPr>
  </w:style>
  <w:style w:type="paragraph" w:styleId="Heading2">
    <w:name w:val="heading 2"/>
    <w:basedOn w:val="HeadingBase"/>
    <w:next w:val="BodyText"/>
    <w:link w:val="Heading2Char"/>
    <w:qFormat/>
    <w:rsid w:val="00DA1F74"/>
    <w:pPr>
      <w:keepLines/>
      <w:spacing w:before="240" w:after="120"/>
      <w:outlineLvl w:val="1"/>
    </w:pPr>
    <w:rPr>
      <w:sz w:val="28"/>
      <w:szCs w:val="40"/>
    </w:rPr>
  </w:style>
  <w:style w:type="paragraph" w:styleId="Heading3">
    <w:name w:val="heading 3"/>
    <w:basedOn w:val="HeadingBase"/>
    <w:next w:val="BodyText"/>
    <w:link w:val="Heading3Char"/>
    <w:qFormat/>
    <w:rsid w:val="00DA1F74"/>
    <w:pPr>
      <w:spacing w:before="180" w:after="120"/>
      <w:outlineLvl w:val="2"/>
    </w:pPr>
    <w:rPr>
      <w:spacing w:val="-10"/>
      <w:kern w:val="32"/>
    </w:rPr>
  </w:style>
  <w:style w:type="paragraph" w:styleId="Heading4">
    <w:name w:val="heading 4"/>
    <w:basedOn w:val="HeadingBase"/>
    <w:next w:val="BodyText"/>
    <w:link w:val="Heading4Char"/>
    <w:qFormat/>
    <w:rsid w:val="00DA1F74"/>
    <w:pPr>
      <w:spacing w:before="160" w:after="120"/>
      <w:outlineLvl w:val="3"/>
    </w:pPr>
    <w:rPr>
      <w:sz w:val="22"/>
    </w:rPr>
  </w:style>
  <w:style w:type="paragraph" w:styleId="Heading5">
    <w:name w:val="heading 5"/>
    <w:basedOn w:val="HeadingBase"/>
    <w:next w:val="Normal"/>
    <w:link w:val="Heading5Char"/>
    <w:qFormat/>
    <w:rsid w:val="00DA1F74"/>
    <w:pPr>
      <w:spacing w:before="80"/>
      <w:outlineLvl w:val="4"/>
    </w:pPr>
    <w:rPr>
      <w:color w:val="918585"/>
      <w:sz w:val="20"/>
    </w:rPr>
  </w:style>
  <w:style w:type="paragraph" w:styleId="Heading6">
    <w:name w:val="heading 6"/>
    <w:basedOn w:val="HeadingBase"/>
    <w:next w:val="Normal"/>
    <w:link w:val="Heading6Char"/>
    <w:qFormat/>
    <w:rsid w:val="00DA1F74"/>
    <w:pPr>
      <w:spacing w:before="60"/>
      <w:outlineLvl w:val="5"/>
    </w:pPr>
    <w:rPr>
      <w:color w:val="918585"/>
      <w:sz w:val="20"/>
    </w:rPr>
  </w:style>
  <w:style w:type="paragraph" w:styleId="Heading7">
    <w:name w:val="heading 7"/>
    <w:basedOn w:val="Normal"/>
    <w:next w:val="Normal"/>
    <w:link w:val="Heading7Char"/>
    <w:qFormat/>
    <w:rsid w:val="00DA1F74"/>
    <w:pPr>
      <w:ind w:left="720"/>
      <w:outlineLvl w:val="6"/>
    </w:pPr>
    <w:rPr>
      <w:i/>
    </w:rPr>
  </w:style>
  <w:style w:type="paragraph" w:styleId="Heading8">
    <w:name w:val="heading 8"/>
    <w:basedOn w:val="Normal"/>
    <w:next w:val="Normal"/>
    <w:link w:val="Heading8Char"/>
    <w:qFormat/>
    <w:rsid w:val="00DA1F74"/>
    <w:pPr>
      <w:ind w:left="720"/>
      <w:outlineLvl w:val="7"/>
    </w:pPr>
    <w:rPr>
      <w:i/>
    </w:rPr>
  </w:style>
  <w:style w:type="paragraph" w:styleId="Heading9">
    <w:name w:val="heading 9"/>
    <w:basedOn w:val="Normal"/>
    <w:next w:val="Normal"/>
    <w:link w:val="Heading9Char"/>
    <w:qFormat/>
    <w:rsid w:val="00DA1F74"/>
    <w:pPr>
      <w:ind w:left="720"/>
      <w:outlineLvl w:val="8"/>
    </w:pPr>
    <w:rPr>
      <w:i/>
    </w:rPr>
  </w:style>
  <w:style w:type="character" w:default="1" w:styleId="DefaultParagraphFont">
    <w:name w:val="Default Paragraph Font"/>
    <w:uiPriority w:val="1"/>
    <w:unhideWhenUsed/>
    <w:rsid w:val="00DA1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F74"/>
  </w:style>
  <w:style w:type="character" w:customStyle="1" w:styleId="Heading1Char">
    <w:name w:val="Heading 1 Char"/>
    <w:basedOn w:val="DefaultParagraphFont"/>
    <w:link w:val="Heading1"/>
    <w:rsid w:val="00DA1F74"/>
    <w:rPr>
      <w:rFonts w:ascii="Times New Roman" w:eastAsia="Times New Roman" w:hAnsi="Times New Roman" w:cs="Times New Roman"/>
      <w:b/>
      <w:sz w:val="32"/>
      <w:szCs w:val="20"/>
      <w:lang w:eastAsia="en-US"/>
    </w:rPr>
  </w:style>
  <w:style w:type="paragraph" w:styleId="BodyText">
    <w:name w:val="Body Text"/>
    <w:basedOn w:val="Normal"/>
    <w:link w:val="BodyTextChar"/>
    <w:rsid w:val="00DA1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F74"/>
    <w:rPr>
      <w:rFonts w:ascii="Times New Roman" w:eastAsia="Times New Roman" w:hAnsi="Times New Roman" w:cs="Times New Roman"/>
      <w:sz w:val="24"/>
      <w:lang w:eastAsia="en-US"/>
    </w:rPr>
  </w:style>
  <w:style w:type="paragraph" w:styleId="ListBullet">
    <w:name w:val="List Bullet"/>
    <w:basedOn w:val="List"/>
    <w:rsid w:val="00DA1F74"/>
    <w:pPr>
      <w:numPr>
        <w:numId w:val="12"/>
      </w:numPr>
      <w:tabs>
        <w:tab w:val="clear" w:pos="340"/>
      </w:tabs>
      <w:spacing w:before="40" w:after="40"/>
    </w:pPr>
  </w:style>
  <w:style w:type="character" w:customStyle="1" w:styleId="SpecialBold">
    <w:name w:val="Special Bold"/>
    <w:basedOn w:val="DefaultParagraphFont"/>
    <w:rsid w:val="00DA1F74"/>
    <w:rPr>
      <w:b/>
      <w:spacing w:val="0"/>
    </w:rPr>
  </w:style>
  <w:style w:type="paragraph" w:styleId="ListBullet2">
    <w:name w:val="List Bullet 2"/>
    <w:basedOn w:val="List2"/>
    <w:rsid w:val="00DA1F74"/>
    <w:pPr>
      <w:numPr>
        <w:numId w:val="13"/>
      </w:numPr>
      <w:tabs>
        <w:tab w:val="clear" w:pos="680"/>
      </w:tabs>
    </w:pPr>
  </w:style>
  <w:style w:type="paragraph" w:customStyle="1" w:styleId="SuperHeading">
    <w:name w:val="SuperHeading"/>
    <w:basedOn w:val="Normal"/>
    <w:rsid w:val="00DA1F74"/>
    <w:pPr>
      <w:spacing w:before="240" w:after="120"/>
      <w:outlineLvl w:val="0"/>
    </w:pPr>
    <w:rPr>
      <w:rFonts w:ascii="Times New Roman" w:hAnsi="Times New Roman"/>
      <w:b/>
      <w:sz w:val="32"/>
    </w:rPr>
  </w:style>
  <w:style w:type="paragraph" w:customStyle="1" w:styleId="AllowPageBreak">
    <w:name w:val="AllowPageBreak"/>
    <w:rsid w:val="00DA1F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1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F74"/>
    <w:rPr>
      <w:rFonts w:ascii="Courier New" w:eastAsia="Times New Roman" w:hAnsi="Courier New" w:cs="Times New Roman"/>
      <w:i/>
      <w:szCs w:val="20"/>
      <w:lang w:eastAsia="en-US"/>
    </w:rPr>
  </w:style>
  <w:style w:type="paragraph" w:customStyle="1" w:styleId="HeadingBase">
    <w:name w:val="Heading Base"/>
    <w:rsid w:val="00DA1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F74"/>
    <w:pPr>
      <w:tabs>
        <w:tab w:val="right" w:leader="dot" w:pos="9072"/>
      </w:tabs>
      <w:ind w:left="567"/>
    </w:pPr>
    <w:rPr>
      <w:szCs w:val="22"/>
    </w:rPr>
  </w:style>
  <w:style w:type="paragraph" w:customStyle="1" w:styleId="TOCBase">
    <w:name w:val="TOC Base"/>
    <w:rsid w:val="00DA1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F74"/>
    <w:pPr>
      <w:tabs>
        <w:tab w:val="right" w:leader="dot" w:pos="9072"/>
      </w:tabs>
      <w:spacing w:before="40" w:after="40"/>
      <w:ind w:left="284"/>
    </w:pPr>
    <w:rPr>
      <w:rFonts w:ascii="Times New Roman" w:hAnsi="Times New Roman"/>
    </w:rPr>
  </w:style>
  <w:style w:type="paragraph" w:styleId="TOC1">
    <w:name w:val="toc 1"/>
    <w:basedOn w:val="TOCBase"/>
    <w:next w:val="Normal"/>
    <w:rsid w:val="00DA1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F74"/>
    <w:rPr>
      <w:rFonts w:ascii="Times New Roman" w:eastAsia="Times New Roman" w:hAnsi="Times New Roman" w:cs="Times New Roman"/>
      <w:sz w:val="16"/>
      <w:lang w:eastAsia="en-US"/>
    </w:rPr>
  </w:style>
  <w:style w:type="paragraph" w:styleId="Title">
    <w:name w:val="Title"/>
    <w:basedOn w:val="HeadingBase"/>
    <w:link w:val="TitleChar"/>
    <w:qFormat/>
    <w:rsid w:val="00DA1F74"/>
    <w:pPr>
      <w:spacing w:before="5040"/>
      <w:jc w:val="center"/>
    </w:pPr>
    <w:rPr>
      <w:sz w:val="48"/>
      <w:szCs w:val="72"/>
      <w:lang w:val="en-US"/>
    </w:rPr>
  </w:style>
  <w:style w:type="character" w:customStyle="1" w:styleId="TitleChar">
    <w:name w:val="Title Char"/>
    <w:basedOn w:val="DefaultParagraphFont"/>
    <w:link w:val="Title"/>
    <w:rsid w:val="00DA1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F74"/>
    <w:pPr>
      <w:tabs>
        <w:tab w:val="left" w:pos="3600"/>
        <w:tab w:val="left" w:pos="3958"/>
      </w:tabs>
    </w:pPr>
  </w:style>
  <w:style w:type="paragraph" w:styleId="List">
    <w:name w:val="List"/>
    <w:basedOn w:val="BodyText"/>
    <w:next w:val="BodyText"/>
    <w:rsid w:val="00DA1F74"/>
    <w:pPr>
      <w:tabs>
        <w:tab w:val="left" w:pos="340"/>
      </w:tabs>
      <w:spacing w:before="60" w:after="60"/>
      <w:ind w:left="340" w:hanging="340"/>
    </w:pPr>
  </w:style>
  <w:style w:type="paragraph" w:customStyle="1" w:styleId="Note">
    <w:name w:val="Note"/>
    <w:basedOn w:val="BodyText"/>
    <w:rsid w:val="00DA1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F74"/>
    <w:pPr>
      <w:framePr w:wrap="auto" w:hAnchor="text" w:y="6049"/>
    </w:pPr>
    <w:rPr>
      <w:color w:val="000000"/>
      <w:sz w:val="40"/>
    </w:rPr>
  </w:style>
  <w:style w:type="paragraph" w:customStyle="1" w:styleId="TOCTitle">
    <w:name w:val="TOCTitle"/>
    <w:basedOn w:val="Heading1"/>
    <w:rsid w:val="00DA1F74"/>
    <w:pPr>
      <w:spacing w:after="240"/>
      <w:jc w:val="center"/>
      <w:outlineLvl w:val="9"/>
    </w:pPr>
    <w:rPr>
      <w:caps/>
    </w:rPr>
  </w:style>
  <w:style w:type="paragraph" w:customStyle="1" w:styleId="Version">
    <w:name w:val="Version"/>
    <w:rsid w:val="00DA1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F74"/>
    <w:pPr>
      <w:keepNext w:val="0"/>
      <w:tabs>
        <w:tab w:val="right" w:pos="4176"/>
      </w:tabs>
      <w:ind w:left="198" w:hanging="198"/>
    </w:pPr>
    <w:rPr>
      <w:rFonts w:ascii="Garamond" w:hAnsi="Garamond"/>
    </w:rPr>
  </w:style>
  <w:style w:type="paragraph" w:styleId="IndexHeading">
    <w:name w:val="index heading"/>
    <w:basedOn w:val="Normal"/>
    <w:next w:val="Index1"/>
    <w:semiHidden/>
    <w:rsid w:val="00DA1F74"/>
    <w:pPr>
      <w:spacing w:before="120" w:after="120"/>
    </w:pPr>
    <w:rPr>
      <w:rFonts w:ascii="Arial" w:hAnsi="Arial"/>
      <w:b/>
      <w:color w:val="918585"/>
      <w:sz w:val="24"/>
    </w:rPr>
  </w:style>
  <w:style w:type="paragraph" w:styleId="Header">
    <w:name w:val="header"/>
    <w:basedOn w:val="Normal"/>
    <w:link w:val="HeaderChar"/>
    <w:rsid w:val="00DA1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F74"/>
    <w:rPr>
      <w:rFonts w:ascii="Times New Roman" w:eastAsia="Times New Roman" w:hAnsi="Times New Roman" w:cs="Times New Roman"/>
      <w:sz w:val="16"/>
      <w:szCs w:val="20"/>
      <w:lang w:val="en-GB" w:eastAsia="en-US"/>
    </w:rPr>
  </w:style>
  <w:style w:type="paragraph" w:customStyle="1" w:styleId="Chapter">
    <w:name w:val="Chapter"/>
    <w:basedOn w:val="Normal"/>
    <w:rsid w:val="00DA1F74"/>
    <w:pPr>
      <w:spacing w:before="240"/>
    </w:pPr>
    <w:rPr>
      <w:rFonts w:ascii="Times New Roman" w:hAnsi="Times New Roman"/>
      <w:smallCaps/>
      <w:spacing w:val="80"/>
      <w:sz w:val="28"/>
    </w:rPr>
  </w:style>
  <w:style w:type="paragraph" w:customStyle="1" w:styleId="InChapter">
    <w:name w:val="InChapter"/>
    <w:basedOn w:val="Heading3"/>
    <w:rsid w:val="00DA1F74"/>
    <w:pPr>
      <w:spacing w:after="240"/>
      <w:outlineLvl w:val="9"/>
    </w:pPr>
    <w:rPr>
      <w:noProof/>
    </w:rPr>
  </w:style>
  <w:style w:type="paragraph" w:styleId="Index2">
    <w:name w:val="index 2"/>
    <w:basedOn w:val="Normal"/>
    <w:next w:val="Normal"/>
    <w:semiHidden/>
    <w:rsid w:val="00DA1F74"/>
    <w:pPr>
      <w:tabs>
        <w:tab w:val="right" w:pos="4176"/>
      </w:tabs>
      <w:ind w:left="568" w:hanging="284"/>
    </w:pPr>
    <w:rPr>
      <w:rFonts w:ascii="Garamond" w:hAnsi="Garamond"/>
    </w:rPr>
  </w:style>
  <w:style w:type="paragraph" w:customStyle="1" w:styleId="Byline">
    <w:name w:val="Byline"/>
    <w:rsid w:val="00DA1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F74"/>
    <w:pPr>
      <w:tabs>
        <w:tab w:val="clear" w:pos="3600"/>
        <w:tab w:val="clear" w:pos="3958"/>
      </w:tabs>
      <w:jc w:val="right"/>
    </w:pPr>
  </w:style>
  <w:style w:type="character" w:styleId="Emphasis">
    <w:name w:val="Emphasis"/>
    <w:basedOn w:val="DefaultParagraphFont"/>
    <w:qFormat/>
    <w:rsid w:val="00DA1F74"/>
    <w:rPr>
      <w:i/>
    </w:rPr>
  </w:style>
  <w:style w:type="paragraph" w:styleId="Caption">
    <w:name w:val="caption"/>
    <w:basedOn w:val="BodyText"/>
    <w:next w:val="Normal"/>
    <w:qFormat/>
    <w:rsid w:val="00DA1F74"/>
    <w:pPr>
      <w:framePr w:w="2268" w:hSpace="181" w:vSpace="181" w:wrap="around" w:vAnchor="text" w:hAnchor="page" w:x="1135" w:y="285" w:anchorLock="1"/>
    </w:pPr>
    <w:rPr>
      <w:i/>
    </w:rPr>
  </w:style>
  <w:style w:type="paragraph" w:customStyle="1" w:styleId="MiniTOCTitle">
    <w:name w:val="MiniTOCTitle"/>
    <w:basedOn w:val="Heading4"/>
    <w:rsid w:val="00DA1F74"/>
    <w:pPr>
      <w:spacing w:before="240"/>
      <w:outlineLvl w:val="9"/>
    </w:pPr>
    <w:rPr>
      <w:noProof/>
      <w:sz w:val="24"/>
    </w:rPr>
  </w:style>
  <w:style w:type="paragraph" w:customStyle="1" w:styleId="MiniTOCItem">
    <w:name w:val="MiniTOCItem"/>
    <w:basedOn w:val="ListBullet"/>
    <w:rsid w:val="00DA1F74"/>
    <w:pPr>
      <w:numPr>
        <w:numId w:val="0"/>
      </w:numPr>
      <w:tabs>
        <w:tab w:val="right" w:leader="dot" w:pos="6521"/>
      </w:tabs>
      <w:spacing w:before="0" w:after="0"/>
    </w:pPr>
  </w:style>
  <w:style w:type="paragraph" w:customStyle="1" w:styleId="TOFTitle">
    <w:name w:val="TOFTitle"/>
    <w:basedOn w:val="TOCTitle"/>
    <w:rsid w:val="00DA1F74"/>
  </w:style>
  <w:style w:type="paragraph" w:styleId="TableofFigures">
    <w:name w:val="table of figures"/>
    <w:basedOn w:val="Normal"/>
    <w:next w:val="Normal"/>
    <w:semiHidden/>
    <w:rsid w:val="00DA1F74"/>
    <w:pPr>
      <w:tabs>
        <w:tab w:val="right" w:leader="dot" w:pos="9072"/>
      </w:tabs>
      <w:ind w:left="970" w:hanging="403"/>
    </w:pPr>
    <w:rPr>
      <w:rFonts w:ascii="Times New Roman" w:hAnsi="Times New Roman"/>
      <w:b/>
    </w:rPr>
  </w:style>
  <w:style w:type="paragraph" w:styleId="ListNumber">
    <w:name w:val="List Number"/>
    <w:basedOn w:val="List"/>
    <w:rsid w:val="00DA1F74"/>
    <w:pPr>
      <w:numPr>
        <w:numId w:val="15"/>
      </w:numPr>
      <w:tabs>
        <w:tab w:val="clear" w:pos="340"/>
      </w:tabs>
    </w:pPr>
  </w:style>
  <w:style w:type="character" w:customStyle="1" w:styleId="WingdingSymbols">
    <w:name w:val="Wingding Symbols"/>
    <w:rsid w:val="00DA1F74"/>
    <w:rPr>
      <w:rFonts w:ascii="Wingdings" w:hAnsi="Wingdings"/>
    </w:rPr>
  </w:style>
  <w:style w:type="paragraph" w:customStyle="1" w:styleId="TableHeading">
    <w:name w:val="Table Heading"/>
    <w:basedOn w:val="HeadingBase"/>
    <w:rsid w:val="00DA1F74"/>
    <w:pPr>
      <w:keepLines/>
      <w:pBdr>
        <w:bottom w:val="single" w:sz="6" w:space="1" w:color="918585"/>
      </w:pBdr>
      <w:spacing w:before="240"/>
    </w:pPr>
  </w:style>
  <w:style w:type="character" w:customStyle="1" w:styleId="HotSpot">
    <w:name w:val="HotSpot"/>
    <w:rsid w:val="00DA1F74"/>
    <w:rPr>
      <w:color w:val="0033CC"/>
      <w:u w:val="none"/>
    </w:rPr>
  </w:style>
  <w:style w:type="paragraph" w:customStyle="1" w:styleId="BodyTextRight">
    <w:name w:val="Body Text Right"/>
    <w:basedOn w:val="BodyText"/>
    <w:rsid w:val="00DA1F74"/>
    <w:pPr>
      <w:spacing w:before="0" w:after="0"/>
      <w:jc w:val="right"/>
    </w:pPr>
  </w:style>
  <w:style w:type="paragraph" w:styleId="Index3">
    <w:name w:val="index 3"/>
    <w:basedOn w:val="ListNumber2"/>
    <w:next w:val="Normal"/>
    <w:semiHidden/>
    <w:rsid w:val="00DA1F74"/>
    <w:pPr>
      <w:numPr>
        <w:numId w:val="0"/>
      </w:numPr>
      <w:tabs>
        <w:tab w:val="right" w:leader="dot" w:pos="4176"/>
      </w:tabs>
    </w:pPr>
  </w:style>
  <w:style w:type="paragraph" w:styleId="ListNumber2">
    <w:name w:val="List Number 2"/>
    <w:basedOn w:val="List2"/>
    <w:rsid w:val="00DA1F74"/>
    <w:pPr>
      <w:numPr>
        <w:numId w:val="10"/>
      </w:numPr>
      <w:tabs>
        <w:tab w:val="clear" w:pos="1060"/>
      </w:tabs>
    </w:pPr>
  </w:style>
  <w:style w:type="paragraph" w:customStyle="1" w:styleId="MarginNote">
    <w:name w:val="Margin Note"/>
    <w:basedOn w:val="BodyText"/>
    <w:rsid w:val="00DA1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F74"/>
    <w:rPr>
      <w:sz w:val="32"/>
    </w:rPr>
  </w:style>
  <w:style w:type="paragraph" w:customStyle="1" w:styleId="HeadingProcedure">
    <w:name w:val="Heading Procedure"/>
    <w:basedOn w:val="HeadingBase"/>
    <w:next w:val="Normal"/>
    <w:rsid w:val="00DA1F74"/>
    <w:pPr>
      <w:tabs>
        <w:tab w:val="left" w:pos="0"/>
      </w:tabs>
      <w:spacing w:before="120" w:after="60"/>
    </w:pPr>
    <w:rPr>
      <w:i/>
      <w:color w:val="918585"/>
      <w:sz w:val="22"/>
    </w:rPr>
  </w:style>
  <w:style w:type="paragraph" w:customStyle="1" w:styleId="TableBodyText">
    <w:name w:val="Table Body Text"/>
    <w:basedOn w:val="BodyText"/>
    <w:rsid w:val="00DA1F74"/>
    <w:pPr>
      <w:spacing w:before="60" w:after="60"/>
    </w:pPr>
  </w:style>
  <w:style w:type="paragraph" w:styleId="ListContinue">
    <w:name w:val="List Continue"/>
    <w:basedOn w:val="List"/>
    <w:rsid w:val="00DA1F74"/>
    <w:pPr>
      <w:ind w:firstLine="0"/>
    </w:pPr>
  </w:style>
  <w:style w:type="paragraph" w:customStyle="1" w:styleId="ListNote">
    <w:name w:val="List Note"/>
    <w:basedOn w:val="List"/>
    <w:rsid w:val="00DA1F74"/>
    <w:pPr>
      <w:pBdr>
        <w:top w:val="single" w:sz="6" w:space="2" w:color="918585"/>
        <w:bottom w:val="single" w:sz="6" w:space="2" w:color="918585"/>
      </w:pBdr>
      <w:tabs>
        <w:tab w:val="left" w:pos="1021"/>
      </w:tabs>
      <w:ind w:firstLine="0"/>
    </w:pPr>
  </w:style>
  <w:style w:type="paragraph" w:customStyle="1" w:styleId="Warning">
    <w:name w:val="Warning"/>
    <w:basedOn w:val="BodyText"/>
    <w:rsid w:val="00DA1F74"/>
    <w:pPr>
      <w:shd w:val="clear" w:color="auto" w:fill="D9D9D9"/>
      <w:tabs>
        <w:tab w:val="left" w:pos="992"/>
      </w:tabs>
      <w:ind w:left="119" w:right="119"/>
    </w:pPr>
    <w:rPr>
      <w:sz w:val="20"/>
    </w:rPr>
  </w:style>
  <w:style w:type="paragraph" w:customStyle="1" w:styleId="MarginIcons">
    <w:name w:val="Margin Icons"/>
    <w:basedOn w:val="BodyText"/>
    <w:rsid w:val="00DA1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F74"/>
    <w:rPr>
      <w:rFonts w:ascii="Courier New" w:hAnsi="Courier New"/>
    </w:rPr>
  </w:style>
  <w:style w:type="paragraph" w:customStyle="1" w:styleId="NoteBullet">
    <w:name w:val="Note Bullet"/>
    <w:basedOn w:val="Note"/>
    <w:rsid w:val="00DA1F74"/>
    <w:pPr>
      <w:tabs>
        <w:tab w:val="clear" w:pos="680"/>
      </w:tabs>
      <w:spacing w:before="60" w:after="60"/>
    </w:pPr>
  </w:style>
  <w:style w:type="paragraph" w:customStyle="1" w:styleId="SubHeading2">
    <w:name w:val="SubHeading2"/>
    <w:basedOn w:val="HeadingBase"/>
    <w:rsid w:val="00DA1F74"/>
    <w:pPr>
      <w:spacing w:before="240" w:after="60"/>
    </w:pPr>
    <w:rPr>
      <w:sz w:val="20"/>
    </w:rPr>
  </w:style>
  <w:style w:type="paragraph" w:customStyle="1" w:styleId="SubHeading1">
    <w:name w:val="SubHeading1"/>
    <w:basedOn w:val="HeadingBase"/>
    <w:rsid w:val="00DA1F74"/>
    <w:pPr>
      <w:spacing w:before="240" w:after="60"/>
    </w:pPr>
    <w:rPr>
      <w:color w:val="918585"/>
      <w:sz w:val="22"/>
    </w:rPr>
  </w:style>
  <w:style w:type="paragraph" w:customStyle="1" w:styleId="SideHeading">
    <w:name w:val="Side Heading"/>
    <w:basedOn w:val="HeadingBase"/>
    <w:rsid w:val="00DA1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F74"/>
    <w:pPr>
      <w:tabs>
        <w:tab w:val="num" w:pos="360"/>
      </w:tabs>
    </w:pPr>
  </w:style>
  <w:style w:type="paragraph" w:styleId="PlainText">
    <w:name w:val="Plain Text"/>
    <w:basedOn w:val="Normal"/>
    <w:link w:val="PlainTextChar"/>
    <w:rsid w:val="00DA1F74"/>
    <w:rPr>
      <w:sz w:val="20"/>
    </w:rPr>
  </w:style>
  <w:style w:type="character" w:customStyle="1" w:styleId="PlainTextChar">
    <w:name w:val="Plain Text Char"/>
    <w:basedOn w:val="DefaultParagraphFont"/>
    <w:link w:val="PlainText"/>
    <w:rsid w:val="00DA1F74"/>
    <w:rPr>
      <w:rFonts w:ascii="Courier New" w:eastAsia="Times New Roman" w:hAnsi="Courier New" w:cs="Times New Roman"/>
      <w:sz w:val="20"/>
      <w:szCs w:val="20"/>
      <w:lang w:eastAsia="en-US"/>
    </w:rPr>
  </w:style>
  <w:style w:type="character" w:customStyle="1" w:styleId="MenuOption">
    <w:name w:val="Menu Option"/>
    <w:basedOn w:val="DefaultParagraphFont"/>
    <w:rsid w:val="00DA1F74"/>
    <w:rPr>
      <w:b/>
      <w:smallCaps/>
    </w:rPr>
  </w:style>
  <w:style w:type="paragraph" w:customStyle="1" w:styleId="TableListNumber">
    <w:name w:val="Table List Number"/>
    <w:basedOn w:val="ListNumber"/>
    <w:rsid w:val="00DA1F74"/>
    <w:pPr>
      <w:numPr>
        <w:numId w:val="0"/>
      </w:numPr>
    </w:pPr>
  </w:style>
  <w:style w:type="paragraph" w:styleId="TOC4">
    <w:name w:val="toc 4"/>
    <w:basedOn w:val="TOCBase"/>
    <w:next w:val="Normal"/>
    <w:semiHidden/>
    <w:rsid w:val="00DA1F74"/>
    <w:pPr>
      <w:tabs>
        <w:tab w:val="right" w:leader="dot" w:pos="9071"/>
      </w:tabs>
      <w:ind w:left="1701"/>
    </w:pPr>
  </w:style>
  <w:style w:type="paragraph" w:customStyle="1" w:styleId="ListAlpha">
    <w:name w:val="List Alpha"/>
    <w:basedOn w:val="List"/>
    <w:rsid w:val="00DA1F74"/>
    <w:pPr>
      <w:numPr>
        <w:numId w:val="9"/>
      </w:numPr>
    </w:pPr>
  </w:style>
  <w:style w:type="paragraph" w:customStyle="1" w:styleId="ListAlpha2">
    <w:name w:val="List Alpha 2"/>
    <w:basedOn w:val="List2"/>
    <w:rsid w:val="00DA1F74"/>
    <w:pPr>
      <w:numPr>
        <w:numId w:val="8"/>
      </w:numPr>
    </w:pPr>
  </w:style>
  <w:style w:type="paragraph" w:styleId="List2">
    <w:name w:val="List 2"/>
    <w:basedOn w:val="BodyText"/>
    <w:rsid w:val="00DA1F74"/>
    <w:pPr>
      <w:tabs>
        <w:tab w:val="left" w:pos="680"/>
      </w:tabs>
      <w:spacing w:before="60" w:after="60"/>
      <w:ind w:left="680" w:hanging="340"/>
    </w:pPr>
  </w:style>
  <w:style w:type="paragraph" w:styleId="List3">
    <w:name w:val="List 3"/>
    <w:basedOn w:val="BodyText"/>
    <w:rsid w:val="00DA1F74"/>
    <w:pPr>
      <w:tabs>
        <w:tab w:val="left" w:pos="1021"/>
      </w:tabs>
      <w:spacing w:before="60" w:after="60"/>
      <w:ind w:left="1020" w:hanging="340"/>
    </w:pPr>
  </w:style>
  <w:style w:type="paragraph" w:styleId="List4">
    <w:name w:val="List 4"/>
    <w:basedOn w:val="BodyText"/>
    <w:rsid w:val="00DA1F74"/>
    <w:pPr>
      <w:tabs>
        <w:tab w:val="left" w:pos="1361"/>
      </w:tabs>
      <w:spacing w:before="60" w:after="60"/>
      <w:ind w:left="1361" w:hanging="340"/>
    </w:pPr>
  </w:style>
  <w:style w:type="paragraph" w:styleId="List5">
    <w:name w:val="List 5"/>
    <w:basedOn w:val="BodyText"/>
    <w:rsid w:val="00DA1F74"/>
    <w:pPr>
      <w:tabs>
        <w:tab w:val="left" w:pos="1701"/>
      </w:tabs>
      <w:spacing w:before="60" w:after="60"/>
      <w:ind w:left="1701" w:hanging="340"/>
    </w:pPr>
  </w:style>
  <w:style w:type="paragraph" w:styleId="ListBullet3">
    <w:name w:val="List Bullet 3"/>
    <w:basedOn w:val="List3"/>
    <w:rsid w:val="00DA1F74"/>
    <w:pPr>
      <w:numPr>
        <w:numId w:val="14"/>
      </w:numPr>
      <w:tabs>
        <w:tab w:val="clear" w:pos="1021"/>
      </w:tabs>
      <w:ind w:left="1037" w:hanging="357"/>
    </w:pPr>
  </w:style>
  <w:style w:type="paragraph" w:styleId="ListBullet4">
    <w:name w:val="List Bullet 4"/>
    <w:basedOn w:val="List4"/>
    <w:rsid w:val="00DA1F74"/>
    <w:pPr>
      <w:numPr>
        <w:numId w:val="3"/>
      </w:numPr>
      <w:tabs>
        <w:tab w:val="clear" w:pos="1361"/>
      </w:tabs>
    </w:pPr>
  </w:style>
  <w:style w:type="paragraph" w:styleId="ListBullet5">
    <w:name w:val="List Bullet 5"/>
    <w:basedOn w:val="List5"/>
    <w:rsid w:val="00DA1F74"/>
    <w:pPr>
      <w:numPr>
        <w:numId w:val="4"/>
      </w:numPr>
    </w:pPr>
  </w:style>
  <w:style w:type="paragraph" w:styleId="ListContinue2">
    <w:name w:val="List Continue 2"/>
    <w:basedOn w:val="List2"/>
    <w:rsid w:val="00DA1F74"/>
    <w:pPr>
      <w:ind w:firstLine="0"/>
    </w:pPr>
  </w:style>
  <w:style w:type="paragraph" w:styleId="ListContinue3">
    <w:name w:val="List Continue 3"/>
    <w:basedOn w:val="List3"/>
    <w:rsid w:val="00DA1F74"/>
    <w:pPr>
      <w:ind w:left="1021" w:firstLine="0"/>
    </w:pPr>
  </w:style>
  <w:style w:type="paragraph" w:styleId="ListContinue4">
    <w:name w:val="List Continue 4"/>
    <w:basedOn w:val="List4"/>
    <w:rsid w:val="00DA1F74"/>
    <w:pPr>
      <w:ind w:firstLine="0"/>
    </w:pPr>
  </w:style>
  <w:style w:type="paragraph" w:styleId="ListContinue5">
    <w:name w:val="List Continue 5"/>
    <w:basedOn w:val="List5"/>
    <w:rsid w:val="00DA1F74"/>
    <w:pPr>
      <w:ind w:firstLine="0"/>
    </w:pPr>
  </w:style>
  <w:style w:type="paragraph" w:styleId="ListNumber3">
    <w:name w:val="List Number 3"/>
    <w:basedOn w:val="List3"/>
    <w:rsid w:val="00DA1F74"/>
    <w:pPr>
      <w:numPr>
        <w:numId w:val="5"/>
      </w:numPr>
    </w:pPr>
  </w:style>
  <w:style w:type="paragraph" w:styleId="ListNumber4">
    <w:name w:val="List Number 4"/>
    <w:basedOn w:val="List4"/>
    <w:rsid w:val="00DA1F74"/>
    <w:pPr>
      <w:numPr>
        <w:numId w:val="6"/>
      </w:numPr>
    </w:pPr>
  </w:style>
  <w:style w:type="paragraph" w:styleId="ListNumber5">
    <w:name w:val="List Number 5"/>
    <w:basedOn w:val="List5"/>
    <w:rsid w:val="00DA1F74"/>
    <w:pPr>
      <w:numPr>
        <w:numId w:val="7"/>
      </w:numPr>
    </w:pPr>
  </w:style>
  <w:style w:type="paragraph" w:styleId="BlockText">
    <w:name w:val="Block Text"/>
    <w:basedOn w:val="Normal"/>
    <w:rsid w:val="00DA1F74"/>
    <w:pPr>
      <w:spacing w:after="120"/>
      <w:ind w:left="1440" w:right="1440"/>
    </w:pPr>
  </w:style>
  <w:style w:type="character" w:customStyle="1" w:styleId="Subscript">
    <w:name w:val="Subscript"/>
    <w:basedOn w:val="DefaultParagraphFont"/>
    <w:rsid w:val="00DA1F74"/>
    <w:rPr>
      <w:sz w:val="16"/>
      <w:vertAlign w:val="subscript"/>
    </w:rPr>
  </w:style>
  <w:style w:type="character" w:customStyle="1" w:styleId="Superscript">
    <w:name w:val="Superscript"/>
    <w:basedOn w:val="DefaultParagraphFont"/>
    <w:rsid w:val="00DA1F74"/>
    <w:rPr>
      <w:sz w:val="16"/>
      <w:vertAlign w:val="superscript"/>
    </w:rPr>
  </w:style>
  <w:style w:type="character" w:customStyle="1" w:styleId="Symbols">
    <w:name w:val="Symbols"/>
    <w:basedOn w:val="DefaultParagraphFont"/>
    <w:rsid w:val="00DA1F74"/>
    <w:rPr>
      <w:rFonts w:ascii="Symbol" w:hAnsi="Symbol"/>
    </w:rPr>
  </w:style>
  <w:style w:type="character" w:customStyle="1" w:styleId="MenuOptions">
    <w:name w:val="Menu Options"/>
    <w:basedOn w:val="DefaultParagraphFont"/>
    <w:rsid w:val="00DA1F74"/>
    <w:rPr>
      <w:rFonts w:ascii="Arial Narrow" w:hAnsi="Arial Narrow"/>
      <w:smallCaps/>
    </w:rPr>
  </w:style>
  <w:style w:type="character" w:customStyle="1" w:styleId="Buttons">
    <w:name w:val="Buttons"/>
    <w:basedOn w:val="DefaultParagraphFont"/>
    <w:rsid w:val="00DA1F74"/>
    <w:rPr>
      <w:b/>
    </w:rPr>
  </w:style>
  <w:style w:type="character" w:customStyle="1" w:styleId="Underlined">
    <w:name w:val="Underlined"/>
    <w:basedOn w:val="DefaultParagraphFont"/>
    <w:rsid w:val="00DA1F74"/>
    <w:rPr>
      <w:u w:val="single"/>
    </w:rPr>
  </w:style>
  <w:style w:type="paragraph" w:customStyle="1" w:styleId="TableBodyTextRight">
    <w:name w:val="Table Body Text Right"/>
    <w:basedOn w:val="TableBodyText"/>
    <w:rsid w:val="00DA1F74"/>
    <w:pPr>
      <w:widowControl w:val="0"/>
      <w:autoSpaceDE w:val="0"/>
      <w:autoSpaceDN w:val="0"/>
      <w:adjustRightInd w:val="0"/>
      <w:jc w:val="right"/>
    </w:pPr>
    <w:rPr>
      <w:rFonts w:cs="Arial"/>
      <w:szCs w:val="18"/>
    </w:rPr>
  </w:style>
  <w:style w:type="paragraph" w:customStyle="1" w:styleId="CopyrightText">
    <w:name w:val="Copyright Text"/>
    <w:basedOn w:val="BodyText"/>
    <w:rsid w:val="00DA1F74"/>
    <w:rPr>
      <w:sz w:val="18"/>
    </w:rPr>
  </w:style>
  <w:style w:type="paragraph" w:customStyle="1" w:styleId="BodySmallRight">
    <w:name w:val="Body Small Right"/>
    <w:basedOn w:val="BodyTextRight"/>
    <w:rsid w:val="00DA1F74"/>
    <w:rPr>
      <w:sz w:val="18"/>
      <w:szCs w:val="18"/>
    </w:rPr>
  </w:style>
  <w:style w:type="paragraph" w:customStyle="1" w:styleId="MarginEdition">
    <w:name w:val="Margin Edition"/>
    <w:basedOn w:val="MarginNote"/>
    <w:rsid w:val="00DA1F74"/>
    <w:pPr>
      <w:spacing w:before="0" w:after="0"/>
    </w:pPr>
    <w:rPr>
      <w:rFonts w:ascii="Times New Roman" w:hAnsi="Times New Roman"/>
      <w:color w:val="999999"/>
    </w:rPr>
  </w:style>
  <w:style w:type="paragraph" w:customStyle="1" w:styleId="Spacer">
    <w:name w:val="Spacer"/>
    <w:basedOn w:val="Normal"/>
    <w:rsid w:val="00DA1F74"/>
    <w:rPr>
      <w:sz w:val="2"/>
      <w:szCs w:val="2"/>
    </w:rPr>
  </w:style>
  <w:style w:type="character" w:customStyle="1" w:styleId="Small">
    <w:name w:val="Small"/>
    <w:basedOn w:val="DefaultParagraphFont"/>
    <w:rsid w:val="00DA1F74"/>
    <w:rPr>
      <w:sz w:val="16"/>
    </w:rPr>
  </w:style>
  <w:style w:type="paragraph" w:customStyle="1" w:styleId="WideTable">
    <w:name w:val="Wide Table"/>
    <w:basedOn w:val="Normal"/>
    <w:rsid w:val="00DA1F74"/>
    <w:pPr>
      <w:ind w:left="-1418"/>
    </w:pPr>
    <w:rPr>
      <w:sz w:val="2"/>
      <w:szCs w:val="2"/>
    </w:rPr>
  </w:style>
  <w:style w:type="character" w:styleId="PageNumber">
    <w:name w:val="page number"/>
    <w:basedOn w:val="DefaultParagraphFont"/>
    <w:rsid w:val="00DA1F74"/>
  </w:style>
  <w:style w:type="paragraph" w:styleId="Quote">
    <w:name w:val="Quote"/>
    <w:basedOn w:val="Heading1"/>
    <w:link w:val="QuoteChar"/>
    <w:qFormat/>
    <w:rsid w:val="00DA1F74"/>
    <w:rPr>
      <w:b w:val="0"/>
      <w:sz w:val="72"/>
      <w:szCs w:val="72"/>
      <w:lang w:val="en-NZ"/>
    </w:rPr>
  </w:style>
  <w:style w:type="character" w:customStyle="1" w:styleId="QuoteChar">
    <w:name w:val="Quote Char"/>
    <w:basedOn w:val="DefaultParagraphFont"/>
    <w:link w:val="Quote"/>
    <w:rsid w:val="00DA1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F74"/>
    <w:pPr>
      <w:pageBreakBefore/>
    </w:pPr>
  </w:style>
  <w:style w:type="paragraph" w:customStyle="1" w:styleId="Border">
    <w:name w:val="Border"/>
    <w:basedOn w:val="Normal"/>
    <w:qFormat/>
    <w:rsid w:val="00DA1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F74"/>
    <w:rPr>
      <w:b/>
      <w:bCs/>
      <w:i/>
      <w:iCs/>
      <w:color w:val="auto"/>
    </w:rPr>
  </w:style>
  <w:style w:type="paragraph" w:styleId="IntenseQuote">
    <w:name w:val="Intense Quote"/>
    <w:basedOn w:val="Normal"/>
    <w:next w:val="Normal"/>
    <w:link w:val="IntenseQuoteChar"/>
    <w:uiPriority w:val="30"/>
    <w:qFormat/>
    <w:rsid w:val="00DA1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F74"/>
    <w:rPr>
      <w:smallCaps/>
      <w:color w:val="auto"/>
      <w:u w:val="single"/>
    </w:rPr>
  </w:style>
  <w:style w:type="character" w:styleId="IntenseReference">
    <w:name w:val="Intense Reference"/>
    <w:basedOn w:val="DefaultParagraphFont"/>
    <w:uiPriority w:val="32"/>
    <w:qFormat/>
    <w:rsid w:val="00DA1F74"/>
    <w:rPr>
      <w:b/>
      <w:bCs/>
      <w:smallCaps/>
      <w:color w:val="auto"/>
      <w:spacing w:val="5"/>
      <w:u w:val="single"/>
    </w:rPr>
  </w:style>
  <w:style w:type="paragraph" w:customStyle="1" w:styleId="2ColumnHeading">
    <w:name w:val="2Column Heading"/>
    <w:basedOn w:val="BodyText"/>
    <w:qFormat/>
    <w:rsid w:val="00DA1F74"/>
    <w:pPr>
      <w:spacing w:after="60"/>
      <w:ind w:left="-2268"/>
    </w:pPr>
    <w:rPr>
      <w:b/>
    </w:rPr>
  </w:style>
  <w:style w:type="paragraph" w:customStyle="1" w:styleId="Heading1TOC">
    <w:name w:val="Heading1 TOC"/>
    <w:basedOn w:val="Normal"/>
    <w:qFormat/>
    <w:rsid w:val="00DA1F74"/>
    <w:pPr>
      <w:spacing w:before="240" w:after="120"/>
    </w:pPr>
    <w:rPr>
      <w:rFonts w:ascii="Times New Roman" w:hAnsi="Times New Roman"/>
      <w:b/>
      <w:sz w:val="32"/>
    </w:rPr>
  </w:style>
  <w:style w:type="paragraph" w:customStyle="1" w:styleId="Heading2TOC">
    <w:name w:val="Heading2 TOC"/>
    <w:basedOn w:val="Normal"/>
    <w:qFormat/>
    <w:rsid w:val="00DA1F74"/>
    <w:pPr>
      <w:spacing w:before="240" w:after="60"/>
    </w:pPr>
    <w:rPr>
      <w:rFonts w:ascii="Times New Roman" w:hAnsi="Times New Roman"/>
      <w:b/>
      <w:sz w:val="28"/>
    </w:rPr>
  </w:style>
  <w:style w:type="character" w:customStyle="1" w:styleId="Underline">
    <w:name w:val="Underline"/>
    <w:basedOn w:val="DefaultParagraphFont"/>
    <w:qFormat/>
    <w:rsid w:val="00DA1F74"/>
    <w:rPr>
      <w:u w:val="single"/>
    </w:rPr>
  </w:style>
  <w:style w:type="character" w:customStyle="1" w:styleId="BoldandItalics">
    <w:name w:val="Bold and Italics"/>
    <w:qFormat/>
    <w:rsid w:val="00DA1F74"/>
    <w:rPr>
      <w:b/>
      <w:i/>
      <w:u w:val="none"/>
    </w:rPr>
  </w:style>
  <w:style w:type="paragraph" w:styleId="BalloonText">
    <w:name w:val="Balloon Text"/>
    <w:basedOn w:val="Normal"/>
    <w:link w:val="BalloonTextChar"/>
    <w:rsid w:val="00DA1F74"/>
    <w:rPr>
      <w:rFonts w:ascii="Tahoma" w:hAnsi="Tahoma" w:cs="Tahoma"/>
      <w:sz w:val="16"/>
      <w:szCs w:val="16"/>
    </w:rPr>
  </w:style>
  <w:style w:type="character" w:customStyle="1" w:styleId="BalloonTextChar">
    <w:name w:val="Balloon Text Char"/>
    <w:basedOn w:val="DefaultParagraphFont"/>
    <w:link w:val="BalloonText"/>
    <w:rsid w:val="00DA1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F74"/>
    <w:rPr>
      <w:b/>
      <w:color w:val="660033"/>
      <w:spacing w:val="0"/>
    </w:rPr>
  </w:style>
  <w:style w:type="paragraph" w:customStyle="1" w:styleId="Nameditemlist">
    <w:name w:val="Named item list"/>
    <w:basedOn w:val="BodyText"/>
    <w:qFormat/>
    <w:rsid w:val="00DA1F74"/>
    <w:pPr>
      <w:tabs>
        <w:tab w:val="left" w:pos="2835"/>
      </w:tabs>
      <w:ind w:left="2835" w:hanging="2835"/>
    </w:pPr>
  </w:style>
  <w:style w:type="paragraph" w:customStyle="1" w:styleId="BodyTextnopadding">
    <w:name w:val="Body Text no padding"/>
    <w:basedOn w:val="BodyText"/>
    <w:qFormat/>
    <w:rsid w:val="00DA1F74"/>
    <w:pPr>
      <w:spacing w:before="0" w:after="0"/>
    </w:pPr>
  </w:style>
  <w:style w:type="paragraph" w:customStyle="1" w:styleId="BodyTextBold">
    <w:name w:val="Body Text Bold"/>
    <w:basedOn w:val="BodyText"/>
    <w:qFormat/>
    <w:rsid w:val="00DA1F74"/>
    <w:rPr>
      <w:b/>
    </w:rPr>
  </w:style>
  <w:style w:type="character" w:styleId="Hyperlink">
    <w:name w:val="Hyperlink"/>
    <w:basedOn w:val="DefaultParagraphFont"/>
    <w:uiPriority w:val="99"/>
    <w:unhideWhenUsed/>
    <w:rsid w:val="007B5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8784</Characters>
  <Application>Microsoft Office Word</Application>
  <DocSecurity>0</DocSecurity>
  <Lines>302</Lines>
  <Paragraphs>144</Paragraphs>
  <ScaleCrop>false</ScaleCrop>
  <Company>Author-it Software Corporation Ltd.</Company>
  <LinksUpToDate>false</LinksUpToDate>
  <CharactersWithSpaces>9985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UEGNSG507 Remotely monitor and operate gas transmission flow and pressure measuring and regulating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