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750" w:rsidP="00B53750">
      <w:pPr>
        <w:pStyle w:val="Title"/>
      </w:pPr>
      <w:r>
        <w:fldChar w:fldCharType="begin"/>
      </w:r>
      <w:r>
        <w:instrText xml:space="preserve"> TITLE   \* MERGEFORMAT </w:instrText>
      </w:r>
      <w:r>
        <w:fldChar w:fldCharType="separate"/>
      </w:r>
      <w:r>
        <w:t>UEGNSG504 Monitor and control gas infrastructure using Control Centre systems</w:t>
      </w:r>
      <w:r>
        <w:fldChar w:fldCharType="end"/>
      </w:r>
    </w:p>
    <w:p w:rsidR="00B53750" w:rsidP="00B53750">
      <w:pPr>
        <w:pStyle w:val="Version"/>
        <w:sectPr w:rsidSect="00345A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A71" w:rsidP="00345A71">
      <w:pPr>
        <w:pStyle w:val="SuperHeading"/>
      </w:pPr>
      <w:r w:rsidRPr="00345A71">
        <w:t>UEGNSG504 Monitor and control gas infrastructure using Control Centre systems</w:t>
      </w:r>
    </w:p>
    <w:p w:rsidR="00000000" w:rsidRPr="00345A71" w:rsidP="00345A71">
      <w:pPr>
        <w:pStyle w:val="Heading1"/>
      </w:pPr>
      <w:bookmarkStart w:id="1" w:name="O_1127053"/>
      <w:bookmarkEnd w:id="1"/>
      <w:r w:rsidRPr="00345A71">
        <w:t>Modification History</w:t>
      </w:r>
    </w:p>
    <w:tbl>
      <w:tblPr>
        <w:tblW w:w="9497" w:type="dxa"/>
        <w:tblLayout w:type="fixed"/>
        <w:tblCellMar>
          <w:left w:w="62" w:type="dxa"/>
          <w:right w:w="62" w:type="dxa"/>
        </w:tblCellMar>
        <w:tblLook w:val="0000"/>
      </w:tblPr>
      <w:tblGrid>
        <w:gridCol w:w="9497"/>
      </w:tblGrid>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t>Release 1. This is the first release of this unit of competency in the UEG Gas Industry Training Package.</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2" w:name="O_1127054"/>
      <w:bookmarkEnd w:id="2"/>
      <w:r w:rsidRPr="00345A71">
        <w:t>Application</w:t>
      </w:r>
    </w:p>
    <w:tbl>
      <w:tblPr>
        <w:tblW w:w="9497" w:type="dxa"/>
        <w:tblLayout w:type="fixed"/>
        <w:tblCellMar>
          <w:left w:w="62" w:type="dxa"/>
          <w:right w:w="62" w:type="dxa"/>
        </w:tblCellMar>
        <w:tblLook w:val="0000"/>
      </w:tblPr>
      <w:tblGrid>
        <w:gridCol w:w="9497"/>
      </w:tblGrid>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t xml:space="preserve">This unit involves the skills and knowledge required to use Control Centre systems to monitor and control gas infrastructure.  </w:t>
            </w:r>
          </w:p>
          <w:p w:rsidR="00000000" w:rsidRPr="00345A71" w:rsidP="00345A71">
            <w:pPr>
              <w:pStyle w:val="BodyText"/>
            </w:pPr>
            <w:r w:rsidRPr="00345A71">
              <w:t xml:space="preserve">It includes operating Supervisory Control and Data Acquisition (SCADA) and other Control Centre information systems, including </w:t>
            </w:r>
            <w:r w:rsidRPr="00345A71">
              <w:t>outage management systems, alarm management systems, site security and communications systems, and telemetry to effectively manage gas industry infrastructure.</w:t>
            </w:r>
          </w:p>
          <w:p w:rsidR="00000000" w:rsidRPr="00345A71" w:rsidP="00345A71">
            <w:pPr>
              <w:pStyle w:val="BodyText"/>
            </w:pPr>
            <w:r w:rsidRPr="00345A71">
              <w:t>No licensing, legislative or certification requirements apply to this unit at the time of public</w:t>
            </w:r>
            <w:r w:rsidRPr="00345A71">
              <w:t>ation.</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3" w:name="O_1127055"/>
      <w:bookmarkEnd w:id="3"/>
      <w:r w:rsidRPr="00345A71">
        <w:t>Pre-requisite Unit</w:t>
      </w:r>
    </w:p>
    <w:tbl>
      <w:tblPr>
        <w:tblW w:w="9497" w:type="dxa"/>
        <w:tblLayout w:type="fixed"/>
        <w:tblCellMar>
          <w:left w:w="62" w:type="dxa"/>
          <w:right w:w="62" w:type="dxa"/>
        </w:tblCellMar>
        <w:tblLook w:val="0000"/>
      </w:tblPr>
      <w:tblGrid>
        <w:gridCol w:w="9497"/>
      </w:tblGrid>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t>Not applicable</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4" w:name="O_1127056"/>
      <w:bookmarkEnd w:id="4"/>
      <w:r w:rsidRPr="00345A71">
        <w:t>Competency Field</w:t>
      </w:r>
    </w:p>
    <w:tbl>
      <w:tblPr>
        <w:tblW w:w="9497" w:type="dxa"/>
        <w:tblLayout w:type="fixed"/>
        <w:tblCellMar>
          <w:left w:w="62" w:type="dxa"/>
          <w:right w:w="62" w:type="dxa"/>
        </w:tblCellMar>
        <w:tblLook w:val="0000"/>
      </w:tblPr>
      <w:tblGrid>
        <w:gridCol w:w="9497"/>
      </w:tblGrid>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t>Control Centre Discipline</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5" w:name="O_1127057"/>
      <w:bookmarkEnd w:id="5"/>
      <w:r w:rsidRPr="00345A71">
        <w:t>Unit Sector</w:t>
      </w:r>
    </w:p>
    <w:tbl>
      <w:tblPr>
        <w:tblW w:w="9497" w:type="dxa"/>
        <w:tblLayout w:type="fixed"/>
        <w:tblCellMar>
          <w:left w:w="62" w:type="dxa"/>
          <w:right w:w="62" w:type="dxa"/>
        </w:tblCellMar>
        <w:tblLook w:val="0000"/>
      </w:tblPr>
      <w:tblGrid>
        <w:gridCol w:w="9497"/>
      </w:tblGrid>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t>Gas Industry</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6" w:name="O_1127058"/>
      <w:bookmarkEnd w:id="6"/>
      <w:r w:rsidRPr="00345A7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45A7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PERFORMANCE CRITERIA</w:t>
            </w:r>
          </w:p>
        </w:tc>
      </w:tr>
      <w:tr w:rsidTr="00345A7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Performance criteria describe the performance needed to demonstrate achievement of the element.</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rPr>
                <w:rStyle w:val="SpecialBold"/>
              </w:rPr>
              <w:t>Plan to use Control Centre systems to monitor and control gas infrastructure</w:t>
            </w: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Work schedules, plans and job requirements are obtained and analysed to determine the preparation work required for planning and coordination</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Relevant person/s are consulted and work is prioritised and sequenced for completion within agreed timefram</w:t>
            </w:r>
            <w:r w:rsidRPr="00345A71">
              <w:t>es and to industry standards in accordance with workplace procedures</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Work health and safety (WHS)/occupational health and safety (OHS) and environmental risk assessments are conducted</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 xml:space="preserve">System constraints for gas infrastructure are identified and communicated </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Operational and commercial requirements of gas infrastructure are communicated</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 xml:space="preserve">WHS/OHS and sustainable energy policies and procedures related to the work are obtained </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Communication with authorised person/s, authorities and clients is conducted and work coordinated in accordance with work schedule and workplace procedures</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rPr>
                <w:rStyle w:val="SpecialBold"/>
              </w:rPr>
              <w:t>Monitor and control gas infrastructure</w:t>
            </w:r>
            <w:r w:rsidRPr="00345A71">
              <w:t xml:space="preserve"> </w:t>
            </w:r>
            <w:r w:rsidRPr="00345A71">
              <w:rPr>
                <w:rStyle w:val="SpecialBold"/>
              </w:rPr>
              <w:t>using Control Centre systems</w:t>
            </w: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WHS/OHS policies and procedures and safe work practices are followed</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Work is coordinated and performed in accordance with workplace procedures, operating conditions and nominations</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Alarms and out-of-specification conditions are responded to i</w:t>
            </w:r>
            <w:r w:rsidRPr="00345A71">
              <w:t>n accordance with workplace procedures</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Operating conditions are monitored and action taken to address any shortfalls or abnormal events encountered in accordance with workplace procedures</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Gas infrastructure SCADA systems are monitored to ensure quality is observed in accordance with industry standards</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Unplanned events and non-routine problems are identified and actioned in accordance with workplace procedures</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rPr>
                <w:rStyle w:val="SpecialBold"/>
              </w:rPr>
              <w:t>Complete procedures f</w:t>
            </w:r>
            <w:r w:rsidRPr="00345A71">
              <w:rPr>
                <w:rStyle w:val="SpecialBold"/>
              </w:rPr>
              <w:t>or monitoring and controlling gas infrastructure</w:t>
            </w: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Work undertaken is checked for conformance with job requirements, anomalies and proposed solutions are identified and documented in accordance with workplace procedures</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Shift handover is conducted</w:t>
            </w:r>
            <w:r w:rsidRPr="00345A71">
              <w:t xml:space="preserve"> and gas infrastructure detail is relayed and confirmed with relevant person/s in accordance with workplace procedures</w:t>
            </w:r>
          </w:p>
        </w:tc>
      </w:tr>
      <w:tr w:rsidTr="00345A7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45A7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t>Work completion records, reports and documentation are completed, processed and appropriate person/s notified in accordance with w</w:t>
            </w:r>
            <w:r w:rsidRPr="00345A71">
              <w:t>orkplace procedures</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7" w:name="O_1127059"/>
      <w:bookmarkEnd w:id="7"/>
      <w:r w:rsidRPr="00345A71">
        <w:t>Foundation Skills</w:t>
      </w:r>
    </w:p>
    <w:tbl>
      <w:tblPr>
        <w:tblW w:w="9497" w:type="dxa"/>
        <w:tblLayout w:type="fixed"/>
        <w:tblCellMar>
          <w:left w:w="62" w:type="dxa"/>
          <w:right w:w="62" w:type="dxa"/>
        </w:tblCellMar>
        <w:tblLook w:val="0000"/>
      </w:tblPr>
      <w:tblGrid>
        <w:gridCol w:w="9497"/>
      </w:tblGrid>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t>Foundation skills essential to performance are explicit in the performance criteria of this unit of competency.</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8" w:name="O_1127060"/>
      <w:bookmarkEnd w:id="8"/>
      <w:r w:rsidRPr="00345A71">
        <w:t>Range of Conditions</w:t>
      </w:r>
    </w:p>
    <w:tbl>
      <w:tblPr>
        <w:tblW w:w="9497" w:type="dxa"/>
        <w:tblLayout w:type="fixed"/>
        <w:tblCellMar>
          <w:left w:w="62" w:type="dxa"/>
          <w:right w:w="62" w:type="dxa"/>
        </w:tblCellMar>
        <w:tblLook w:val="0000"/>
      </w:tblPr>
      <w:tblGrid>
        <w:gridCol w:w="9497"/>
      </w:tblGrid>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t>Range is restricted to essential operating conditions and any other variables essential to the work environment.</w:t>
            </w:r>
          </w:p>
          <w:p w:rsidR="00000000" w:rsidRPr="00345A71" w:rsidP="00345A71">
            <w:pPr>
              <w:pStyle w:val="BodyText"/>
            </w:pPr>
            <w:r w:rsidRPr="00345A71">
              <w:t>Non-essential conditions may be found in the Companion Volume Implementation Guide.</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9" w:name="O_1127061"/>
      <w:bookmarkEnd w:id="9"/>
      <w:r w:rsidRPr="00345A71">
        <w:t>Unit Mapping Information</w:t>
      </w:r>
    </w:p>
    <w:tbl>
      <w:tblPr>
        <w:tblW w:w="9497" w:type="dxa"/>
        <w:tblLayout w:type="fixed"/>
        <w:tblCellMar>
          <w:left w:w="62" w:type="dxa"/>
          <w:right w:w="62" w:type="dxa"/>
        </w:tblCellMar>
        <w:tblLook w:val="0000"/>
      </w:tblPr>
      <w:tblGrid>
        <w:gridCol w:w="9497"/>
      </w:tblGrid>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t>This unit rep</w:t>
            </w:r>
            <w:r w:rsidRPr="00345A71">
              <w:t>laces and is equivalent to UEGNSG515 Use control centre systems to monitor and control gas infrastructure.</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10" w:name="O_1127068"/>
      <w:bookmarkEnd w:id="10"/>
      <w:r w:rsidRPr="00345A71">
        <w:t>Links</w:t>
      </w:r>
    </w:p>
    <w:p w:rsidR="00000000" w:rsidRPr="00345A71" w:rsidP="00B53750">
      <w:pPr>
        <w:pStyle w:val="BodyText"/>
      </w:pPr>
      <w:r w:rsidRPr="00345A7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805DE">
        <w:rPr>
          <w:rStyle w:val="Hyperlink"/>
        </w:rPr>
        <w:t>https://vetnet.gov.au/Pages/TrainingDocs.aspx?q=6a6c032e-ffcb-4f3d-8063-415efbd261e8</w:t>
      </w:r>
      <w:r>
        <w:fldChar w:fldCharType="end"/>
      </w:r>
    </w:p>
    <w:p w:rsidR="00000000" w:rsidRPr="00345A71" w:rsidP="00B53750">
      <w:pPr>
        <w:pStyle w:val="BodyText"/>
        <w:sectPr w:rsidSect="00345A71">
          <w:headerReference w:type="default" r:id="rId10"/>
          <w:footerReference w:type="default" r:id="rId11"/>
          <w:pgSz w:w="11908" w:h="16833"/>
          <w:pgMar w:top="1702" w:right="1418" w:bottom="1702" w:left="1418" w:header="992" w:footer="992" w:gutter="0"/>
          <w:cols w:space="720"/>
          <w:noEndnote/>
          <w:docGrid w:linePitch="299"/>
        </w:sectPr>
      </w:pPr>
    </w:p>
    <w:p w:rsidR="00000000" w:rsidRPr="00345A71" w:rsidP="00345A71">
      <w:pPr>
        <w:pStyle w:val="SuperHeading"/>
      </w:pPr>
      <w:r w:rsidRPr="00345A71">
        <w:t>Assessment Requirements for UEGNSG504 Monitor and control gas i</w:t>
      </w:r>
      <w:r w:rsidRPr="00345A71">
        <w:t>nfrastructure using Control Centre systems</w:t>
      </w:r>
    </w:p>
    <w:p w:rsidR="00000000" w:rsidRPr="00345A71" w:rsidP="00345A71">
      <w:pPr>
        <w:pStyle w:val="Heading1"/>
      </w:pPr>
      <w:bookmarkStart w:id="11" w:name="O_1127063"/>
      <w:bookmarkEnd w:id="11"/>
      <w:r w:rsidRPr="00345A71">
        <w:t>Modification History</w:t>
      </w:r>
    </w:p>
    <w:tbl>
      <w:tblPr>
        <w:tblW w:w="9497" w:type="dxa"/>
        <w:tblLayout w:type="fixed"/>
        <w:tblCellMar>
          <w:left w:w="62" w:type="dxa"/>
          <w:right w:w="62" w:type="dxa"/>
        </w:tblCellMar>
        <w:tblLook w:val="0000"/>
      </w:tblPr>
      <w:tblGrid>
        <w:gridCol w:w="9497"/>
      </w:tblGrid>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t>Release 1. This is the first release of this unit of competency in the UEG Gas Industry Training Package.</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12" w:name="O_1127064"/>
      <w:bookmarkEnd w:id="12"/>
      <w:r w:rsidRPr="00345A71">
        <w:t>Performance Evidence</w:t>
      </w:r>
    </w:p>
    <w:tbl>
      <w:tblPr>
        <w:tblW w:w="9497" w:type="dxa"/>
        <w:tblLayout w:type="fixed"/>
        <w:tblCellMar>
          <w:left w:w="62" w:type="dxa"/>
          <w:right w:w="62" w:type="dxa"/>
        </w:tblCellMar>
        <w:tblLook w:val="0000"/>
      </w:tblPr>
      <w:tblGrid>
        <w:gridCol w:w="9497"/>
      </w:tblGrid>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Evidence required to demon</w:t>
            </w:r>
            <w:r w:rsidRPr="00345A71">
              <w:t xml:space="preserve">strate competence in this unit must be relevant to and satisfy all of the requirements of the elements, performance criteria and range of conditions on at least two separate occasions and include: </w:t>
            </w:r>
          </w:p>
        </w:tc>
      </w:tr>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A71" w:rsidP="00345A71">
            <w:pPr>
              <w:pStyle w:val="ListBullet"/>
            </w:pPr>
            <w:r w:rsidRPr="00345A71">
              <w:t>achieving nominated energy flow targets within system co</w:t>
            </w:r>
            <w:r w:rsidRPr="00345A71">
              <w:t>nstraints</w:t>
            </w:r>
          </w:p>
          <w:p w:rsidR="00000000" w:rsidRPr="00345A71" w:rsidP="00345A71">
            <w:pPr>
              <w:pStyle w:val="ListBullet"/>
            </w:pPr>
            <w:r w:rsidRPr="00345A71">
              <w:t xml:space="preserve">applying sustainable energy principles and practices </w:t>
            </w:r>
          </w:p>
          <w:p w:rsidR="00000000" w:rsidRPr="00345A71" w:rsidP="00345A71">
            <w:pPr>
              <w:pStyle w:val="ListBullet"/>
            </w:pPr>
            <w:r w:rsidRPr="00345A71">
              <w:t xml:space="preserve">applying relevant work health and safety (WHS)/occupational health and safety (OHS) requirements, including: </w:t>
            </w:r>
          </w:p>
          <w:p w:rsidR="00000000" w:rsidRPr="00345A71" w:rsidP="00345A71">
            <w:pPr>
              <w:pStyle w:val="ListBullet2"/>
            </w:pPr>
            <w:r w:rsidRPr="00345A71">
              <w:t>following emergency response procedures</w:t>
            </w:r>
          </w:p>
          <w:p w:rsidR="00000000" w:rsidRPr="00345A71" w:rsidP="00345A71">
            <w:pPr>
              <w:pStyle w:val="ListBullet2"/>
            </w:pPr>
            <w:r w:rsidRPr="00345A71">
              <w:t>hazard identification and reporting</w:t>
            </w:r>
          </w:p>
          <w:p w:rsidR="00000000" w:rsidRPr="00345A71" w:rsidP="00345A71">
            <w:pPr>
              <w:pStyle w:val="ListBullet2"/>
            </w:pPr>
            <w:r w:rsidRPr="00345A71">
              <w:t>implementing risk control measures</w:t>
            </w:r>
          </w:p>
          <w:p w:rsidR="00000000" w:rsidRPr="00345A71" w:rsidP="00345A71">
            <w:pPr>
              <w:pStyle w:val="ListBullet"/>
            </w:pPr>
            <w:r w:rsidRPr="00345A71">
              <w:t>applying relevant legislation, standards, regulations and codes of practice</w:t>
            </w:r>
          </w:p>
          <w:p w:rsidR="00000000" w:rsidRPr="00345A71" w:rsidP="00345A71">
            <w:pPr>
              <w:pStyle w:val="ListBullet"/>
            </w:pPr>
            <w:r w:rsidRPr="00345A71">
              <w:t>communicating effectively with relevant stakeholders</w:t>
            </w:r>
          </w:p>
          <w:p w:rsidR="00000000" w:rsidRPr="00345A71" w:rsidP="00345A71">
            <w:pPr>
              <w:pStyle w:val="ListBullet"/>
            </w:pPr>
            <w:r w:rsidRPr="00345A71">
              <w:t>dealing with unplanned events and situations in accordance with workplace procedures in a m</w:t>
            </w:r>
            <w:r w:rsidRPr="00345A71">
              <w:t>anner that minimises risk to personnel and equipment</w:t>
            </w:r>
          </w:p>
          <w:p w:rsidR="00000000" w:rsidRPr="00345A71" w:rsidP="00345A71">
            <w:pPr>
              <w:pStyle w:val="ListBullet"/>
            </w:pPr>
            <w:r w:rsidRPr="00345A71">
              <w:t>evaluating, responding and reporting threats to pipeline systems operation</w:t>
            </w:r>
          </w:p>
          <w:p w:rsidR="00000000" w:rsidRPr="00345A71" w:rsidP="00345A71">
            <w:pPr>
              <w:pStyle w:val="ListBullet"/>
            </w:pPr>
            <w:r w:rsidRPr="00345A71">
              <w:t>extracting data and pre-formatted reports from the SCADA system</w:t>
            </w:r>
          </w:p>
          <w:p w:rsidR="00000000" w:rsidRPr="00345A71" w:rsidP="00345A71">
            <w:pPr>
              <w:pStyle w:val="ListBullet"/>
            </w:pPr>
            <w:r w:rsidRPr="00345A71">
              <w:t>identifying SCADA system anomalies</w:t>
            </w:r>
          </w:p>
          <w:p w:rsidR="00000000" w:rsidRPr="00345A71" w:rsidP="00345A71">
            <w:pPr>
              <w:pStyle w:val="ListBullet"/>
            </w:pPr>
            <w:r w:rsidRPr="00345A71">
              <w:t>monitoring and controlling ga</w:t>
            </w:r>
            <w:r w:rsidRPr="00345A71">
              <w:t>s infrastructure using Control Centre systems</w:t>
            </w:r>
          </w:p>
          <w:p w:rsidR="00000000" w:rsidRPr="00345A71" w:rsidP="00345A71">
            <w:pPr>
              <w:pStyle w:val="ListBullet"/>
            </w:pPr>
            <w:r w:rsidRPr="00345A71">
              <w:t>operating communications equipment</w:t>
            </w:r>
          </w:p>
          <w:p w:rsidR="00000000" w:rsidRPr="00345A71" w:rsidP="00345A71">
            <w:pPr>
              <w:pStyle w:val="ListBullet"/>
            </w:pPr>
            <w:r w:rsidRPr="00345A71">
              <w:t>operating Supervisory Control and Data Acquisition (SCADA) and other associated information systems</w:t>
            </w:r>
          </w:p>
          <w:p w:rsidR="00000000" w:rsidRPr="00345A71" w:rsidP="00345A71">
            <w:pPr>
              <w:pStyle w:val="ListBullet"/>
            </w:pPr>
            <w:r w:rsidRPr="00345A71">
              <w:t>participating in handover</w:t>
            </w:r>
          </w:p>
          <w:p w:rsidR="00000000" w:rsidRPr="00345A71" w:rsidP="00345A71">
            <w:pPr>
              <w:pStyle w:val="ListBullet"/>
            </w:pPr>
            <w:r w:rsidRPr="00345A71">
              <w:t>planning to use control centre systems to monitor and control gas infrastructure</w:t>
            </w:r>
          </w:p>
          <w:p w:rsidR="00000000" w:rsidRPr="00345A71" w:rsidP="00345A71">
            <w:pPr>
              <w:pStyle w:val="ListBullet"/>
            </w:pPr>
            <w:r w:rsidRPr="00345A71">
              <w:t xml:space="preserve">reporting faults and incidents </w:t>
            </w:r>
          </w:p>
          <w:p w:rsidR="00000000" w:rsidRPr="00345A71" w:rsidP="00345A71">
            <w:pPr>
              <w:pStyle w:val="ListBullet"/>
            </w:pPr>
            <w:r w:rsidRPr="00345A71">
              <w:t>responding to alarms and out-of-specification conditions.</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13" w:name="O_1127065"/>
      <w:bookmarkEnd w:id="13"/>
      <w:r w:rsidRPr="00345A71">
        <w:t>Knowledge Evidence</w:t>
      </w:r>
    </w:p>
    <w:tbl>
      <w:tblPr>
        <w:tblW w:w="9497" w:type="dxa"/>
        <w:tblLayout w:type="fixed"/>
        <w:tblCellMar>
          <w:left w:w="62" w:type="dxa"/>
          <w:right w:w="62" w:type="dxa"/>
        </w:tblCellMar>
        <w:tblLook w:val="0000"/>
      </w:tblPr>
      <w:tblGrid>
        <w:gridCol w:w="9497"/>
      </w:tblGrid>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5A71">
            <w:pPr>
              <w:pStyle w:val="BodyText"/>
              <w:rPr>
                <w:lang w:val="en-NZ"/>
              </w:rPr>
            </w:pPr>
            <w:r w:rsidRPr="00345A71">
              <w:t>Evidence required to demonstrate competence i</w:t>
            </w:r>
            <w:r w:rsidRPr="00345A71">
              <w:t xml:space="preserve">n this unit must be relevant to and satisfy all of the requirements of the elements, performance criteria and range of conditions and include knowledge of: </w:t>
            </w:r>
          </w:p>
        </w:tc>
      </w:tr>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A71" w:rsidP="00345A71">
            <w:pPr>
              <w:pStyle w:val="ListBullet"/>
            </w:pPr>
            <w:r w:rsidRPr="00345A71">
              <w:t xml:space="preserve">communication in the workplace </w:t>
            </w:r>
          </w:p>
          <w:p w:rsidR="00000000" w:rsidRPr="00345A71" w:rsidP="00345A71">
            <w:pPr>
              <w:pStyle w:val="ListBullet"/>
            </w:pPr>
            <w:r w:rsidRPr="00345A71">
              <w:t>Control Centre systems and relevant system, including:</w:t>
            </w:r>
          </w:p>
          <w:p w:rsidR="00000000" w:rsidRPr="00345A71" w:rsidP="00345A71">
            <w:pPr>
              <w:pStyle w:val="ListBullet2"/>
            </w:pPr>
            <w:r w:rsidRPr="00345A71">
              <w:t>alarm management systems</w:t>
            </w:r>
          </w:p>
          <w:p w:rsidR="00000000" w:rsidRPr="00345A71" w:rsidP="00345A71">
            <w:pPr>
              <w:pStyle w:val="ListBullet2"/>
            </w:pPr>
            <w:r w:rsidRPr="00345A71">
              <w:t>communications systems</w:t>
            </w:r>
          </w:p>
          <w:p w:rsidR="00000000" w:rsidRPr="00345A71" w:rsidP="00345A71">
            <w:pPr>
              <w:pStyle w:val="ListBullet2"/>
            </w:pPr>
            <w:r w:rsidRPr="00345A71">
              <w:t>outage management systems</w:t>
            </w:r>
          </w:p>
          <w:p w:rsidR="00000000" w:rsidRPr="00345A71" w:rsidP="00345A71">
            <w:pPr>
              <w:pStyle w:val="ListBullet2"/>
            </w:pPr>
            <w:r w:rsidRPr="00345A71">
              <w:t>SCADA</w:t>
            </w:r>
          </w:p>
          <w:p w:rsidR="00000000" w:rsidRPr="00345A71" w:rsidP="00345A71">
            <w:pPr>
              <w:pStyle w:val="ListBullet2"/>
            </w:pPr>
            <w:r w:rsidRPr="00345A71">
              <w:t>site security systems</w:t>
            </w:r>
          </w:p>
          <w:p w:rsidR="00000000" w:rsidRPr="00345A71" w:rsidP="00345A71">
            <w:pPr>
              <w:pStyle w:val="ListBullet"/>
            </w:pPr>
            <w:r w:rsidRPr="00345A71">
              <w:t>emergency/incident procedures</w:t>
            </w:r>
          </w:p>
          <w:p w:rsidR="00000000" w:rsidRPr="00345A71" w:rsidP="00345A71">
            <w:pPr>
              <w:pStyle w:val="ListBullet"/>
            </w:pPr>
            <w:r w:rsidRPr="00345A71">
              <w:t>gas industry products, processes and characteristics</w:t>
            </w:r>
          </w:p>
          <w:p w:rsidR="00000000" w:rsidRPr="00345A71" w:rsidP="00345A71">
            <w:pPr>
              <w:pStyle w:val="ListBullet"/>
            </w:pPr>
            <w:r w:rsidRPr="00345A71">
              <w:t>handover procedures</w:t>
            </w:r>
          </w:p>
          <w:p w:rsidR="00000000" w:rsidRPr="00345A71" w:rsidP="00345A71">
            <w:pPr>
              <w:pStyle w:val="ListBullet"/>
            </w:pPr>
            <w:r w:rsidRPr="00345A71">
              <w:t>hazard identification and reporting</w:t>
            </w:r>
          </w:p>
          <w:p w:rsidR="00000000" w:rsidRPr="00345A71" w:rsidP="00345A71">
            <w:pPr>
              <w:pStyle w:val="ListBullet"/>
            </w:pPr>
            <w:r w:rsidRPr="00345A71">
              <w:t>pipeline opera</w:t>
            </w:r>
            <w:r w:rsidRPr="00345A71">
              <w:t>tional parameters</w:t>
            </w:r>
          </w:p>
          <w:p w:rsidR="00000000" w:rsidRPr="00345A71" w:rsidP="00345A71">
            <w:pPr>
              <w:pStyle w:val="ListBullet"/>
            </w:pPr>
            <w:r w:rsidRPr="00345A71">
              <w:t>pipeline systems</w:t>
            </w:r>
          </w:p>
          <w:p w:rsidR="00000000" w:rsidRPr="00345A71" w:rsidP="00345A71">
            <w:pPr>
              <w:pStyle w:val="ListBullet"/>
            </w:pPr>
            <w:r w:rsidRPr="00345A71">
              <w:t>problem-solving techniques</w:t>
            </w:r>
          </w:p>
          <w:p w:rsidR="00000000" w:rsidRPr="00345A71" w:rsidP="00345A71">
            <w:pPr>
              <w:pStyle w:val="ListBullet"/>
            </w:pPr>
            <w:r w:rsidRPr="00345A71">
              <w:t xml:space="preserve">relevant industry standards, guidelines, codes of practice, legislation and regulations </w:t>
            </w:r>
          </w:p>
          <w:p w:rsidR="00000000" w:rsidRPr="00345A71" w:rsidP="00345A71">
            <w:pPr>
              <w:pStyle w:val="ListBullet"/>
            </w:pPr>
            <w:r w:rsidRPr="00345A71">
              <w:t>relevant manufacturer specifications</w:t>
            </w:r>
          </w:p>
          <w:p w:rsidR="00000000" w:rsidRPr="00345A71" w:rsidP="00345A71">
            <w:pPr>
              <w:pStyle w:val="ListBullet"/>
            </w:pPr>
            <w:r w:rsidRPr="00345A71">
              <w:t>relevant safe work method statements (SWMS), job safety assessments or risk mitigation processes</w:t>
            </w:r>
          </w:p>
          <w:p w:rsidR="00000000" w:rsidRPr="00345A71" w:rsidP="00345A71">
            <w:pPr>
              <w:pStyle w:val="ListBullet"/>
            </w:pPr>
            <w:r w:rsidRPr="00345A71">
              <w:t>relevant WHS/OHS regulations, policies and procedures</w:t>
            </w:r>
          </w:p>
          <w:p w:rsidR="00000000" w:rsidRPr="00345A71" w:rsidP="00345A71">
            <w:pPr>
              <w:pStyle w:val="ListBullet"/>
            </w:pPr>
            <w:r w:rsidRPr="00345A71">
              <w:t>relevant workplace policies and procedures</w:t>
            </w:r>
          </w:p>
          <w:p w:rsidR="00000000" w:rsidRPr="00345A71" w:rsidP="00345A71">
            <w:pPr>
              <w:pStyle w:val="ListBullet"/>
            </w:pPr>
            <w:r w:rsidRPr="00345A71">
              <w:t>relevant workplace reports and documentation</w:t>
            </w:r>
          </w:p>
          <w:p w:rsidR="00000000" w:rsidRPr="00345A71" w:rsidP="00345A71">
            <w:pPr>
              <w:pStyle w:val="ListBullet"/>
            </w:pPr>
            <w:r w:rsidRPr="00345A71">
              <w:t>station functions</w:t>
            </w:r>
            <w:r w:rsidRPr="00345A71">
              <w:t>, including identification of abnormal conditions of stations and reporting</w:t>
            </w:r>
          </w:p>
          <w:p w:rsidR="00000000" w:rsidRPr="00345A71" w:rsidP="00345A71">
            <w:pPr>
              <w:pStyle w:val="ListBullet"/>
            </w:pPr>
            <w:r w:rsidRPr="00345A71">
              <w:t>sustainable energy requirements, principles and practices.</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14" w:name="O_1127066"/>
      <w:bookmarkEnd w:id="14"/>
      <w:r w:rsidRPr="00345A71">
        <w:t>Assessment Conditions</w:t>
      </w:r>
    </w:p>
    <w:tbl>
      <w:tblPr>
        <w:tblW w:w="9497" w:type="dxa"/>
        <w:tblLayout w:type="fixed"/>
        <w:tblCellMar>
          <w:left w:w="62" w:type="dxa"/>
          <w:right w:w="62" w:type="dxa"/>
        </w:tblCellMar>
        <w:tblLook w:val="0000"/>
      </w:tblPr>
      <w:tblGrid>
        <w:gridCol w:w="9497"/>
      </w:tblGrid>
      <w:tr w:rsidTr="00345A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A71" w:rsidP="00345A71">
            <w:pPr>
              <w:pStyle w:val="BodyText"/>
            </w:pPr>
            <w:r w:rsidRPr="00345A71">
              <w:t xml:space="preserve">Assessors must hold credentials specified within the Standards for Registered </w:t>
            </w:r>
            <w:r w:rsidRPr="00345A71">
              <w:t xml:space="preserve">Training Organisations current at the time of assessment. </w:t>
            </w:r>
          </w:p>
          <w:p w:rsidR="00000000" w:rsidRPr="00345A71" w:rsidP="00345A71">
            <w:pPr>
              <w:pStyle w:val="BodyText"/>
            </w:pPr>
            <w:r w:rsidRPr="00345A71">
              <w:t xml:space="preserve">Assessment must satisfy the Principles of Assessment </w:t>
            </w:r>
            <w:r w:rsidRPr="00345A71">
              <w:t>and Rules of Evidence and all regulatory requirements included within the Standards for Registered Training Organisations current at the time of assessment.</w:t>
            </w:r>
          </w:p>
          <w:p w:rsidR="00000000" w:rsidRPr="00345A71" w:rsidP="00345A71">
            <w:pPr>
              <w:pStyle w:val="BodyText"/>
            </w:pPr>
            <w:r w:rsidRPr="00345A71">
              <w:t>Assessment must occur in workplace operational situations where it is appropriate to do so; where t</w:t>
            </w:r>
            <w:r w:rsidRPr="00345A71">
              <w:t>his is not appropriate, assessment must occur in simulated workplace operational situations that replicate workplace conditions.</w:t>
            </w:r>
          </w:p>
          <w:p w:rsidR="00000000" w:rsidRPr="00345A71" w:rsidP="00345A71">
            <w:pPr>
              <w:pStyle w:val="BodyText"/>
            </w:pPr>
            <w:r w:rsidRPr="00345A71">
              <w:t>Assessment processes and techniques must be appropriate to the language, literacy and numeracy requirements of the work being p</w:t>
            </w:r>
            <w:r w:rsidRPr="00345A71">
              <w:t>erformed and the needs of the candidate.</w:t>
            </w:r>
          </w:p>
          <w:p w:rsidR="00000000" w:rsidRPr="00345A71" w:rsidP="00345A71">
            <w:pPr>
              <w:pStyle w:val="BodyText"/>
            </w:pPr>
            <w:r w:rsidRPr="00345A71">
              <w:t>Resources for assessment must include access to:</w:t>
            </w:r>
          </w:p>
          <w:p w:rsidR="00000000" w:rsidRPr="00345A71" w:rsidP="00345A71">
            <w:pPr>
              <w:pStyle w:val="ListBullet"/>
            </w:pPr>
            <w:r w:rsidRPr="00345A71">
              <w:t>a range of relevant exercises, case studies and/or other simulations</w:t>
            </w:r>
          </w:p>
          <w:p w:rsidR="00000000" w:rsidRPr="00345A71" w:rsidP="00345A71">
            <w:pPr>
              <w:pStyle w:val="ListBullet"/>
            </w:pPr>
            <w:r w:rsidRPr="00345A71">
              <w:t>relevant and appropriate materials, tools, equipment and personal protective equipment (PPE) cur</w:t>
            </w:r>
            <w:r w:rsidRPr="00345A71">
              <w:t xml:space="preserve">rently used in industry </w:t>
            </w:r>
          </w:p>
          <w:p w:rsidR="00000000" w:rsidRPr="00345A71" w:rsidP="00345A71">
            <w:pPr>
              <w:pStyle w:val="ListBullet"/>
            </w:pPr>
            <w:r w:rsidRPr="00345A71">
              <w:t>applicable documentation, including workplace procedures, equipment specifications, regulations, codes of practice and operation manuals.</w:t>
            </w:r>
          </w:p>
        </w:tc>
      </w:tr>
    </w:tbl>
    <w:p w:rsidR="00000000" w:rsidRPr="00345A71" w:rsidP="00345A71">
      <w:pPr>
        <w:pStyle w:val="NoPaddingFontSize1"/>
      </w:pPr>
    </w:p>
    <w:p w:rsidR="00000000" w:rsidRPr="00345A71" w:rsidP="00345A71">
      <w:pPr>
        <w:pStyle w:val="AllowPageBreak"/>
      </w:pPr>
    </w:p>
    <w:p w:rsidR="00000000" w:rsidRPr="00345A71" w:rsidP="00345A71">
      <w:pPr>
        <w:pStyle w:val="Heading1"/>
      </w:pPr>
      <w:bookmarkStart w:id="15" w:name="O_1127069"/>
      <w:bookmarkEnd w:id="15"/>
      <w:r w:rsidRPr="00345A71">
        <w:t>Links</w:t>
      </w:r>
    </w:p>
    <w:p w:rsidR="00000000" w:rsidRPr="00345A71" w:rsidP="00B53750">
      <w:pPr>
        <w:pStyle w:val="BodyText"/>
      </w:pPr>
      <w:r w:rsidRPr="00345A7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805DE">
        <w:rPr>
          <w:rStyle w:val="Hyperlink"/>
        </w:rPr>
        <w:t>https://vetnet.gov.au/Pages/TrainingDocs.aspx?q=6a6c032e-ffcb-4f3d-8063-415efbd261e8</w:t>
      </w:r>
      <w:r>
        <w:fldChar w:fldCharType="end"/>
      </w:r>
    </w:p>
    <w:p w:rsidR="00000000" w:rsidRPr="00345A71" w:rsidP="00345A71"/>
    <w:sectPr w:rsidSect="00345A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71" w:rsidRPr="00B53750" w:rsidP="00B537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50" w:rsidP="00345A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750" w:rsidP="00345A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53750" w:rsidP="00345A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71" w:rsidP="00345A71">
    <w:pPr>
      <w:pStyle w:val="Footer"/>
      <w:framePr w:wrap="around"/>
    </w:pPr>
    <w:r>
      <w:fldChar w:fldCharType="begin"/>
    </w:r>
    <w:r>
      <w:instrText xml:space="preserve"> DOCPROPERTY  Subject  \* MERGEFORMAT </w:instrText>
    </w:r>
    <w:r>
      <w:fldChar w:fldCharType="separate"/>
    </w:r>
    <w:r w:rsidR="00B53750">
      <w:t>Approved</w:t>
    </w:r>
    <w:r w:rsidR="00B53750">
      <w:fldChar w:fldCharType="end"/>
    </w:r>
    <w:r>
      <w:tab/>
      <w:t xml:space="preserve">Page </w:t>
    </w:r>
    <w:r>
      <w:fldChar w:fldCharType="begin"/>
    </w:r>
    <w:r>
      <w:instrText xml:space="preserve"> PAGE  \* Arabic  \* MERGEFORMAT </w:instrText>
    </w:r>
    <w:r>
      <w:fldChar w:fldCharType="separate"/>
    </w:r>
    <w:r w:rsidR="00B537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750">
      <w:rPr>
        <w:noProof/>
      </w:rPr>
      <w:t>4</w:t>
    </w:r>
    <w:r>
      <w:rPr>
        <w:noProof/>
      </w:rPr>
      <w:fldChar w:fldCharType="end"/>
    </w:r>
  </w:p>
  <w:p w:rsidR="00345A71" w:rsidP="00345A71">
    <w:pPr>
      <w:pStyle w:val="Footer"/>
      <w:framePr w:wrap="around"/>
    </w:pPr>
    <w:r>
      <w:t xml:space="preserve">© Commonwealth of Australia, </w:t>
    </w:r>
    <w:r>
      <w:fldChar w:fldCharType="begin"/>
    </w:r>
    <w:r>
      <w:instrText xml:space="preserve"> DATE  \@ "yyyy"  \* MERGEFORMAT </w:instrText>
    </w:r>
    <w:r>
      <w:fldChar w:fldCharType="separate"/>
    </w:r>
    <w:r w:rsidR="00B53750">
      <w:rPr>
        <w:noProof/>
      </w:rPr>
      <w:t>2025</w:t>
    </w:r>
    <w:r>
      <w:fldChar w:fldCharType="end"/>
    </w:r>
    <w:r>
      <w:tab/>
    </w:r>
    <w:r>
      <w:fldChar w:fldCharType="begin"/>
    </w:r>
    <w:r>
      <w:instrText xml:space="preserve"> DOCPROPERTY  Author  \* MERGEFORMAT </w:instrText>
    </w:r>
    <w:r>
      <w:fldChar w:fldCharType="separate"/>
    </w:r>
    <w:r w:rsidR="00B53750">
      <w:t>Powering Skills Organisation</w:t>
    </w:r>
    <w:r w:rsidR="00B53750">
      <w:fldChar w:fldCharType="end"/>
    </w:r>
  </w:p>
  <w:p w:rsidR="00345A71" w:rsidP="00345A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5A71" w:rsidRPr="00B53750" w:rsidP="00B537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50" w:rsidRPr="002D2AF8" w:rsidP="00345A71">
    <w:pPr>
      <w:pStyle w:val="Header"/>
      <w:framePr w:wrap="around"/>
    </w:pPr>
    <w:r>
      <w:fldChar w:fldCharType="begin"/>
    </w:r>
    <w:r>
      <w:instrText xml:space="preserve"> TITLE   \* MERGEFORMAT </w:instrText>
    </w:r>
    <w:r>
      <w:fldChar w:fldCharType="separate"/>
    </w:r>
    <w:r>
      <w:t>UEGNSG504 Monitor and control gas infrastructure using Control Centre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3750" w:rsidP="00345A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71" w:rsidRPr="002D2AF8" w:rsidP="00345A71">
    <w:pPr>
      <w:pStyle w:val="Header"/>
      <w:framePr w:wrap="around"/>
    </w:pPr>
    <w:r>
      <w:fldChar w:fldCharType="begin"/>
    </w:r>
    <w:r>
      <w:instrText xml:space="preserve"> TITLE   \* MERGEFORMAT </w:instrText>
    </w:r>
    <w:r>
      <w:fldChar w:fldCharType="separate"/>
    </w:r>
    <w:r w:rsidR="00B53750">
      <w:t>UEGNSG504 Monitor and control gas infrastructure using Control Centre systems</w:t>
    </w:r>
    <w:r w:rsidR="00B53750">
      <w:fldChar w:fldCharType="end"/>
    </w:r>
    <w:r>
      <w:tab/>
      <w:t xml:space="preserve">Date this document was generated: </w:t>
    </w:r>
    <w:r>
      <w:fldChar w:fldCharType="begin"/>
    </w:r>
    <w:r>
      <w:instrText xml:space="preserve"> CREATEDATE  \@ "d MMMM yyyy"  \* MERGEFORMAT </w:instrText>
    </w:r>
    <w:r>
      <w:fldChar w:fldCharType="separate"/>
    </w:r>
    <w:r w:rsidR="00B53750">
      <w:rPr>
        <w:noProof/>
      </w:rPr>
      <w:t>2 March 2025</w:t>
    </w:r>
    <w:r>
      <w:fldChar w:fldCharType="end"/>
    </w:r>
  </w:p>
  <w:p w:rsidR="00345A71" w:rsidP="00345A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F03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9A8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0ED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A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A71"/>
    <w:pPr>
      <w:spacing w:before="360" w:after="60"/>
      <w:outlineLvl w:val="0"/>
    </w:pPr>
    <w:rPr>
      <w:sz w:val="32"/>
    </w:rPr>
  </w:style>
  <w:style w:type="paragraph" w:styleId="Heading2">
    <w:name w:val="heading 2"/>
    <w:basedOn w:val="HeadingBase"/>
    <w:next w:val="BodyText"/>
    <w:link w:val="Heading2Char"/>
    <w:qFormat/>
    <w:rsid w:val="00345A71"/>
    <w:pPr>
      <w:keepLines/>
      <w:spacing w:before="240" w:after="120"/>
      <w:outlineLvl w:val="1"/>
    </w:pPr>
    <w:rPr>
      <w:sz w:val="28"/>
      <w:szCs w:val="40"/>
    </w:rPr>
  </w:style>
  <w:style w:type="paragraph" w:styleId="Heading3">
    <w:name w:val="heading 3"/>
    <w:basedOn w:val="HeadingBase"/>
    <w:next w:val="BodyText"/>
    <w:link w:val="Heading3Char"/>
    <w:qFormat/>
    <w:rsid w:val="00345A71"/>
    <w:pPr>
      <w:spacing w:before="180" w:after="120"/>
      <w:outlineLvl w:val="2"/>
    </w:pPr>
    <w:rPr>
      <w:spacing w:val="-10"/>
      <w:kern w:val="32"/>
    </w:rPr>
  </w:style>
  <w:style w:type="paragraph" w:styleId="Heading4">
    <w:name w:val="heading 4"/>
    <w:basedOn w:val="HeadingBase"/>
    <w:next w:val="BodyText"/>
    <w:link w:val="Heading4Char"/>
    <w:qFormat/>
    <w:rsid w:val="00345A71"/>
    <w:pPr>
      <w:spacing w:before="160" w:after="120"/>
      <w:outlineLvl w:val="3"/>
    </w:pPr>
    <w:rPr>
      <w:sz w:val="22"/>
    </w:rPr>
  </w:style>
  <w:style w:type="paragraph" w:styleId="Heading5">
    <w:name w:val="heading 5"/>
    <w:basedOn w:val="HeadingBase"/>
    <w:next w:val="Normal"/>
    <w:link w:val="Heading5Char"/>
    <w:qFormat/>
    <w:rsid w:val="00345A71"/>
    <w:pPr>
      <w:spacing w:before="80"/>
      <w:outlineLvl w:val="4"/>
    </w:pPr>
    <w:rPr>
      <w:color w:val="918585"/>
      <w:sz w:val="20"/>
    </w:rPr>
  </w:style>
  <w:style w:type="paragraph" w:styleId="Heading6">
    <w:name w:val="heading 6"/>
    <w:basedOn w:val="HeadingBase"/>
    <w:next w:val="Normal"/>
    <w:link w:val="Heading6Char"/>
    <w:qFormat/>
    <w:rsid w:val="00345A71"/>
    <w:pPr>
      <w:spacing w:before="60"/>
      <w:outlineLvl w:val="5"/>
    </w:pPr>
    <w:rPr>
      <w:color w:val="918585"/>
      <w:sz w:val="20"/>
    </w:rPr>
  </w:style>
  <w:style w:type="paragraph" w:styleId="Heading7">
    <w:name w:val="heading 7"/>
    <w:basedOn w:val="Normal"/>
    <w:next w:val="Normal"/>
    <w:link w:val="Heading7Char"/>
    <w:qFormat/>
    <w:rsid w:val="00345A71"/>
    <w:pPr>
      <w:ind w:left="720"/>
      <w:outlineLvl w:val="6"/>
    </w:pPr>
    <w:rPr>
      <w:i/>
    </w:rPr>
  </w:style>
  <w:style w:type="paragraph" w:styleId="Heading8">
    <w:name w:val="heading 8"/>
    <w:basedOn w:val="Normal"/>
    <w:next w:val="Normal"/>
    <w:link w:val="Heading8Char"/>
    <w:qFormat/>
    <w:rsid w:val="00345A71"/>
    <w:pPr>
      <w:ind w:left="720"/>
      <w:outlineLvl w:val="7"/>
    </w:pPr>
    <w:rPr>
      <w:i/>
    </w:rPr>
  </w:style>
  <w:style w:type="paragraph" w:styleId="Heading9">
    <w:name w:val="heading 9"/>
    <w:basedOn w:val="Normal"/>
    <w:next w:val="Normal"/>
    <w:link w:val="Heading9Char"/>
    <w:qFormat/>
    <w:rsid w:val="00345A71"/>
    <w:pPr>
      <w:ind w:left="720"/>
      <w:outlineLvl w:val="8"/>
    </w:pPr>
    <w:rPr>
      <w:i/>
    </w:rPr>
  </w:style>
  <w:style w:type="character" w:default="1" w:styleId="DefaultParagraphFont">
    <w:name w:val="Default Paragraph Font"/>
    <w:uiPriority w:val="1"/>
    <w:unhideWhenUsed/>
    <w:rsid w:val="00345A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A71"/>
  </w:style>
  <w:style w:type="character" w:customStyle="1" w:styleId="Heading1Char">
    <w:name w:val="Heading 1 Char"/>
    <w:basedOn w:val="DefaultParagraphFont"/>
    <w:link w:val="Heading1"/>
    <w:rsid w:val="00345A71"/>
    <w:rPr>
      <w:rFonts w:ascii="Times New Roman" w:eastAsia="Times New Roman" w:hAnsi="Times New Roman" w:cs="Times New Roman"/>
      <w:b/>
      <w:sz w:val="32"/>
      <w:szCs w:val="20"/>
      <w:lang w:eastAsia="en-US"/>
    </w:rPr>
  </w:style>
  <w:style w:type="paragraph" w:styleId="BodyText">
    <w:name w:val="Body Text"/>
    <w:basedOn w:val="Normal"/>
    <w:link w:val="BodyTextChar"/>
    <w:rsid w:val="00345A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A71"/>
    <w:rPr>
      <w:rFonts w:ascii="Times New Roman" w:eastAsia="Times New Roman" w:hAnsi="Times New Roman" w:cs="Times New Roman"/>
      <w:sz w:val="24"/>
      <w:lang w:eastAsia="en-US"/>
    </w:rPr>
  </w:style>
  <w:style w:type="paragraph" w:styleId="ListBullet">
    <w:name w:val="List Bullet"/>
    <w:basedOn w:val="List"/>
    <w:rsid w:val="00345A71"/>
    <w:pPr>
      <w:numPr>
        <w:numId w:val="12"/>
      </w:numPr>
      <w:tabs>
        <w:tab w:val="clear" w:pos="340"/>
      </w:tabs>
      <w:spacing w:before="40" w:after="40"/>
    </w:pPr>
  </w:style>
  <w:style w:type="character" w:customStyle="1" w:styleId="SpecialBold">
    <w:name w:val="Special Bold"/>
    <w:basedOn w:val="DefaultParagraphFont"/>
    <w:rsid w:val="00345A71"/>
    <w:rPr>
      <w:b/>
      <w:spacing w:val="0"/>
    </w:rPr>
  </w:style>
  <w:style w:type="paragraph" w:styleId="ListBullet2">
    <w:name w:val="List Bullet 2"/>
    <w:basedOn w:val="List2"/>
    <w:rsid w:val="00345A71"/>
    <w:pPr>
      <w:numPr>
        <w:numId w:val="13"/>
      </w:numPr>
      <w:tabs>
        <w:tab w:val="clear" w:pos="680"/>
      </w:tabs>
    </w:pPr>
  </w:style>
  <w:style w:type="paragraph" w:customStyle="1" w:styleId="SuperHeading">
    <w:name w:val="SuperHeading"/>
    <w:basedOn w:val="Normal"/>
    <w:rsid w:val="00345A71"/>
    <w:pPr>
      <w:spacing w:before="240" w:after="120"/>
      <w:outlineLvl w:val="0"/>
    </w:pPr>
    <w:rPr>
      <w:rFonts w:ascii="Times New Roman" w:hAnsi="Times New Roman"/>
      <w:b/>
      <w:sz w:val="32"/>
    </w:rPr>
  </w:style>
  <w:style w:type="paragraph" w:customStyle="1" w:styleId="AllowPageBreak">
    <w:name w:val="AllowPageBreak"/>
    <w:rsid w:val="00345A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5A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A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A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A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A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A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A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A71"/>
    <w:rPr>
      <w:rFonts w:ascii="Courier New" w:eastAsia="Times New Roman" w:hAnsi="Courier New" w:cs="Times New Roman"/>
      <w:i/>
      <w:szCs w:val="20"/>
      <w:lang w:eastAsia="en-US"/>
    </w:rPr>
  </w:style>
  <w:style w:type="paragraph" w:customStyle="1" w:styleId="HeadingBase">
    <w:name w:val="Heading Base"/>
    <w:rsid w:val="00345A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A71"/>
    <w:pPr>
      <w:tabs>
        <w:tab w:val="right" w:leader="dot" w:pos="9072"/>
      </w:tabs>
      <w:ind w:left="567"/>
    </w:pPr>
    <w:rPr>
      <w:szCs w:val="22"/>
    </w:rPr>
  </w:style>
  <w:style w:type="paragraph" w:customStyle="1" w:styleId="TOCBase">
    <w:name w:val="TOC Base"/>
    <w:rsid w:val="00345A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A71"/>
    <w:pPr>
      <w:tabs>
        <w:tab w:val="right" w:leader="dot" w:pos="9072"/>
      </w:tabs>
      <w:spacing w:before="40" w:after="40"/>
      <w:ind w:left="284"/>
    </w:pPr>
    <w:rPr>
      <w:rFonts w:ascii="Times New Roman" w:hAnsi="Times New Roman"/>
    </w:rPr>
  </w:style>
  <w:style w:type="paragraph" w:styleId="TOC1">
    <w:name w:val="toc 1"/>
    <w:basedOn w:val="TOCBase"/>
    <w:next w:val="Normal"/>
    <w:rsid w:val="00345A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A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A71"/>
    <w:rPr>
      <w:rFonts w:ascii="Times New Roman" w:eastAsia="Times New Roman" w:hAnsi="Times New Roman" w:cs="Times New Roman"/>
      <w:sz w:val="16"/>
      <w:lang w:eastAsia="en-US"/>
    </w:rPr>
  </w:style>
  <w:style w:type="paragraph" w:styleId="Title">
    <w:name w:val="Title"/>
    <w:basedOn w:val="HeadingBase"/>
    <w:link w:val="TitleChar"/>
    <w:qFormat/>
    <w:rsid w:val="00345A71"/>
    <w:pPr>
      <w:spacing w:before="5040"/>
      <w:jc w:val="center"/>
    </w:pPr>
    <w:rPr>
      <w:sz w:val="48"/>
      <w:szCs w:val="72"/>
      <w:lang w:val="en-US"/>
    </w:rPr>
  </w:style>
  <w:style w:type="character" w:customStyle="1" w:styleId="TitleChar">
    <w:name w:val="Title Char"/>
    <w:basedOn w:val="DefaultParagraphFont"/>
    <w:link w:val="Title"/>
    <w:rsid w:val="00345A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A71"/>
    <w:pPr>
      <w:tabs>
        <w:tab w:val="left" w:pos="3600"/>
        <w:tab w:val="left" w:pos="3958"/>
      </w:tabs>
    </w:pPr>
  </w:style>
  <w:style w:type="paragraph" w:styleId="List">
    <w:name w:val="List"/>
    <w:basedOn w:val="BodyText"/>
    <w:next w:val="BodyText"/>
    <w:rsid w:val="00345A71"/>
    <w:pPr>
      <w:tabs>
        <w:tab w:val="left" w:pos="340"/>
      </w:tabs>
      <w:spacing w:before="60" w:after="60"/>
      <w:ind w:left="340" w:hanging="340"/>
    </w:pPr>
  </w:style>
  <w:style w:type="paragraph" w:customStyle="1" w:styleId="Note">
    <w:name w:val="Note"/>
    <w:basedOn w:val="BodyText"/>
    <w:rsid w:val="00345A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A71"/>
    <w:pPr>
      <w:framePr w:wrap="auto" w:hAnchor="text" w:y="6049"/>
    </w:pPr>
    <w:rPr>
      <w:color w:val="000000"/>
      <w:sz w:val="40"/>
    </w:rPr>
  </w:style>
  <w:style w:type="paragraph" w:customStyle="1" w:styleId="TOCTitle">
    <w:name w:val="TOCTitle"/>
    <w:basedOn w:val="Heading1"/>
    <w:rsid w:val="00345A71"/>
    <w:pPr>
      <w:spacing w:after="240"/>
      <w:jc w:val="center"/>
      <w:outlineLvl w:val="9"/>
    </w:pPr>
    <w:rPr>
      <w:caps/>
    </w:rPr>
  </w:style>
  <w:style w:type="paragraph" w:customStyle="1" w:styleId="Version">
    <w:name w:val="Version"/>
    <w:rsid w:val="00345A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A71"/>
    <w:pPr>
      <w:keepNext w:val="0"/>
      <w:tabs>
        <w:tab w:val="right" w:pos="4176"/>
      </w:tabs>
      <w:ind w:left="198" w:hanging="198"/>
    </w:pPr>
    <w:rPr>
      <w:rFonts w:ascii="Garamond" w:hAnsi="Garamond"/>
    </w:rPr>
  </w:style>
  <w:style w:type="paragraph" w:styleId="IndexHeading">
    <w:name w:val="index heading"/>
    <w:basedOn w:val="Normal"/>
    <w:next w:val="Index1"/>
    <w:semiHidden/>
    <w:rsid w:val="00345A71"/>
    <w:pPr>
      <w:spacing w:before="120" w:after="120"/>
    </w:pPr>
    <w:rPr>
      <w:rFonts w:ascii="Arial" w:hAnsi="Arial"/>
      <w:b/>
      <w:color w:val="918585"/>
      <w:sz w:val="24"/>
    </w:rPr>
  </w:style>
  <w:style w:type="paragraph" w:styleId="Header">
    <w:name w:val="header"/>
    <w:basedOn w:val="Normal"/>
    <w:link w:val="HeaderChar"/>
    <w:rsid w:val="00345A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A71"/>
    <w:rPr>
      <w:rFonts w:ascii="Times New Roman" w:eastAsia="Times New Roman" w:hAnsi="Times New Roman" w:cs="Times New Roman"/>
      <w:sz w:val="16"/>
      <w:szCs w:val="20"/>
      <w:lang w:val="en-GB" w:eastAsia="en-US"/>
    </w:rPr>
  </w:style>
  <w:style w:type="paragraph" w:customStyle="1" w:styleId="Chapter">
    <w:name w:val="Chapter"/>
    <w:basedOn w:val="Normal"/>
    <w:rsid w:val="00345A71"/>
    <w:pPr>
      <w:spacing w:before="240"/>
    </w:pPr>
    <w:rPr>
      <w:rFonts w:ascii="Times New Roman" w:hAnsi="Times New Roman"/>
      <w:smallCaps/>
      <w:spacing w:val="80"/>
      <w:sz w:val="28"/>
    </w:rPr>
  </w:style>
  <w:style w:type="paragraph" w:customStyle="1" w:styleId="InChapter">
    <w:name w:val="InChapter"/>
    <w:basedOn w:val="Heading3"/>
    <w:rsid w:val="00345A71"/>
    <w:pPr>
      <w:spacing w:after="240"/>
      <w:outlineLvl w:val="9"/>
    </w:pPr>
    <w:rPr>
      <w:noProof/>
    </w:rPr>
  </w:style>
  <w:style w:type="paragraph" w:styleId="Index2">
    <w:name w:val="index 2"/>
    <w:basedOn w:val="Normal"/>
    <w:next w:val="Normal"/>
    <w:semiHidden/>
    <w:rsid w:val="00345A71"/>
    <w:pPr>
      <w:tabs>
        <w:tab w:val="right" w:pos="4176"/>
      </w:tabs>
      <w:ind w:left="568" w:hanging="284"/>
    </w:pPr>
    <w:rPr>
      <w:rFonts w:ascii="Garamond" w:hAnsi="Garamond"/>
    </w:rPr>
  </w:style>
  <w:style w:type="paragraph" w:customStyle="1" w:styleId="Byline">
    <w:name w:val="Byline"/>
    <w:rsid w:val="00345A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A71"/>
    <w:pPr>
      <w:tabs>
        <w:tab w:val="clear" w:pos="3600"/>
        <w:tab w:val="clear" w:pos="3958"/>
      </w:tabs>
      <w:jc w:val="right"/>
    </w:pPr>
  </w:style>
  <w:style w:type="character" w:styleId="Emphasis">
    <w:name w:val="Emphasis"/>
    <w:basedOn w:val="DefaultParagraphFont"/>
    <w:qFormat/>
    <w:rsid w:val="00345A71"/>
    <w:rPr>
      <w:i/>
    </w:rPr>
  </w:style>
  <w:style w:type="paragraph" w:styleId="Caption">
    <w:name w:val="caption"/>
    <w:basedOn w:val="BodyText"/>
    <w:next w:val="Normal"/>
    <w:qFormat/>
    <w:rsid w:val="00345A71"/>
    <w:pPr>
      <w:framePr w:w="2268" w:hSpace="181" w:vSpace="181" w:wrap="around" w:vAnchor="text" w:hAnchor="page" w:x="1135" w:y="285" w:anchorLock="1"/>
    </w:pPr>
    <w:rPr>
      <w:i/>
    </w:rPr>
  </w:style>
  <w:style w:type="paragraph" w:customStyle="1" w:styleId="MiniTOCTitle">
    <w:name w:val="MiniTOCTitle"/>
    <w:basedOn w:val="Heading4"/>
    <w:rsid w:val="00345A71"/>
    <w:pPr>
      <w:spacing w:before="240"/>
      <w:outlineLvl w:val="9"/>
    </w:pPr>
    <w:rPr>
      <w:noProof/>
      <w:sz w:val="24"/>
    </w:rPr>
  </w:style>
  <w:style w:type="paragraph" w:customStyle="1" w:styleId="MiniTOCItem">
    <w:name w:val="MiniTOCItem"/>
    <w:basedOn w:val="ListBullet"/>
    <w:rsid w:val="00345A71"/>
    <w:pPr>
      <w:numPr>
        <w:numId w:val="0"/>
      </w:numPr>
      <w:tabs>
        <w:tab w:val="right" w:leader="dot" w:pos="6521"/>
      </w:tabs>
      <w:spacing w:before="0" w:after="0"/>
    </w:pPr>
  </w:style>
  <w:style w:type="paragraph" w:customStyle="1" w:styleId="TOFTitle">
    <w:name w:val="TOFTitle"/>
    <w:basedOn w:val="TOCTitle"/>
    <w:rsid w:val="00345A71"/>
  </w:style>
  <w:style w:type="paragraph" w:styleId="TableofFigures">
    <w:name w:val="table of figures"/>
    <w:basedOn w:val="Normal"/>
    <w:next w:val="Normal"/>
    <w:semiHidden/>
    <w:rsid w:val="00345A71"/>
    <w:pPr>
      <w:tabs>
        <w:tab w:val="right" w:leader="dot" w:pos="9072"/>
      </w:tabs>
      <w:ind w:left="970" w:hanging="403"/>
    </w:pPr>
    <w:rPr>
      <w:rFonts w:ascii="Times New Roman" w:hAnsi="Times New Roman"/>
      <w:b/>
    </w:rPr>
  </w:style>
  <w:style w:type="paragraph" w:styleId="ListNumber">
    <w:name w:val="List Number"/>
    <w:basedOn w:val="List"/>
    <w:rsid w:val="00345A71"/>
    <w:pPr>
      <w:numPr>
        <w:numId w:val="15"/>
      </w:numPr>
      <w:tabs>
        <w:tab w:val="clear" w:pos="340"/>
      </w:tabs>
    </w:pPr>
  </w:style>
  <w:style w:type="character" w:customStyle="1" w:styleId="WingdingSymbols">
    <w:name w:val="Wingding Symbols"/>
    <w:rsid w:val="00345A71"/>
    <w:rPr>
      <w:rFonts w:ascii="Wingdings" w:hAnsi="Wingdings"/>
    </w:rPr>
  </w:style>
  <w:style w:type="paragraph" w:customStyle="1" w:styleId="TableHeading">
    <w:name w:val="Table Heading"/>
    <w:basedOn w:val="HeadingBase"/>
    <w:rsid w:val="00345A71"/>
    <w:pPr>
      <w:keepLines/>
      <w:pBdr>
        <w:bottom w:val="single" w:sz="6" w:space="1" w:color="918585"/>
      </w:pBdr>
      <w:spacing w:before="240"/>
    </w:pPr>
  </w:style>
  <w:style w:type="character" w:customStyle="1" w:styleId="HotSpot">
    <w:name w:val="HotSpot"/>
    <w:rsid w:val="00345A71"/>
    <w:rPr>
      <w:color w:val="0033CC"/>
      <w:u w:val="none"/>
    </w:rPr>
  </w:style>
  <w:style w:type="paragraph" w:customStyle="1" w:styleId="BodyTextRight">
    <w:name w:val="Body Text Right"/>
    <w:basedOn w:val="BodyText"/>
    <w:rsid w:val="00345A71"/>
    <w:pPr>
      <w:spacing w:before="0" w:after="0"/>
      <w:jc w:val="right"/>
    </w:pPr>
  </w:style>
  <w:style w:type="paragraph" w:styleId="Index3">
    <w:name w:val="index 3"/>
    <w:basedOn w:val="ListNumber2"/>
    <w:next w:val="Normal"/>
    <w:semiHidden/>
    <w:rsid w:val="00345A71"/>
    <w:pPr>
      <w:numPr>
        <w:numId w:val="0"/>
      </w:numPr>
      <w:tabs>
        <w:tab w:val="right" w:leader="dot" w:pos="4176"/>
      </w:tabs>
    </w:pPr>
  </w:style>
  <w:style w:type="paragraph" w:styleId="ListNumber2">
    <w:name w:val="List Number 2"/>
    <w:basedOn w:val="List2"/>
    <w:rsid w:val="00345A71"/>
    <w:pPr>
      <w:numPr>
        <w:numId w:val="10"/>
      </w:numPr>
      <w:tabs>
        <w:tab w:val="clear" w:pos="1060"/>
      </w:tabs>
    </w:pPr>
  </w:style>
  <w:style w:type="paragraph" w:customStyle="1" w:styleId="MarginNote">
    <w:name w:val="Margin Note"/>
    <w:basedOn w:val="BodyText"/>
    <w:rsid w:val="00345A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A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A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A71"/>
    <w:rPr>
      <w:sz w:val="32"/>
    </w:rPr>
  </w:style>
  <w:style w:type="paragraph" w:customStyle="1" w:styleId="HeadingProcedure">
    <w:name w:val="Heading Procedure"/>
    <w:basedOn w:val="HeadingBase"/>
    <w:next w:val="Normal"/>
    <w:rsid w:val="00345A71"/>
    <w:pPr>
      <w:tabs>
        <w:tab w:val="left" w:pos="0"/>
      </w:tabs>
      <w:spacing w:before="120" w:after="60"/>
    </w:pPr>
    <w:rPr>
      <w:i/>
      <w:color w:val="918585"/>
      <w:sz w:val="22"/>
    </w:rPr>
  </w:style>
  <w:style w:type="paragraph" w:customStyle="1" w:styleId="TableBodyText">
    <w:name w:val="Table Body Text"/>
    <w:basedOn w:val="BodyText"/>
    <w:rsid w:val="00345A71"/>
    <w:pPr>
      <w:spacing w:before="60" w:after="60"/>
    </w:pPr>
  </w:style>
  <w:style w:type="paragraph" w:styleId="ListContinue">
    <w:name w:val="List Continue"/>
    <w:basedOn w:val="List"/>
    <w:rsid w:val="00345A71"/>
    <w:pPr>
      <w:ind w:firstLine="0"/>
    </w:pPr>
  </w:style>
  <w:style w:type="paragraph" w:customStyle="1" w:styleId="ListNote">
    <w:name w:val="List Note"/>
    <w:basedOn w:val="List"/>
    <w:rsid w:val="00345A71"/>
    <w:pPr>
      <w:pBdr>
        <w:top w:val="single" w:sz="6" w:space="2" w:color="918585"/>
        <w:bottom w:val="single" w:sz="6" w:space="2" w:color="918585"/>
      </w:pBdr>
      <w:tabs>
        <w:tab w:val="left" w:pos="1021"/>
      </w:tabs>
      <w:ind w:firstLine="0"/>
    </w:pPr>
  </w:style>
  <w:style w:type="paragraph" w:customStyle="1" w:styleId="Warning">
    <w:name w:val="Warning"/>
    <w:basedOn w:val="BodyText"/>
    <w:rsid w:val="00345A71"/>
    <w:pPr>
      <w:shd w:val="clear" w:color="auto" w:fill="D9D9D9"/>
      <w:tabs>
        <w:tab w:val="left" w:pos="992"/>
      </w:tabs>
      <w:ind w:left="119" w:right="119"/>
    </w:pPr>
    <w:rPr>
      <w:sz w:val="20"/>
    </w:rPr>
  </w:style>
  <w:style w:type="paragraph" w:customStyle="1" w:styleId="MarginIcons">
    <w:name w:val="Margin Icons"/>
    <w:basedOn w:val="BodyText"/>
    <w:rsid w:val="00345A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A71"/>
    <w:rPr>
      <w:rFonts w:ascii="Courier New" w:hAnsi="Courier New"/>
    </w:rPr>
  </w:style>
  <w:style w:type="paragraph" w:customStyle="1" w:styleId="NoteBullet">
    <w:name w:val="Note Bullet"/>
    <w:basedOn w:val="Note"/>
    <w:rsid w:val="00345A71"/>
    <w:pPr>
      <w:tabs>
        <w:tab w:val="clear" w:pos="680"/>
      </w:tabs>
      <w:spacing w:before="60" w:after="60"/>
    </w:pPr>
  </w:style>
  <w:style w:type="paragraph" w:customStyle="1" w:styleId="SubHeading2">
    <w:name w:val="SubHeading2"/>
    <w:basedOn w:val="HeadingBase"/>
    <w:rsid w:val="00345A71"/>
    <w:pPr>
      <w:spacing w:before="240" w:after="60"/>
    </w:pPr>
    <w:rPr>
      <w:sz w:val="20"/>
    </w:rPr>
  </w:style>
  <w:style w:type="paragraph" w:customStyle="1" w:styleId="SubHeading1">
    <w:name w:val="SubHeading1"/>
    <w:basedOn w:val="HeadingBase"/>
    <w:rsid w:val="00345A71"/>
    <w:pPr>
      <w:spacing w:before="240" w:after="60"/>
    </w:pPr>
    <w:rPr>
      <w:color w:val="918585"/>
      <w:sz w:val="22"/>
    </w:rPr>
  </w:style>
  <w:style w:type="paragraph" w:customStyle="1" w:styleId="SideHeading">
    <w:name w:val="Side Heading"/>
    <w:basedOn w:val="HeadingBase"/>
    <w:rsid w:val="00345A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A71"/>
    <w:pPr>
      <w:tabs>
        <w:tab w:val="num" w:pos="360"/>
      </w:tabs>
    </w:pPr>
  </w:style>
  <w:style w:type="paragraph" w:styleId="PlainText">
    <w:name w:val="Plain Text"/>
    <w:basedOn w:val="Normal"/>
    <w:link w:val="PlainTextChar"/>
    <w:rsid w:val="00345A71"/>
    <w:rPr>
      <w:sz w:val="20"/>
    </w:rPr>
  </w:style>
  <w:style w:type="character" w:customStyle="1" w:styleId="PlainTextChar">
    <w:name w:val="Plain Text Char"/>
    <w:basedOn w:val="DefaultParagraphFont"/>
    <w:link w:val="PlainText"/>
    <w:rsid w:val="00345A71"/>
    <w:rPr>
      <w:rFonts w:ascii="Courier New" w:eastAsia="Times New Roman" w:hAnsi="Courier New" w:cs="Times New Roman"/>
      <w:sz w:val="20"/>
      <w:szCs w:val="20"/>
      <w:lang w:eastAsia="en-US"/>
    </w:rPr>
  </w:style>
  <w:style w:type="character" w:customStyle="1" w:styleId="MenuOption">
    <w:name w:val="Menu Option"/>
    <w:basedOn w:val="DefaultParagraphFont"/>
    <w:rsid w:val="00345A71"/>
    <w:rPr>
      <w:b/>
      <w:smallCaps/>
    </w:rPr>
  </w:style>
  <w:style w:type="paragraph" w:customStyle="1" w:styleId="TableListNumber">
    <w:name w:val="Table List Number"/>
    <w:basedOn w:val="ListNumber"/>
    <w:rsid w:val="00345A71"/>
    <w:pPr>
      <w:numPr>
        <w:numId w:val="0"/>
      </w:numPr>
    </w:pPr>
  </w:style>
  <w:style w:type="paragraph" w:styleId="TOC4">
    <w:name w:val="toc 4"/>
    <w:basedOn w:val="TOCBase"/>
    <w:next w:val="Normal"/>
    <w:semiHidden/>
    <w:rsid w:val="00345A71"/>
    <w:pPr>
      <w:tabs>
        <w:tab w:val="right" w:leader="dot" w:pos="9071"/>
      </w:tabs>
      <w:ind w:left="1701"/>
    </w:pPr>
  </w:style>
  <w:style w:type="paragraph" w:customStyle="1" w:styleId="ListAlpha">
    <w:name w:val="List Alpha"/>
    <w:basedOn w:val="List"/>
    <w:rsid w:val="00345A71"/>
    <w:pPr>
      <w:numPr>
        <w:numId w:val="9"/>
      </w:numPr>
    </w:pPr>
  </w:style>
  <w:style w:type="paragraph" w:customStyle="1" w:styleId="ListAlpha2">
    <w:name w:val="List Alpha 2"/>
    <w:basedOn w:val="List2"/>
    <w:rsid w:val="00345A71"/>
    <w:pPr>
      <w:numPr>
        <w:numId w:val="8"/>
      </w:numPr>
    </w:pPr>
  </w:style>
  <w:style w:type="paragraph" w:styleId="List2">
    <w:name w:val="List 2"/>
    <w:basedOn w:val="BodyText"/>
    <w:rsid w:val="00345A71"/>
    <w:pPr>
      <w:tabs>
        <w:tab w:val="left" w:pos="680"/>
      </w:tabs>
      <w:spacing w:before="60" w:after="60"/>
      <w:ind w:left="680" w:hanging="340"/>
    </w:pPr>
  </w:style>
  <w:style w:type="paragraph" w:styleId="List3">
    <w:name w:val="List 3"/>
    <w:basedOn w:val="BodyText"/>
    <w:rsid w:val="00345A71"/>
    <w:pPr>
      <w:tabs>
        <w:tab w:val="left" w:pos="1021"/>
      </w:tabs>
      <w:spacing w:before="60" w:after="60"/>
      <w:ind w:left="1020" w:hanging="340"/>
    </w:pPr>
  </w:style>
  <w:style w:type="paragraph" w:styleId="List4">
    <w:name w:val="List 4"/>
    <w:basedOn w:val="BodyText"/>
    <w:rsid w:val="00345A71"/>
    <w:pPr>
      <w:tabs>
        <w:tab w:val="left" w:pos="1361"/>
      </w:tabs>
      <w:spacing w:before="60" w:after="60"/>
      <w:ind w:left="1361" w:hanging="340"/>
    </w:pPr>
  </w:style>
  <w:style w:type="paragraph" w:styleId="List5">
    <w:name w:val="List 5"/>
    <w:basedOn w:val="BodyText"/>
    <w:rsid w:val="00345A71"/>
    <w:pPr>
      <w:tabs>
        <w:tab w:val="left" w:pos="1701"/>
      </w:tabs>
      <w:spacing w:before="60" w:after="60"/>
      <w:ind w:left="1701" w:hanging="340"/>
    </w:pPr>
  </w:style>
  <w:style w:type="paragraph" w:styleId="ListBullet3">
    <w:name w:val="List Bullet 3"/>
    <w:basedOn w:val="List3"/>
    <w:rsid w:val="00345A71"/>
    <w:pPr>
      <w:numPr>
        <w:numId w:val="14"/>
      </w:numPr>
      <w:tabs>
        <w:tab w:val="clear" w:pos="1021"/>
      </w:tabs>
      <w:ind w:left="1037" w:hanging="357"/>
    </w:pPr>
  </w:style>
  <w:style w:type="paragraph" w:styleId="ListBullet4">
    <w:name w:val="List Bullet 4"/>
    <w:basedOn w:val="List4"/>
    <w:rsid w:val="00345A71"/>
    <w:pPr>
      <w:numPr>
        <w:numId w:val="3"/>
      </w:numPr>
      <w:tabs>
        <w:tab w:val="clear" w:pos="1361"/>
      </w:tabs>
    </w:pPr>
  </w:style>
  <w:style w:type="paragraph" w:styleId="ListBullet5">
    <w:name w:val="List Bullet 5"/>
    <w:basedOn w:val="List5"/>
    <w:rsid w:val="00345A71"/>
    <w:pPr>
      <w:numPr>
        <w:numId w:val="4"/>
      </w:numPr>
    </w:pPr>
  </w:style>
  <w:style w:type="paragraph" w:styleId="ListContinue2">
    <w:name w:val="List Continue 2"/>
    <w:basedOn w:val="List2"/>
    <w:rsid w:val="00345A71"/>
    <w:pPr>
      <w:ind w:firstLine="0"/>
    </w:pPr>
  </w:style>
  <w:style w:type="paragraph" w:styleId="ListContinue3">
    <w:name w:val="List Continue 3"/>
    <w:basedOn w:val="List3"/>
    <w:rsid w:val="00345A71"/>
    <w:pPr>
      <w:ind w:left="1021" w:firstLine="0"/>
    </w:pPr>
  </w:style>
  <w:style w:type="paragraph" w:styleId="ListContinue4">
    <w:name w:val="List Continue 4"/>
    <w:basedOn w:val="List4"/>
    <w:rsid w:val="00345A71"/>
    <w:pPr>
      <w:ind w:firstLine="0"/>
    </w:pPr>
  </w:style>
  <w:style w:type="paragraph" w:styleId="ListContinue5">
    <w:name w:val="List Continue 5"/>
    <w:basedOn w:val="List5"/>
    <w:rsid w:val="00345A71"/>
    <w:pPr>
      <w:ind w:firstLine="0"/>
    </w:pPr>
  </w:style>
  <w:style w:type="paragraph" w:styleId="ListNumber3">
    <w:name w:val="List Number 3"/>
    <w:basedOn w:val="List3"/>
    <w:rsid w:val="00345A71"/>
    <w:pPr>
      <w:numPr>
        <w:numId w:val="5"/>
      </w:numPr>
    </w:pPr>
  </w:style>
  <w:style w:type="paragraph" w:styleId="ListNumber4">
    <w:name w:val="List Number 4"/>
    <w:basedOn w:val="List4"/>
    <w:rsid w:val="00345A71"/>
    <w:pPr>
      <w:numPr>
        <w:numId w:val="6"/>
      </w:numPr>
    </w:pPr>
  </w:style>
  <w:style w:type="paragraph" w:styleId="ListNumber5">
    <w:name w:val="List Number 5"/>
    <w:basedOn w:val="List5"/>
    <w:rsid w:val="00345A71"/>
    <w:pPr>
      <w:numPr>
        <w:numId w:val="7"/>
      </w:numPr>
    </w:pPr>
  </w:style>
  <w:style w:type="paragraph" w:styleId="BlockText">
    <w:name w:val="Block Text"/>
    <w:basedOn w:val="Normal"/>
    <w:rsid w:val="00345A71"/>
    <w:pPr>
      <w:spacing w:after="120"/>
      <w:ind w:left="1440" w:right="1440"/>
    </w:pPr>
  </w:style>
  <w:style w:type="character" w:customStyle="1" w:styleId="Subscript">
    <w:name w:val="Subscript"/>
    <w:basedOn w:val="DefaultParagraphFont"/>
    <w:rsid w:val="00345A71"/>
    <w:rPr>
      <w:sz w:val="16"/>
      <w:vertAlign w:val="subscript"/>
    </w:rPr>
  </w:style>
  <w:style w:type="character" w:customStyle="1" w:styleId="Superscript">
    <w:name w:val="Superscript"/>
    <w:basedOn w:val="DefaultParagraphFont"/>
    <w:rsid w:val="00345A71"/>
    <w:rPr>
      <w:sz w:val="16"/>
      <w:vertAlign w:val="superscript"/>
    </w:rPr>
  </w:style>
  <w:style w:type="character" w:customStyle="1" w:styleId="Symbols">
    <w:name w:val="Symbols"/>
    <w:basedOn w:val="DefaultParagraphFont"/>
    <w:rsid w:val="00345A71"/>
    <w:rPr>
      <w:rFonts w:ascii="Symbol" w:hAnsi="Symbol"/>
    </w:rPr>
  </w:style>
  <w:style w:type="character" w:customStyle="1" w:styleId="MenuOptions">
    <w:name w:val="Menu Options"/>
    <w:basedOn w:val="DefaultParagraphFont"/>
    <w:rsid w:val="00345A71"/>
    <w:rPr>
      <w:rFonts w:ascii="Arial Narrow" w:hAnsi="Arial Narrow"/>
      <w:smallCaps/>
    </w:rPr>
  </w:style>
  <w:style w:type="character" w:customStyle="1" w:styleId="Buttons">
    <w:name w:val="Buttons"/>
    <w:basedOn w:val="DefaultParagraphFont"/>
    <w:rsid w:val="00345A71"/>
    <w:rPr>
      <w:b/>
    </w:rPr>
  </w:style>
  <w:style w:type="character" w:customStyle="1" w:styleId="Underlined">
    <w:name w:val="Underlined"/>
    <w:basedOn w:val="DefaultParagraphFont"/>
    <w:rsid w:val="00345A71"/>
    <w:rPr>
      <w:u w:val="single"/>
    </w:rPr>
  </w:style>
  <w:style w:type="paragraph" w:customStyle="1" w:styleId="TableBodyTextRight">
    <w:name w:val="Table Body Text Right"/>
    <w:basedOn w:val="TableBodyText"/>
    <w:rsid w:val="00345A71"/>
    <w:pPr>
      <w:widowControl w:val="0"/>
      <w:autoSpaceDE w:val="0"/>
      <w:autoSpaceDN w:val="0"/>
      <w:adjustRightInd w:val="0"/>
      <w:jc w:val="right"/>
    </w:pPr>
    <w:rPr>
      <w:rFonts w:cs="Arial"/>
      <w:szCs w:val="18"/>
    </w:rPr>
  </w:style>
  <w:style w:type="paragraph" w:customStyle="1" w:styleId="CopyrightText">
    <w:name w:val="Copyright Text"/>
    <w:basedOn w:val="BodyText"/>
    <w:rsid w:val="00345A71"/>
    <w:rPr>
      <w:sz w:val="18"/>
    </w:rPr>
  </w:style>
  <w:style w:type="paragraph" w:customStyle="1" w:styleId="BodySmallRight">
    <w:name w:val="Body Small Right"/>
    <w:basedOn w:val="BodyTextRight"/>
    <w:rsid w:val="00345A71"/>
    <w:rPr>
      <w:sz w:val="18"/>
      <w:szCs w:val="18"/>
    </w:rPr>
  </w:style>
  <w:style w:type="paragraph" w:customStyle="1" w:styleId="MarginEdition">
    <w:name w:val="Margin Edition"/>
    <w:basedOn w:val="MarginNote"/>
    <w:rsid w:val="00345A71"/>
    <w:pPr>
      <w:spacing w:before="0" w:after="0"/>
    </w:pPr>
    <w:rPr>
      <w:rFonts w:ascii="Times New Roman" w:hAnsi="Times New Roman"/>
      <w:color w:val="999999"/>
    </w:rPr>
  </w:style>
  <w:style w:type="paragraph" w:customStyle="1" w:styleId="Spacer">
    <w:name w:val="Spacer"/>
    <w:basedOn w:val="Normal"/>
    <w:rsid w:val="00345A71"/>
    <w:rPr>
      <w:sz w:val="2"/>
      <w:szCs w:val="2"/>
    </w:rPr>
  </w:style>
  <w:style w:type="character" w:customStyle="1" w:styleId="Small">
    <w:name w:val="Small"/>
    <w:basedOn w:val="DefaultParagraphFont"/>
    <w:rsid w:val="00345A71"/>
    <w:rPr>
      <w:sz w:val="16"/>
    </w:rPr>
  </w:style>
  <w:style w:type="paragraph" w:customStyle="1" w:styleId="WideTable">
    <w:name w:val="Wide Table"/>
    <w:basedOn w:val="Normal"/>
    <w:rsid w:val="00345A71"/>
    <w:pPr>
      <w:ind w:left="-1418"/>
    </w:pPr>
    <w:rPr>
      <w:sz w:val="2"/>
      <w:szCs w:val="2"/>
    </w:rPr>
  </w:style>
  <w:style w:type="character" w:styleId="PageNumber">
    <w:name w:val="page number"/>
    <w:basedOn w:val="DefaultParagraphFont"/>
    <w:rsid w:val="00345A71"/>
  </w:style>
  <w:style w:type="paragraph" w:styleId="Quote">
    <w:name w:val="Quote"/>
    <w:basedOn w:val="Heading1"/>
    <w:link w:val="QuoteChar"/>
    <w:qFormat/>
    <w:rsid w:val="00345A71"/>
    <w:rPr>
      <w:b w:val="0"/>
      <w:sz w:val="72"/>
      <w:szCs w:val="72"/>
      <w:lang w:val="en-NZ"/>
    </w:rPr>
  </w:style>
  <w:style w:type="character" w:customStyle="1" w:styleId="QuoteChar">
    <w:name w:val="Quote Char"/>
    <w:basedOn w:val="DefaultParagraphFont"/>
    <w:link w:val="Quote"/>
    <w:rsid w:val="00345A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A71"/>
    <w:pPr>
      <w:pageBreakBefore/>
    </w:pPr>
  </w:style>
  <w:style w:type="paragraph" w:customStyle="1" w:styleId="Border">
    <w:name w:val="Border"/>
    <w:basedOn w:val="Normal"/>
    <w:qFormat/>
    <w:rsid w:val="00345A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A71"/>
    <w:rPr>
      <w:b/>
      <w:bCs/>
      <w:i/>
      <w:iCs/>
      <w:color w:val="auto"/>
    </w:rPr>
  </w:style>
  <w:style w:type="paragraph" w:styleId="IntenseQuote">
    <w:name w:val="Intense Quote"/>
    <w:basedOn w:val="Normal"/>
    <w:next w:val="Normal"/>
    <w:link w:val="IntenseQuoteChar"/>
    <w:uiPriority w:val="30"/>
    <w:qFormat/>
    <w:rsid w:val="00345A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A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A71"/>
    <w:rPr>
      <w:smallCaps/>
      <w:color w:val="auto"/>
      <w:u w:val="single"/>
    </w:rPr>
  </w:style>
  <w:style w:type="character" w:styleId="IntenseReference">
    <w:name w:val="Intense Reference"/>
    <w:basedOn w:val="DefaultParagraphFont"/>
    <w:uiPriority w:val="32"/>
    <w:qFormat/>
    <w:rsid w:val="00345A71"/>
    <w:rPr>
      <w:b/>
      <w:bCs/>
      <w:smallCaps/>
      <w:color w:val="auto"/>
      <w:spacing w:val="5"/>
      <w:u w:val="single"/>
    </w:rPr>
  </w:style>
  <w:style w:type="paragraph" w:customStyle="1" w:styleId="2ColumnHeading">
    <w:name w:val="2Column Heading"/>
    <w:basedOn w:val="BodyText"/>
    <w:qFormat/>
    <w:rsid w:val="00345A71"/>
    <w:pPr>
      <w:spacing w:after="60"/>
      <w:ind w:left="-2268"/>
    </w:pPr>
    <w:rPr>
      <w:b/>
    </w:rPr>
  </w:style>
  <w:style w:type="paragraph" w:customStyle="1" w:styleId="Heading1TOC">
    <w:name w:val="Heading1 TOC"/>
    <w:basedOn w:val="Normal"/>
    <w:qFormat/>
    <w:rsid w:val="00345A71"/>
    <w:pPr>
      <w:spacing w:before="240" w:after="120"/>
    </w:pPr>
    <w:rPr>
      <w:rFonts w:ascii="Times New Roman" w:hAnsi="Times New Roman"/>
      <w:b/>
      <w:sz w:val="32"/>
    </w:rPr>
  </w:style>
  <w:style w:type="paragraph" w:customStyle="1" w:styleId="Heading2TOC">
    <w:name w:val="Heading2 TOC"/>
    <w:basedOn w:val="Normal"/>
    <w:qFormat/>
    <w:rsid w:val="00345A71"/>
    <w:pPr>
      <w:spacing w:before="240" w:after="60"/>
    </w:pPr>
    <w:rPr>
      <w:rFonts w:ascii="Times New Roman" w:hAnsi="Times New Roman"/>
      <w:b/>
      <w:sz w:val="28"/>
    </w:rPr>
  </w:style>
  <w:style w:type="character" w:customStyle="1" w:styleId="Underline">
    <w:name w:val="Underline"/>
    <w:basedOn w:val="DefaultParagraphFont"/>
    <w:qFormat/>
    <w:rsid w:val="00345A71"/>
    <w:rPr>
      <w:u w:val="single"/>
    </w:rPr>
  </w:style>
  <w:style w:type="character" w:customStyle="1" w:styleId="BoldandItalics">
    <w:name w:val="Bold and Italics"/>
    <w:qFormat/>
    <w:rsid w:val="00345A71"/>
    <w:rPr>
      <w:b/>
      <w:i/>
      <w:u w:val="none"/>
    </w:rPr>
  </w:style>
  <w:style w:type="paragraph" w:styleId="BalloonText">
    <w:name w:val="Balloon Text"/>
    <w:basedOn w:val="Normal"/>
    <w:link w:val="BalloonTextChar"/>
    <w:rsid w:val="00345A71"/>
    <w:rPr>
      <w:rFonts w:ascii="Tahoma" w:hAnsi="Tahoma" w:cs="Tahoma"/>
      <w:sz w:val="16"/>
      <w:szCs w:val="16"/>
    </w:rPr>
  </w:style>
  <w:style w:type="character" w:customStyle="1" w:styleId="BalloonTextChar">
    <w:name w:val="Balloon Text Char"/>
    <w:basedOn w:val="DefaultParagraphFont"/>
    <w:link w:val="BalloonText"/>
    <w:rsid w:val="00345A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A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A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A71"/>
    <w:rPr>
      <w:b/>
      <w:color w:val="660033"/>
      <w:spacing w:val="0"/>
    </w:rPr>
  </w:style>
  <w:style w:type="paragraph" w:customStyle="1" w:styleId="Nameditemlist">
    <w:name w:val="Named item list"/>
    <w:basedOn w:val="BodyText"/>
    <w:qFormat/>
    <w:rsid w:val="00345A71"/>
    <w:pPr>
      <w:tabs>
        <w:tab w:val="left" w:pos="2835"/>
      </w:tabs>
      <w:ind w:left="2835" w:hanging="2835"/>
    </w:pPr>
  </w:style>
  <w:style w:type="paragraph" w:customStyle="1" w:styleId="BodyTextnopadding">
    <w:name w:val="Body Text no padding"/>
    <w:basedOn w:val="BodyText"/>
    <w:qFormat/>
    <w:rsid w:val="00345A71"/>
    <w:pPr>
      <w:spacing w:before="0" w:after="0"/>
    </w:pPr>
  </w:style>
  <w:style w:type="paragraph" w:customStyle="1" w:styleId="BodyTextBold">
    <w:name w:val="Body Text Bold"/>
    <w:basedOn w:val="BodyText"/>
    <w:qFormat/>
    <w:rsid w:val="00345A71"/>
    <w:rPr>
      <w:b/>
    </w:rPr>
  </w:style>
  <w:style w:type="character" w:styleId="Hyperlink">
    <w:name w:val="Hyperlink"/>
    <w:basedOn w:val="DefaultParagraphFont"/>
    <w:uiPriority w:val="99"/>
    <w:unhideWhenUsed/>
    <w:rsid w:val="00B537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1090</Words>
  <Characters>7386</Characters>
  <Application>Microsoft Office Word</Application>
  <DocSecurity>0</DocSecurity>
  <Lines>263</Lines>
  <Paragraphs>148</Paragraphs>
  <ScaleCrop>false</ScaleCrop>
  <Company>Author-it Software Corporation Ltd.</Company>
  <LinksUpToDate>false</LinksUpToDate>
  <CharactersWithSpaces>8328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UEGNSG504 Monitor and control gas infrastructure using Control Centre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2025-03-01T15:18:00Z</dcterms:created>
  <dcterms:modified xsi:type="dcterms:W3CDTF">2025-03-01T15:18:00Z</dcterms:modified>
</cp:coreProperties>
</file>