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E42" w:rsidP="00EA3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UEGNSG306 Control gas processing, storage or regasification operations in an LNG storage facility</w:t>
      </w:r>
      <w:r>
        <w:fldChar w:fldCharType="end"/>
      </w:r>
    </w:p>
    <w:p w:rsidR="00EA3E42" w:rsidP="00EA3E42">
      <w:pPr>
        <w:pStyle w:val="Version"/>
        <w:sectPr w:rsidSect="00425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3A6" w:rsidP="004253A6">
      <w:pPr>
        <w:pStyle w:val="SuperHeading"/>
      </w:pPr>
      <w:r w:rsidRPr="004253A6">
        <w:t>UEGNSG306 Control gas processing, storage or regasification operations in an LNG storage facility</w:t>
      </w:r>
    </w:p>
    <w:p w:rsidR="00000000" w:rsidRPr="004253A6" w:rsidP="004253A6">
      <w:pPr>
        <w:pStyle w:val="Heading1"/>
      </w:pPr>
      <w:bookmarkStart w:id="1" w:name="O_1188206"/>
      <w:bookmarkEnd w:id="1"/>
      <w:r w:rsidRPr="004253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t>Release 1. This is the first release of this unit of competency in the UEG Gas Industry Training Package.</w:t>
            </w:r>
          </w:p>
        </w:tc>
      </w:tr>
    </w:tbl>
    <w:p w:rsidR="00000000" w:rsidRPr="004253A6" w:rsidP="004253A6">
      <w:pPr>
        <w:pStyle w:val="NoPaddingFontSize1"/>
      </w:pPr>
    </w:p>
    <w:p w:rsidR="00000000" w:rsidRPr="004253A6" w:rsidP="004253A6">
      <w:pPr>
        <w:pStyle w:val="AllowPageBreak"/>
      </w:pPr>
    </w:p>
    <w:p w:rsidR="00000000" w:rsidRPr="004253A6" w:rsidP="004253A6">
      <w:pPr>
        <w:pStyle w:val="Heading1"/>
      </w:pPr>
      <w:bookmarkStart w:id="2" w:name="O_1188207"/>
      <w:bookmarkEnd w:id="2"/>
      <w:r w:rsidRPr="004253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t>This unit involves the skills and knowledge required to control gas processing, storage or regasification operations in a Liquefied Natural Gas (LNG) storage facility. It includes planning, monitoring and controlling LNG storage and pr</w:t>
            </w:r>
            <w:r w:rsidRPr="004253A6">
              <w:t>ocessing operations and shutting down operations in the event of an emergency.</w:t>
            </w:r>
          </w:p>
          <w:p w:rsidR="00000000" w:rsidRPr="004253A6" w:rsidP="004253A6">
            <w:pPr>
              <w:pStyle w:val="BodyText"/>
            </w:pPr>
            <w:r w:rsidRPr="004253A6">
              <w:t>It also includes using relevant resources and equipment, identifying faults and completing relevant reports and documentation.</w:t>
            </w:r>
          </w:p>
          <w:p w:rsidR="00000000" w:rsidRPr="004253A6" w:rsidP="004253A6">
            <w:pPr>
              <w:pStyle w:val="BodyText"/>
            </w:pPr>
            <w:r w:rsidRPr="004253A6">
              <w:t>The application of the skills and knowledge descri</w:t>
            </w:r>
            <w:r w:rsidRPr="004253A6">
              <w:t xml:space="preserve">bed in this unit may require a licence/registration to practise in the workplace. </w:t>
            </w:r>
          </w:p>
          <w:p w:rsidR="00000000" w:rsidRPr="004253A6" w:rsidP="004253A6">
            <w:pPr>
              <w:pStyle w:val="BodyText"/>
            </w:pPr>
            <w:r w:rsidRPr="004253A6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4253A6" w:rsidP="004253A6">
      <w:pPr>
        <w:pStyle w:val="NoPaddingFontSize1"/>
      </w:pPr>
    </w:p>
    <w:p w:rsidR="00000000" w:rsidRPr="004253A6" w:rsidP="004253A6">
      <w:pPr>
        <w:pStyle w:val="AllowPageBreak"/>
      </w:pPr>
    </w:p>
    <w:p w:rsidR="00000000" w:rsidRPr="004253A6" w:rsidP="004253A6">
      <w:pPr>
        <w:pStyle w:val="Heading1"/>
      </w:pPr>
      <w:bookmarkStart w:id="3" w:name="O_1188208"/>
      <w:bookmarkEnd w:id="3"/>
      <w:r w:rsidRPr="004253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t>Not applicable.</w:t>
            </w:r>
          </w:p>
        </w:tc>
      </w:tr>
    </w:tbl>
    <w:p w:rsidR="00000000" w:rsidRPr="004253A6" w:rsidP="004253A6">
      <w:pPr>
        <w:pStyle w:val="NoPaddingFontSize1"/>
      </w:pPr>
    </w:p>
    <w:p w:rsidR="00000000" w:rsidRPr="004253A6" w:rsidP="004253A6">
      <w:pPr>
        <w:pStyle w:val="AllowPageBreak"/>
      </w:pPr>
    </w:p>
    <w:p w:rsidR="00000000" w:rsidRPr="004253A6" w:rsidP="004253A6">
      <w:pPr>
        <w:pStyle w:val="Heading1"/>
      </w:pPr>
      <w:bookmarkStart w:id="4" w:name="O_1188209"/>
      <w:bookmarkEnd w:id="4"/>
      <w:r w:rsidRPr="004253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t>Transmission</w:t>
            </w:r>
          </w:p>
        </w:tc>
      </w:tr>
    </w:tbl>
    <w:p w:rsidR="00000000" w:rsidRPr="004253A6" w:rsidP="004253A6">
      <w:pPr>
        <w:pStyle w:val="NoPaddingFontSize1"/>
      </w:pPr>
    </w:p>
    <w:p w:rsidR="00000000" w:rsidRPr="004253A6" w:rsidP="004253A6">
      <w:pPr>
        <w:pStyle w:val="AllowPageBreak"/>
      </w:pPr>
    </w:p>
    <w:p w:rsidR="00000000" w:rsidRPr="004253A6" w:rsidP="004253A6">
      <w:pPr>
        <w:pStyle w:val="Heading1"/>
      </w:pPr>
      <w:bookmarkStart w:id="5" w:name="O_1188210"/>
      <w:bookmarkEnd w:id="5"/>
      <w:r w:rsidRPr="004253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t>Gas Industry</w:t>
            </w:r>
          </w:p>
        </w:tc>
      </w:tr>
    </w:tbl>
    <w:p w:rsidR="00000000" w:rsidRPr="004253A6" w:rsidP="004253A6">
      <w:pPr>
        <w:pStyle w:val="NoPaddingFontSize1"/>
      </w:pPr>
    </w:p>
    <w:p w:rsidR="00000000" w:rsidRPr="004253A6" w:rsidP="004253A6">
      <w:pPr>
        <w:pStyle w:val="AllowPageBreak"/>
      </w:pPr>
    </w:p>
    <w:p w:rsidR="00000000" w:rsidRPr="004253A6" w:rsidP="004253A6">
      <w:pPr>
        <w:pStyle w:val="Heading1"/>
      </w:pPr>
      <w:bookmarkStart w:id="6" w:name="O_1188211"/>
      <w:bookmarkEnd w:id="6"/>
      <w:r w:rsidRPr="004253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PERFORMANCE CRITERIA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Performance criteria describe the performance needed to demonstrate achievement of the element.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rPr>
                <w:rStyle w:val="SpecialBold"/>
              </w:rPr>
              <w:t>Plan gas processing, storage or regasification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Work schedule/s, drawings, plans, job requirements, standard operating procedures (SOP) and material lists are obtained, analysed and site inspection conducted, as required, to determine the preparation work required for planning and coordination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Re</w:t>
            </w:r>
            <w:r w:rsidRPr="004253A6">
              <w:t>levant person/s are consulted and work is prioritised and sequenced for completion within agreed timeframes and to industry standards in accordance with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WHS/OHS, environmental and sustainable energy policies and procedures related to the work are obtained to ensure safe systems of work are followed in accordance with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Hazards and work health and safety (WHS)/occupational health a</w:t>
            </w:r>
            <w:r w:rsidRPr="004253A6">
              <w:t>nd safety (OHS) risks are identified and prioritised and risk control measures implemented and monitored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Relevant work permit/s are obtained to coordinate the work in accordance with job/regulatory requirements and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Approp</w:t>
            </w:r>
            <w:r w:rsidRPr="004253A6">
              <w:t>riate equipment, tools and personal protective equipment (PPE) required for the job are identified, scheduled, obtained and checked for correct operation and safety in accordance with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rPr>
                <w:rStyle w:val="SpecialBold"/>
              </w:rPr>
              <w:t>Control gas processing, storage or regasificatio</w:t>
            </w:r>
            <w:r w:rsidRPr="004253A6">
              <w:rPr>
                <w:rStyle w:val="SpecialBold"/>
              </w:rPr>
              <w:t>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WHS/OHS risk control measures and policies and procedures are followed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Systems isolation is performed in accordance with industry standards and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Gas processing, storage or regasification operati</w:t>
            </w:r>
            <w:r w:rsidRPr="004253A6">
              <w:t xml:space="preserve">ons are initiated and coordinated ensuring completion in agreed timeframes 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Operation of processing and storage system is controlled and monitored to ensure safety and efficiency and system operations communicated to relevant person/s and other work</w:t>
            </w:r>
            <w:r w:rsidRPr="004253A6">
              <w:t xml:space="preserve"> areas in accordance with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 xml:space="preserve">Alarm codes, logics and other hazard warnings are correctly recognised and WHS/OHS risks and control </w:t>
            </w:r>
            <w:r w:rsidRPr="004253A6">
              <w:t>measures monitored, actioned and appropriate authorities consulted in accordance with requirements an</w:t>
            </w:r>
            <w:r w:rsidRPr="004253A6">
              <w:t>d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Work schedule is monitored and remedial action taken to address any shortfalls encountered in accordance with requirements and/or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Fault-finding and troubleshooting techniques are applied to problems encountered in accordance with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Relevant work permit/s are signed off, where applicable, and system returned to service and communicated to stakeholders in acco</w:t>
            </w:r>
            <w:r w:rsidRPr="004253A6">
              <w:t>rdance with requirements and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Quality and safety checks of the work are conducted in accordance with job requirements, workplace procedures and industry standards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rPr>
                <w:rStyle w:val="SpecialBold"/>
              </w:rPr>
              <w:t>Shutdown operations and complete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Wor</w:t>
            </w:r>
            <w:r w:rsidRPr="004253A6">
              <w:t>k undertaken is checked against work schedule for conformance and anomalies and proposed solutions reported to relevant person/s in accordance with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Incidents and injuries are reported in accordance with relevant regulations, standards and workplace procedures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Emergency shutdown procedures are applied in the event of equipment faults/failure or operational parameters being exceeded</w:t>
            </w:r>
          </w:p>
        </w:tc>
      </w:tr>
      <w:tr w:rsidTr="004253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t>Work c</w:t>
            </w:r>
            <w:r w:rsidRPr="004253A6">
              <w:t>ompletion records, reports, documentation and as installed/modified drawing/s are completed, processed and appropriate person/s notified in accordance with workplace procedures</w:t>
            </w:r>
          </w:p>
        </w:tc>
      </w:tr>
    </w:tbl>
    <w:p w:rsidR="00000000" w:rsidRPr="004253A6" w:rsidP="004253A6">
      <w:pPr>
        <w:pStyle w:val="NoPaddingFontSize1"/>
      </w:pPr>
    </w:p>
    <w:p w:rsidR="00000000" w:rsidRPr="004253A6" w:rsidP="004253A6">
      <w:pPr>
        <w:pStyle w:val="AllowPageBreak"/>
      </w:pPr>
    </w:p>
    <w:p w:rsidR="00000000" w:rsidRPr="004253A6" w:rsidP="004253A6">
      <w:pPr>
        <w:pStyle w:val="Heading1"/>
      </w:pPr>
      <w:bookmarkStart w:id="7" w:name="O_1188212"/>
      <w:bookmarkEnd w:id="7"/>
      <w:r w:rsidRPr="004253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t>Foundation skills essential to performan</w:t>
            </w:r>
            <w:r w:rsidRPr="004253A6">
              <w:t>ce are explicit in the performance criteria of this unit of competency.</w:t>
            </w:r>
          </w:p>
        </w:tc>
      </w:tr>
    </w:tbl>
    <w:p w:rsidR="00000000" w:rsidRPr="004253A6" w:rsidP="004253A6">
      <w:pPr>
        <w:pStyle w:val="NoPaddingFontSize1"/>
      </w:pPr>
    </w:p>
    <w:p w:rsidR="00000000" w:rsidRPr="004253A6" w:rsidP="004253A6">
      <w:pPr>
        <w:pStyle w:val="AllowPageBreak"/>
      </w:pPr>
    </w:p>
    <w:p w:rsidR="00000000" w:rsidRPr="004253A6" w:rsidP="004253A6">
      <w:pPr>
        <w:pStyle w:val="Heading1"/>
      </w:pPr>
      <w:bookmarkStart w:id="8" w:name="O_1188213"/>
      <w:bookmarkEnd w:id="8"/>
      <w:r w:rsidRPr="004253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17"/>
        <w:gridCol w:w="4780"/>
      </w:tblGrid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t>Range is restricted to essential operating conditions and any other variables essential to the work environment.</w:t>
            </w:r>
          </w:p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Non-essential conditions may be found in the UEG Gas Industry Training Package Companion Volume Implementation Guide.</w:t>
            </w:r>
          </w:p>
        </w:tc>
      </w:tr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resources must include at least five (5) of the following: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ListBullet"/>
            </w:pPr>
            <w:r w:rsidRPr="004253A6">
              <w:t>pumps</w:t>
            </w:r>
          </w:p>
          <w:p w:rsidR="00000000" w:rsidRPr="004253A6" w:rsidP="004253A6">
            <w:pPr>
              <w:pStyle w:val="ListBullet"/>
            </w:pPr>
            <w:r w:rsidRPr="004253A6">
              <w:t>compressor packages</w:t>
            </w:r>
          </w:p>
          <w:p w:rsidR="00000000" w:rsidRPr="004253A6" w:rsidP="004253A6">
            <w:pPr>
              <w:pStyle w:val="ListBullet"/>
            </w:pPr>
            <w:r w:rsidRPr="004253A6">
              <w:t>valves</w:t>
            </w:r>
          </w:p>
          <w:p w:rsidR="00000000" w:rsidRPr="004253A6" w:rsidP="004253A6">
            <w:pPr>
              <w:pStyle w:val="ListBullet"/>
            </w:pPr>
            <w:r w:rsidRPr="004253A6">
              <w:t>control and monitoring equipment</w:t>
            </w:r>
          </w:p>
          <w:p w:rsidR="00000000" w:rsidRPr="004253A6" w:rsidP="004253A6">
            <w:pPr>
              <w:pStyle w:val="ListBullet"/>
            </w:pPr>
            <w:r w:rsidRPr="004253A6">
              <w:t>mixing equipment</w:t>
            </w:r>
          </w:p>
          <w:p w:rsidR="00000000" w:rsidRPr="004253A6" w:rsidP="004253A6">
            <w:pPr>
              <w:pStyle w:val="ListBullet"/>
            </w:pPr>
            <w:r w:rsidRPr="004253A6">
              <w:t>sampling equipment</w:t>
            </w:r>
          </w:p>
          <w:p w:rsidR="00000000" w:rsidP="004253A6">
            <w:pPr>
              <w:pStyle w:val="ListBullet"/>
              <w:rPr>
                <w:lang w:val="en-NZ"/>
              </w:rPr>
            </w:pPr>
            <w:r w:rsidRPr="004253A6">
              <w:t>instrument air equipment</w:t>
            </w:r>
          </w:p>
        </w:tc>
      </w:tr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incidents must include at least three (3) of the following: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ListBullet"/>
            </w:pPr>
            <w:r w:rsidRPr="004253A6">
              <w:t>gas leaks</w:t>
            </w:r>
          </w:p>
          <w:p w:rsidR="00000000" w:rsidRPr="004253A6" w:rsidP="004253A6">
            <w:pPr>
              <w:pStyle w:val="ListBullet"/>
            </w:pPr>
            <w:r w:rsidRPr="004253A6">
              <w:t>gas fires</w:t>
            </w:r>
          </w:p>
          <w:p w:rsidR="00000000" w:rsidRPr="004253A6" w:rsidP="004253A6">
            <w:pPr>
              <w:pStyle w:val="ListBullet"/>
            </w:pPr>
            <w:r w:rsidRPr="004253A6">
              <w:t>equipment failure</w:t>
            </w:r>
          </w:p>
          <w:p w:rsidR="00000000" w:rsidRPr="004253A6" w:rsidP="004253A6">
            <w:pPr>
              <w:pStyle w:val="ListBullet"/>
            </w:pPr>
            <w:r w:rsidRPr="004253A6">
              <w:t>unsafe inventory and supply levels</w:t>
            </w:r>
          </w:p>
          <w:p w:rsidR="00000000" w:rsidP="004253A6">
            <w:pPr>
              <w:pStyle w:val="ListBullet"/>
              <w:rPr>
                <w:lang w:val="en-NZ"/>
              </w:rPr>
            </w:pPr>
            <w:r w:rsidRPr="004253A6">
              <w:t>electrical supply fires</w:t>
            </w:r>
          </w:p>
        </w:tc>
      </w:tr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monitoring of facilities must inclu</w:t>
            </w:r>
            <w:r w:rsidRPr="004253A6">
              <w:t>de at least four (4) of the following: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ListBullet"/>
            </w:pPr>
            <w:r w:rsidRPr="004253A6">
              <w:t>pressure</w:t>
            </w:r>
          </w:p>
          <w:p w:rsidR="00000000" w:rsidRPr="004253A6" w:rsidP="004253A6">
            <w:pPr>
              <w:pStyle w:val="ListBullet"/>
            </w:pPr>
            <w:r w:rsidRPr="004253A6">
              <w:t>temperature</w:t>
            </w:r>
          </w:p>
          <w:p w:rsidR="00000000" w:rsidRPr="004253A6" w:rsidP="004253A6">
            <w:pPr>
              <w:pStyle w:val="ListBullet"/>
            </w:pPr>
            <w:r w:rsidRPr="004253A6">
              <w:t>flows</w:t>
            </w:r>
          </w:p>
          <w:p w:rsidR="00000000" w:rsidRPr="004253A6" w:rsidP="004253A6">
            <w:pPr>
              <w:pStyle w:val="ListBullet"/>
            </w:pPr>
            <w:r w:rsidRPr="004253A6">
              <w:t>levels</w:t>
            </w:r>
          </w:p>
          <w:p w:rsidR="00000000" w:rsidRPr="004253A6" w:rsidP="004253A6">
            <w:pPr>
              <w:pStyle w:val="ListBullet"/>
            </w:pPr>
            <w:r w:rsidRPr="004253A6">
              <w:t>corrosion</w:t>
            </w:r>
          </w:p>
          <w:p w:rsidR="00000000" w:rsidRPr="004253A6" w:rsidP="004253A6">
            <w:pPr>
              <w:pStyle w:val="ListBullet"/>
            </w:pPr>
            <w:r w:rsidRPr="004253A6">
              <w:t>stock levels</w:t>
            </w:r>
          </w:p>
          <w:p w:rsidR="00000000" w:rsidRPr="004253A6" w:rsidP="004253A6">
            <w:pPr>
              <w:pStyle w:val="ListBullet"/>
            </w:pPr>
            <w:r w:rsidRPr="004253A6">
              <w:t>gas leaks</w:t>
            </w:r>
          </w:p>
          <w:p w:rsidR="00000000" w:rsidP="004253A6">
            <w:pPr>
              <w:pStyle w:val="ListBullet"/>
              <w:rPr>
                <w:lang w:val="en-NZ"/>
              </w:rPr>
            </w:pPr>
            <w:r w:rsidRPr="004253A6">
              <w:t>security</w:t>
            </w:r>
          </w:p>
        </w:tc>
      </w:tr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3A6">
            <w:pPr>
              <w:pStyle w:val="BodyText"/>
              <w:rPr>
                <w:lang w:val="en-NZ"/>
              </w:rPr>
            </w:pPr>
            <w:r w:rsidRPr="004253A6">
              <w:t>equipment faults must include at least four (4) of the following: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ListBullet"/>
            </w:pPr>
            <w:r w:rsidRPr="004253A6">
              <w:t>electrical problems</w:t>
            </w:r>
          </w:p>
          <w:p w:rsidR="00000000" w:rsidRPr="004253A6" w:rsidP="004253A6">
            <w:pPr>
              <w:pStyle w:val="ListBullet"/>
            </w:pPr>
            <w:r w:rsidRPr="004253A6">
              <w:t>compressor failure</w:t>
            </w:r>
          </w:p>
          <w:p w:rsidR="00000000" w:rsidRPr="004253A6" w:rsidP="004253A6">
            <w:pPr>
              <w:pStyle w:val="ListBullet"/>
            </w:pPr>
            <w:r w:rsidRPr="004253A6">
              <w:t>pump failure</w:t>
            </w:r>
          </w:p>
          <w:p w:rsidR="00000000" w:rsidRPr="004253A6" w:rsidP="004253A6">
            <w:pPr>
              <w:pStyle w:val="ListBullet"/>
            </w:pPr>
            <w:r w:rsidRPr="004253A6">
              <w:t>out-of-current inspection status</w:t>
            </w:r>
          </w:p>
          <w:p w:rsidR="00000000" w:rsidRPr="004253A6" w:rsidP="004253A6">
            <w:pPr>
              <w:pStyle w:val="ListBullet"/>
            </w:pPr>
            <w:r w:rsidRPr="004253A6">
              <w:t>gauge failure</w:t>
            </w:r>
          </w:p>
          <w:p w:rsidR="00000000" w:rsidRPr="004253A6" w:rsidP="004253A6">
            <w:pPr>
              <w:pStyle w:val="ListBullet"/>
            </w:pPr>
            <w:r w:rsidRPr="004253A6">
              <w:t>loss of containment</w:t>
            </w:r>
          </w:p>
          <w:p w:rsidR="00000000" w:rsidRPr="004253A6" w:rsidP="004253A6">
            <w:pPr>
              <w:pStyle w:val="ListBullet"/>
            </w:pPr>
            <w:r w:rsidRPr="004253A6">
              <w:t>instruments out of calibration</w:t>
            </w:r>
          </w:p>
        </w:tc>
      </w:tr>
    </w:tbl>
    <w:p w:rsidR="00000000" w:rsidRPr="004253A6" w:rsidP="004253A6">
      <w:pPr>
        <w:pStyle w:val="NoPaddingFontSize1"/>
      </w:pPr>
    </w:p>
    <w:p w:rsidR="00000000" w:rsidRPr="004253A6" w:rsidP="004253A6">
      <w:pPr>
        <w:pStyle w:val="AllowPageBreak"/>
      </w:pPr>
    </w:p>
    <w:p w:rsidR="00000000" w:rsidRPr="004253A6" w:rsidP="004253A6">
      <w:pPr>
        <w:pStyle w:val="Heading1"/>
      </w:pPr>
      <w:bookmarkStart w:id="9" w:name="O_1188214"/>
      <w:bookmarkEnd w:id="9"/>
      <w:r w:rsidRPr="004253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3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3A6" w:rsidP="004253A6">
            <w:pPr>
              <w:pStyle w:val="BodyText"/>
            </w:pPr>
            <w:r w:rsidRPr="004253A6">
              <w:t>This is a new unit.</w:t>
            </w:r>
          </w:p>
        </w:tc>
      </w:tr>
    </w:tbl>
    <w:p w:rsidR="00000000" w:rsidRPr="004253A6" w:rsidP="004253A6">
      <w:pPr>
        <w:pStyle w:val="NoPaddingFontSize1"/>
      </w:pPr>
    </w:p>
    <w:p w:rsidR="00000000" w:rsidRPr="004253A6" w:rsidP="004253A6">
      <w:pPr>
        <w:pStyle w:val="AllowPageBreak"/>
      </w:pPr>
    </w:p>
    <w:p w:rsidR="00000000" w:rsidRPr="004253A6" w:rsidP="004253A6">
      <w:pPr>
        <w:pStyle w:val="Heading1"/>
      </w:pPr>
      <w:bookmarkStart w:id="10" w:name="O_1188221"/>
      <w:bookmarkEnd w:id="10"/>
      <w:r w:rsidRPr="004253A6">
        <w:t>Links</w:t>
      </w:r>
    </w:p>
    <w:p w:rsidR="00000000" w:rsidRPr="004253A6" w:rsidP="00EA3E42">
      <w:pPr>
        <w:pStyle w:val="BodyText"/>
      </w:pPr>
      <w:r w:rsidRPr="004253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05FF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253A6" w:rsidP="004253A6"/>
    <w:sectPr w:rsidSect="004253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A6" w:rsidRPr="00EA3E42" w:rsidP="00EA3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42" w:rsidP="00425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3E42" w:rsidP="00425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3E42" w:rsidP="00425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3A6" w:rsidRPr="00EA3E42" w:rsidP="00EA3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42" w:rsidRPr="002D2AF8" w:rsidP="00425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UEGNSG306 Control gas processing, storage or regasification operations in an LNG storage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EA3E42" w:rsidP="00425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066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18A4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3A6"/>
  </w:style>
  <w:style w:type="character" w:customStyle="1" w:styleId="Heading1Char">
    <w:name w:val="Heading 1 Char"/>
    <w:basedOn w:val="DefaultParagraphFont"/>
    <w:link w:val="Heading1"/>
    <w:rsid w:val="00425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3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3A6"/>
    <w:rPr>
      <w:b/>
      <w:spacing w:val="0"/>
    </w:rPr>
  </w:style>
  <w:style w:type="paragraph" w:customStyle="1" w:styleId="SuperHeading">
    <w:name w:val="SuperHeading"/>
    <w:basedOn w:val="Normal"/>
    <w:rsid w:val="00425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5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3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3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3A6"/>
    <w:rPr>
      <w:i/>
    </w:rPr>
  </w:style>
  <w:style w:type="paragraph" w:styleId="Caption">
    <w:name w:val="caption"/>
    <w:basedOn w:val="BodyText"/>
    <w:next w:val="Normal"/>
    <w:qFormat/>
    <w:rsid w:val="00425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3A6"/>
  </w:style>
  <w:style w:type="paragraph" w:styleId="TableofFigures">
    <w:name w:val="table of figures"/>
    <w:basedOn w:val="Normal"/>
    <w:next w:val="Normal"/>
    <w:semiHidden/>
    <w:rsid w:val="00425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3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53A6"/>
    <w:rPr>
      <w:rFonts w:ascii="Wingdings" w:hAnsi="Wingdings"/>
    </w:rPr>
  </w:style>
  <w:style w:type="paragraph" w:customStyle="1" w:styleId="TableHeading">
    <w:name w:val="Table Heading"/>
    <w:basedOn w:val="HeadingBase"/>
    <w:rsid w:val="00425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3A6"/>
    <w:rPr>
      <w:color w:val="0033CC"/>
      <w:u w:val="none"/>
    </w:rPr>
  </w:style>
  <w:style w:type="paragraph" w:customStyle="1" w:styleId="BodyTextRight">
    <w:name w:val="Body Text Right"/>
    <w:basedOn w:val="BodyText"/>
    <w:rsid w:val="00425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3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3A6"/>
    <w:rPr>
      <w:sz w:val="32"/>
    </w:rPr>
  </w:style>
  <w:style w:type="paragraph" w:customStyle="1" w:styleId="HeadingProcedure">
    <w:name w:val="Heading Procedure"/>
    <w:basedOn w:val="HeadingBase"/>
    <w:next w:val="Normal"/>
    <w:rsid w:val="00425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3A6"/>
    <w:pPr>
      <w:spacing w:before="60" w:after="60"/>
    </w:pPr>
  </w:style>
  <w:style w:type="paragraph" w:styleId="ListContinue">
    <w:name w:val="List Continue"/>
    <w:basedOn w:val="List"/>
    <w:rsid w:val="004253A6"/>
    <w:pPr>
      <w:ind w:firstLine="0"/>
    </w:pPr>
  </w:style>
  <w:style w:type="paragraph" w:customStyle="1" w:styleId="ListNote">
    <w:name w:val="List Note"/>
    <w:basedOn w:val="List"/>
    <w:rsid w:val="00425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3A6"/>
    <w:rPr>
      <w:rFonts w:ascii="Courier New" w:hAnsi="Courier New"/>
    </w:rPr>
  </w:style>
  <w:style w:type="paragraph" w:customStyle="1" w:styleId="NoteBullet">
    <w:name w:val="Note Bullet"/>
    <w:basedOn w:val="Note"/>
    <w:rsid w:val="00425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3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5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3A6"/>
    <w:rPr>
      <w:b/>
      <w:smallCaps/>
    </w:rPr>
  </w:style>
  <w:style w:type="paragraph" w:customStyle="1" w:styleId="TableListNumber">
    <w:name w:val="Table List Number"/>
    <w:basedOn w:val="ListNumber"/>
    <w:rsid w:val="00425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3A6"/>
    <w:pPr>
      <w:numPr>
        <w:numId w:val="8"/>
      </w:numPr>
    </w:pPr>
  </w:style>
  <w:style w:type="paragraph" w:customStyle="1" w:styleId="ListAlpha2">
    <w:name w:val="List Alpha 2"/>
    <w:basedOn w:val="List2"/>
    <w:rsid w:val="004253A6"/>
    <w:pPr>
      <w:numPr>
        <w:numId w:val="7"/>
      </w:numPr>
    </w:pPr>
  </w:style>
  <w:style w:type="paragraph" w:styleId="List2">
    <w:name w:val="List 2"/>
    <w:basedOn w:val="BodyText"/>
    <w:rsid w:val="00425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3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3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53A6"/>
    <w:pPr>
      <w:numPr>
        <w:numId w:val="3"/>
      </w:numPr>
    </w:pPr>
  </w:style>
  <w:style w:type="paragraph" w:styleId="ListContinue2">
    <w:name w:val="List Continue 2"/>
    <w:basedOn w:val="List2"/>
    <w:rsid w:val="004253A6"/>
    <w:pPr>
      <w:ind w:firstLine="0"/>
    </w:pPr>
  </w:style>
  <w:style w:type="paragraph" w:styleId="ListContinue3">
    <w:name w:val="List Continue 3"/>
    <w:basedOn w:val="List3"/>
    <w:rsid w:val="004253A6"/>
    <w:pPr>
      <w:ind w:left="1021" w:firstLine="0"/>
    </w:pPr>
  </w:style>
  <w:style w:type="paragraph" w:styleId="ListContinue4">
    <w:name w:val="List Continue 4"/>
    <w:basedOn w:val="List4"/>
    <w:rsid w:val="004253A6"/>
    <w:pPr>
      <w:ind w:firstLine="0"/>
    </w:pPr>
  </w:style>
  <w:style w:type="paragraph" w:styleId="ListContinue5">
    <w:name w:val="List Continue 5"/>
    <w:basedOn w:val="List5"/>
    <w:rsid w:val="004253A6"/>
    <w:pPr>
      <w:ind w:firstLine="0"/>
    </w:pPr>
  </w:style>
  <w:style w:type="paragraph" w:styleId="ListNumber3">
    <w:name w:val="List Number 3"/>
    <w:basedOn w:val="List3"/>
    <w:rsid w:val="004253A6"/>
    <w:pPr>
      <w:numPr>
        <w:numId w:val="4"/>
      </w:numPr>
    </w:pPr>
  </w:style>
  <w:style w:type="paragraph" w:styleId="ListNumber4">
    <w:name w:val="List Number 4"/>
    <w:basedOn w:val="List4"/>
    <w:rsid w:val="004253A6"/>
    <w:pPr>
      <w:numPr>
        <w:numId w:val="5"/>
      </w:numPr>
    </w:pPr>
  </w:style>
  <w:style w:type="paragraph" w:styleId="ListNumber5">
    <w:name w:val="List Number 5"/>
    <w:basedOn w:val="List5"/>
    <w:rsid w:val="004253A6"/>
    <w:pPr>
      <w:numPr>
        <w:numId w:val="6"/>
      </w:numPr>
    </w:pPr>
  </w:style>
  <w:style w:type="paragraph" w:styleId="BlockText">
    <w:name w:val="Block Text"/>
    <w:basedOn w:val="Normal"/>
    <w:rsid w:val="00425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3A6"/>
    <w:rPr>
      <w:sz w:val="16"/>
      <w:vertAlign w:val="superscript"/>
    </w:rPr>
  </w:style>
  <w:style w:type="character" w:customStyle="1" w:styleId="Symbols">
    <w:name w:val="Symbols"/>
    <w:basedOn w:val="DefaultParagraphFont"/>
    <w:rsid w:val="004253A6"/>
    <w:rPr>
      <w:rFonts w:ascii="Symbol" w:hAnsi="Symbol"/>
    </w:rPr>
  </w:style>
  <w:style w:type="character" w:customStyle="1" w:styleId="MenuOptions">
    <w:name w:val="Menu Options"/>
    <w:basedOn w:val="DefaultParagraphFont"/>
    <w:rsid w:val="00425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3A6"/>
    <w:rPr>
      <w:b/>
    </w:rPr>
  </w:style>
  <w:style w:type="character" w:customStyle="1" w:styleId="Underlined">
    <w:name w:val="Underlined"/>
    <w:basedOn w:val="DefaultParagraphFont"/>
    <w:rsid w:val="004253A6"/>
    <w:rPr>
      <w:u w:val="single"/>
    </w:rPr>
  </w:style>
  <w:style w:type="paragraph" w:customStyle="1" w:styleId="TableBodyTextRight">
    <w:name w:val="Table Body Text Right"/>
    <w:basedOn w:val="TableBodyText"/>
    <w:rsid w:val="00425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3A6"/>
    <w:rPr>
      <w:sz w:val="18"/>
    </w:rPr>
  </w:style>
  <w:style w:type="paragraph" w:customStyle="1" w:styleId="BodySmallRight">
    <w:name w:val="Body Small Right"/>
    <w:basedOn w:val="BodyTextRight"/>
    <w:rsid w:val="004253A6"/>
    <w:rPr>
      <w:sz w:val="18"/>
      <w:szCs w:val="18"/>
    </w:rPr>
  </w:style>
  <w:style w:type="paragraph" w:customStyle="1" w:styleId="MarginEdition">
    <w:name w:val="Margin Edition"/>
    <w:basedOn w:val="MarginNote"/>
    <w:rsid w:val="00425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3A6"/>
    <w:rPr>
      <w:sz w:val="2"/>
      <w:szCs w:val="2"/>
    </w:rPr>
  </w:style>
  <w:style w:type="character" w:customStyle="1" w:styleId="Small">
    <w:name w:val="Small"/>
    <w:basedOn w:val="DefaultParagraphFont"/>
    <w:rsid w:val="004253A6"/>
    <w:rPr>
      <w:sz w:val="16"/>
    </w:rPr>
  </w:style>
  <w:style w:type="paragraph" w:customStyle="1" w:styleId="WideTable">
    <w:name w:val="Wide Table"/>
    <w:basedOn w:val="Normal"/>
    <w:rsid w:val="00425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3A6"/>
  </w:style>
  <w:style w:type="paragraph" w:styleId="Quote">
    <w:name w:val="Quote"/>
    <w:basedOn w:val="Heading1"/>
    <w:link w:val="QuoteChar"/>
    <w:qFormat/>
    <w:rsid w:val="00425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3A6"/>
    <w:pPr>
      <w:pageBreakBefore/>
    </w:pPr>
  </w:style>
  <w:style w:type="paragraph" w:customStyle="1" w:styleId="Border">
    <w:name w:val="Border"/>
    <w:basedOn w:val="Normal"/>
    <w:qFormat/>
    <w:rsid w:val="00425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3A6"/>
    <w:rPr>
      <w:u w:val="single"/>
    </w:rPr>
  </w:style>
  <w:style w:type="character" w:customStyle="1" w:styleId="BoldandItalics">
    <w:name w:val="Bold and Italics"/>
    <w:qFormat/>
    <w:rsid w:val="004253A6"/>
    <w:rPr>
      <w:b/>
      <w:i/>
      <w:u w:val="none"/>
    </w:rPr>
  </w:style>
  <w:style w:type="paragraph" w:styleId="BalloonText">
    <w:name w:val="Balloon Text"/>
    <w:basedOn w:val="Normal"/>
    <w:link w:val="BalloonTextChar"/>
    <w:rsid w:val="00425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3A6"/>
    <w:pPr>
      <w:spacing w:before="0" w:after="0"/>
    </w:pPr>
  </w:style>
  <w:style w:type="paragraph" w:customStyle="1" w:styleId="BodyTextBold">
    <w:name w:val="Body Text Bold"/>
    <w:basedOn w:val="BodyText"/>
    <w:qFormat/>
    <w:rsid w:val="004253A6"/>
    <w:rPr>
      <w:b/>
    </w:rPr>
  </w:style>
  <w:style w:type="character" w:styleId="Hyperlink">
    <w:name w:val="Hyperlink"/>
    <w:basedOn w:val="DefaultParagraphFont"/>
    <w:uiPriority w:val="99"/>
    <w:unhideWhenUsed/>
    <w:rsid w:val="00EA3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5364</Characters>
  <Application>Microsoft Office Word</Application>
  <DocSecurity>0</DocSecurity>
  <Lines>243</Lines>
  <Paragraphs>123</Paragraphs>
  <ScaleCrop>false</ScaleCrop>
  <Company>Author-it Software Corporation Ltd.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UEGNSG306 Control gas processing, storage or regasification operations in an LNG storage facility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