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281" w:rsidP="00613281">
      <w:pPr>
        <w:pStyle w:val="Title"/>
      </w:pPr>
      <w:r>
        <w:fldChar w:fldCharType="begin"/>
      </w:r>
      <w:r>
        <w:instrText xml:space="preserve"> TITLE   \* MERGEFORMAT </w:instrText>
      </w:r>
      <w:r>
        <w:fldChar w:fldCharType="separate"/>
      </w:r>
      <w:r>
        <w:t>UEGNSG306 Control gas processing, storage or regasification operations in an LNG storage facility</w:t>
      </w:r>
      <w:r>
        <w:fldChar w:fldCharType="end"/>
      </w:r>
    </w:p>
    <w:p w:rsidR="00613281" w:rsidP="00613281">
      <w:pPr>
        <w:pStyle w:val="Version"/>
        <w:sectPr w:rsidSect="001B11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12D" w:rsidP="001B112D">
      <w:pPr>
        <w:pStyle w:val="SuperHeading"/>
      </w:pPr>
      <w:r w:rsidRPr="001B112D">
        <w:t>UEGNSG306 Control gas processing, storage or regasification operations in an LNG storage facility</w:t>
      </w:r>
    </w:p>
    <w:p w:rsidR="00000000" w:rsidRPr="001B112D" w:rsidP="001B112D">
      <w:pPr>
        <w:pStyle w:val="Heading1"/>
      </w:pPr>
      <w:bookmarkStart w:id="1" w:name="O_1188206"/>
      <w:bookmarkEnd w:id="1"/>
      <w:r w:rsidRPr="001B112D">
        <w:t>Modification History</w:t>
      </w:r>
    </w:p>
    <w:tbl>
      <w:tblPr>
        <w:tblW w:w="9497" w:type="dxa"/>
        <w:tblLayout w:type="fixed"/>
        <w:tblCellMar>
          <w:left w:w="62" w:type="dxa"/>
          <w:right w:w="62" w:type="dxa"/>
        </w:tblCellMar>
        <w:tblLook w:val="0000"/>
      </w:tblPr>
      <w:tblGrid>
        <w:gridCol w:w="9497"/>
      </w:tblGrid>
      <w:tr w:rsidTr="001B1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t>Release 1. This is the first release of this unit of competency in the UEG Gas Industry Training Package.</w:t>
            </w:r>
          </w:p>
        </w:tc>
      </w:tr>
    </w:tbl>
    <w:p w:rsidR="00000000" w:rsidRPr="001B112D" w:rsidP="001B112D">
      <w:pPr>
        <w:pStyle w:val="NoPaddingFontSize1"/>
      </w:pPr>
    </w:p>
    <w:p w:rsidR="00000000" w:rsidRPr="001B112D" w:rsidP="001B112D">
      <w:pPr>
        <w:pStyle w:val="AllowPageBreak"/>
      </w:pPr>
    </w:p>
    <w:p w:rsidR="00000000" w:rsidRPr="001B112D" w:rsidP="001B112D">
      <w:pPr>
        <w:pStyle w:val="Heading1"/>
      </w:pPr>
      <w:bookmarkStart w:id="2" w:name="O_1188207"/>
      <w:bookmarkEnd w:id="2"/>
      <w:r w:rsidRPr="001B112D">
        <w:t>Application</w:t>
      </w:r>
    </w:p>
    <w:tbl>
      <w:tblPr>
        <w:tblW w:w="9497" w:type="dxa"/>
        <w:tblLayout w:type="fixed"/>
        <w:tblCellMar>
          <w:left w:w="62" w:type="dxa"/>
          <w:right w:w="62" w:type="dxa"/>
        </w:tblCellMar>
        <w:tblLook w:val="0000"/>
      </w:tblPr>
      <w:tblGrid>
        <w:gridCol w:w="9497"/>
      </w:tblGrid>
      <w:tr w:rsidTr="001B1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t>This unit involves the skills and knowledge required to control gas processing, storage or regasification operations in a Liquefied Natural Gas (LNG) storage facility. It includes planning, monitoring and controlling LNG storage and pr</w:t>
            </w:r>
            <w:r w:rsidRPr="001B112D">
              <w:t>ocessing operations and shutting down operations in the event of an emergency.</w:t>
            </w:r>
          </w:p>
          <w:p w:rsidR="00000000" w:rsidRPr="001B112D" w:rsidP="001B112D">
            <w:pPr>
              <w:pStyle w:val="BodyText"/>
            </w:pPr>
            <w:r w:rsidRPr="001B112D">
              <w:t>It also includes using relevant resources and equipment, identifying faults and completing relevant reports and documentation.</w:t>
            </w:r>
          </w:p>
          <w:p w:rsidR="00000000" w:rsidRPr="001B112D" w:rsidP="001B112D">
            <w:pPr>
              <w:pStyle w:val="BodyText"/>
            </w:pPr>
            <w:r w:rsidRPr="001B112D">
              <w:t>The application of the skills and knowledge descri</w:t>
            </w:r>
            <w:r w:rsidRPr="001B112D">
              <w:t xml:space="preserve">bed in this unit may require a licence/registration to practise in the workplace. </w:t>
            </w:r>
          </w:p>
          <w:p w:rsidR="00000000" w:rsidRPr="001B112D" w:rsidP="001B112D">
            <w:pPr>
              <w:pStyle w:val="BodyText"/>
            </w:pPr>
            <w:r w:rsidRPr="001B112D">
              <w:t>Other conditions may apply under state and territory legislative and regulatory licensing requirements which must be confirmed prior to commencing this unit.</w:t>
            </w:r>
          </w:p>
        </w:tc>
      </w:tr>
    </w:tbl>
    <w:p w:rsidR="00000000" w:rsidRPr="001B112D" w:rsidP="001B112D">
      <w:pPr>
        <w:pStyle w:val="NoPaddingFontSize1"/>
      </w:pPr>
    </w:p>
    <w:p w:rsidR="00000000" w:rsidRPr="001B112D" w:rsidP="001B112D">
      <w:pPr>
        <w:pStyle w:val="AllowPageBreak"/>
      </w:pPr>
    </w:p>
    <w:p w:rsidR="00000000" w:rsidRPr="001B112D" w:rsidP="001B112D">
      <w:pPr>
        <w:pStyle w:val="Heading1"/>
      </w:pPr>
      <w:bookmarkStart w:id="3" w:name="O_1188208"/>
      <w:bookmarkEnd w:id="3"/>
      <w:r w:rsidRPr="001B112D">
        <w:t>Pre-requisite Unit</w:t>
      </w:r>
    </w:p>
    <w:tbl>
      <w:tblPr>
        <w:tblW w:w="9497" w:type="dxa"/>
        <w:tblLayout w:type="fixed"/>
        <w:tblCellMar>
          <w:left w:w="62" w:type="dxa"/>
          <w:right w:w="62" w:type="dxa"/>
        </w:tblCellMar>
        <w:tblLook w:val="0000"/>
      </w:tblPr>
      <w:tblGrid>
        <w:gridCol w:w="9497"/>
      </w:tblGrid>
      <w:tr w:rsidTr="001B1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t>Not applicable.</w:t>
            </w:r>
          </w:p>
        </w:tc>
      </w:tr>
    </w:tbl>
    <w:p w:rsidR="00000000" w:rsidRPr="001B112D" w:rsidP="001B112D">
      <w:pPr>
        <w:pStyle w:val="NoPaddingFontSize1"/>
      </w:pPr>
    </w:p>
    <w:p w:rsidR="00000000" w:rsidRPr="001B112D" w:rsidP="001B112D">
      <w:pPr>
        <w:pStyle w:val="AllowPageBreak"/>
      </w:pPr>
    </w:p>
    <w:p w:rsidR="00000000" w:rsidRPr="001B112D" w:rsidP="001B112D">
      <w:pPr>
        <w:pStyle w:val="Heading1"/>
      </w:pPr>
      <w:bookmarkStart w:id="4" w:name="O_1188209"/>
      <w:bookmarkEnd w:id="4"/>
      <w:r w:rsidRPr="001B112D">
        <w:t>Competency Field</w:t>
      </w:r>
    </w:p>
    <w:tbl>
      <w:tblPr>
        <w:tblW w:w="9497" w:type="dxa"/>
        <w:tblLayout w:type="fixed"/>
        <w:tblCellMar>
          <w:left w:w="62" w:type="dxa"/>
          <w:right w:w="62" w:type="dxa"/>
        </w:tblCellMar>
        <w:tblLook w:val="0000"/>
      </w:tblPr>
      <w:tblGrid>
        <w:gridCol w:w="9497"/>
      </w:tblGrid>
      <w:tr w:rsidTr="001B1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t>Transmission</w:t>
            </w:r>
          </w:p>
        </w:tc>
      </w:tr>
    </w:tbl>
    <w:p w:rsidR="00000000" w:rsidRPr="001B112D" w:rsidP="001B112D">
      <w:pPr>
        <w:pStyle w:val="NoPaddingFontSize1"/>
      </w:pPr>
    </w:p>
    <w:p w:rsidR="00000000" w:rsidRPr="001B112D" w:rsidP="001B112D">
      <w:pPr>
        <w:pStyle w:val="AllowPageBreak"/>
      </w:pPr>
    </w:p>
    <w:p w:rsidR="00000000" w:rsidRPr="001B112D" w:rsidP="001B112D">
      <w:pPr>
        <w:pStyle w:val="Heading1"/>
      </w:pPr>
      <w:bookmarkStart w:id="5" w:name="O_1188210"/>
      <w:bookmarkEnd w:id="5"/>
      <w:r w:rsidRPr="001B112D">
        <w:t>Unit Sector</w:t>
      </w:r>
    </w:p>
    <w:tbl>
      <w:tblPr>
        <w:tblW w:w="9497" w:type="dxa"/>
        <w:tblLayout w:type="fixed"/>
        <w:tblCellMar>
          <w:left w:w="62" w:type="dxa"/>
          <w:right w:w="62" w:type="dxa"/>
        </w:tblCellMar>
        <w:tblLook w:val="0000"/>
      </w:tblPr>
      <w:tblGrid>
        <w:gridCol w:w="9497"/>
      </w:tblGrid>
      <w:tr w:rsidTr="001B1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t>Gas Industry</w:t>
            </w:r>
          </w:p>
        </w:tc>
      </w:tr>
    </w:tbl>
    <w:p w:rsidR="00000000" w:rsidRPr="001B112D" w:rsidP="001B112D">
      <w:pPr>
        <w:pStyle w:val="NoPaddingFontSize1"/>
      </w:pPr>
    </w:p>
    <w:p w:rsidR="00000000" w:rsidRPr="001B112D" w:rsidP="001B112D">
      <w:pPr>
        <w:pStyle w:val="AllowPageBreak"/>
      </w:pPr>
    </w:p>
    <w:p w:rsidR="00000000" w:rsidRPr="001B112D" w:rsidP="001B112D">
      <w:pPr>
        <w:pStyle w:val="Heading1"/>
      </w:pPr>
      <w:bookmarkStart w:id="6" w:name="O_1188211"/>
      <w:bookmarkEnd w:id="6"/>
      <w:r w:rsidRPr="001B112D">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B112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PERFORMANCE CRITERIA</w:t>
            </w:r>
          </w:p>
        </w:tc>
      </w:tr>
      <w:tr w:rsidTr="001B112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Performance criteria describe the performance needed to demonstrate achievement of the element.</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rPr>
                <w:rStyle w:val="SpecialBold"/>
              </w:rPr>
              <w:t>Plan gas processing, storage or regasification operations</w:t>
            </w: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Work schedule/s, drawings, plans, job requirements, standard operating procedures (SOP) and material lists are obtained, analysed and site inspection conducted, as required, to determine the preparation work required for planning and coordination</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112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Re</w:t>
            </w:r>
            <w:r w:rsidRPr="001B112D">
              <w:t>levant person/s are consulted and work is prioritised and sequenced for completion within agreed timeframes and to industry standards in accordance with workplace procedures</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112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WHS/OHS, environmental and sustainable energy policies and procedures related to the work are obtained to ensure safe systems of work are followed in accordance with workplace procedures</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112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Hazards and work health and safety (WHS)/occupational health a</w:t>
            </w:r>
            <w:r w:rsidRPr="001B112D">
              <w:t>nd safety (OHS) risks are identified and prioritised and risk control measures implemented and monitored</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112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Relevant work permit/s are obtained to coordinate the work in accordance with job/regulatory requirements and workplace procedures</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112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Approp</w:t>
            </w:r>
            <w:r w:rsidRPr="001B112D">
              <w:t>riate equipment, tools and personal protective equipment (PPE) required for the job are identified, scheduled, obtained and checked for correct operation and safety in accordance with workplace procedures</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rPr>
                <w:rStyle w:val="SpecialBold"/>
              </w:rPr>
              <w:t>Control gas processing, storage or regasificatio</w:t>
            </w:r>
            <w:r w:rsidRPr="001B112D">
              <w:rPr>
                <w:rStyle w:val="SpecialBold"/>
              </w:rPr>
              <w:t>n operations</w:t>
            </w: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WHS/OHS risk control measures and policies and procedures are followed</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112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Systems isolation is performed in accordance with industry standards and workplace procedures</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112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 xml:space="preserve">Gas processing, storage or regasification operations are initiated and coordinated ensuring completion in agreed timeframes </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112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Operation of processing and storage system is controlled and monitored to ensure safety and efficiency and system operations</w:t>
            </w:r>
            <w:r w:rsidRPr="001B112D">
              <w:t xml:space="preserve"> communicated to relevant person/s and other work areas in accordance with workplace procedures</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112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 xml:space="preserve">Alarm codes, logics and other hazard warnings are correctly recognised and WHS/OHS risks and control </w:t>
            </w:r>
            <w:r w:rsidRPr="001B112D">
              <w:t>measures monitored, actioned and appropriate authori</w:t>
            </w:r>
            <w:r w:rsidRPr="001B112D">
              <w:t>ties consulted in accordance with requirements and workplace procedures</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112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Work schedule is monitored and remedial action taken to address any shortfalls encountered in accordance with requirements and/or workplace procedures</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112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Fault-finding and troubleshooting techniques are applied to problems encountered in accordance with workplace procedures</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112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Relevant work permit/s are signed off, where applicable, and system returned to service and communicated to stakeholders in acco</w:t>
            </w:r>
            <w:r w:rsidRPr="001B112D">
              <w:t>rdance with requirements and workplace procedures</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112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Quality and safety checks of the work are conducted in accordance with job requirements, workplace procedures and industry standards</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rPr>
                <w:rStyle w:val="SpecialBold"/>
              </w:rPr>
              <w:t>Shutdown operations and complete relevant documentation</w:t>
            </w: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Work undertaken is checked against work schedule for conformance and anomalies and proposed solutions reported to relevant person/s in accordance with workplace procedures</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112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 xml:space="preserve">Incidents and injuries are reported in accordance with relevant regulations, </w:t>
            </w:r>
            <w:r w:rsidRPr="001B112D">
              <w:t>standards and workplace procedures</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112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Emergency shutdown procedures are applied in the event of equipment faults/failure or operational parameters being exceeded</w:t>
            </w:r>
          </w:p>
        </w:tc>
      </w:tr>
      <w:tr w:rsidTr="001B11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112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t>Work completion records, reports, documentation and as installed/modified drawing/s</w:t>
            </w:r>
            <w:r w:rsidRPr="001B112D">
              <w:t xml:space="preserve"> are completed, processed and appropriate person/s notified in accordance with workplace procedures</w:t>
            </w:r>
          </w:p>
        </w:tc>
      </w:tr>
    </w:tbl>
    <w:p w:rsidR="00000000" w:rsidRPr="001B112D" w:rsidP="001B112D">
      <w:pPr>
        <w:pStyle w:val="NoPaddingFontSize1"/>
      </w:pPr>
    </w:p>
    <w:p w:rsidR="00000000" w:rsidRPr="001B112D" w:rsidP="001B112D">
      <w:pPr>
        <w:pStyle w:val="AllowPageBreak"/>
      </w:pPr>
    </w:p>
    <w:p w:rsidR="00000000" w:rsidRPr="001B112D" w:rsidP="001B112D">
      <w:pPr>
        <w:pStyle w:val="Heading1"/>
      </w:pPr>
      <w:bookmarkStart w:id="7" w:name="O_1188212"/>
      <w:bookmarkEnd w:id="7"/>
      <w:r w:rsidRPr="001B112D">
        <w:t>Foundation Skills</w:t>
      </w:r>
    </w:p>
    <w:tbl>
      <w:tblPr>
        <w:tblW w:w="9497" w:type="dxa"/>
        <w:tblLayout w:type="fixed"/>
        <w:tblCellMar>
          <w:left w:w="62" w:type="dxa"/>
          <w:right w:w="62" w:type="dxa"/>
        </w:tblCellMar>
        <w:tblLook w:val="0000"/>
      </w:tblPr>
      <w:tblGrid>
        <w:gridCol w:w="9497"/>
      </w:tblGrid>
      <w:tr w:rsidTr="001B1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t>Foundation skills essential to performance are explicit in the performance criteria of this unit of competency.</w:t>
            </w:r>
          </w:p>
        </w:tc>
      </w:tr>
    </w:tbl>
    <w:p w:rsidR="00000000" w:rsidRPr="001B112D" w:rsidP="001B112D">
      <w:pPr>
        <w:pStyle w:val="NoPaddingFontSize1"/>
      </w:pPr>
    </w:p>
    <w:p w:rsidR="00000000" w:rsidRPr="001B112D" w:rsidP="001B112D">
      <w:pPr>
        <w:pStyle w:val="AllowPageBreak"/>
      </w:pPr>
    </w:p>
    <w:p w:rsidR="00000000" w:rsidRPr="001B112D" w:rsidP="001B112D">
      <w:pPr>
        <w:pStyle w:val="Heading1"/>
      </w:pPr>
      <w:bookmarkStart w:id="8" w:name="O_1188213"/>
      <w:bookmarkEnd w:id="8"/>
      <w:r w:rsidRPr="001B112D">
        <w:t>Range of Conditions</w:t>
      </w:r>
    </w:p>
    <w:tbl>
      <w:tblPr>
        <w:tblW w:w="9497" w:type="dxa"/>
        <w:tblLayout w:type="fixed"/>
        <w:tblCellMar>
          <w:left w:w="62" w:type="dxa"/>
          <w:right w:w="62" w:type="dxa"/>
        </w:tblCellMar>
        <w:tblLook w:val="0000"/>
      </w:tblPr>
      <w:tblGrid>
        <w:gridCol w:w="4717"/>
        <w:gridCol w:w="4780"/>
      </w:tblGrid>
      <w:tr w:rsidTr="001B112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t>Range is restricted to essential operating conditions and any other variables essential to the work environment.</w:t>
            </w:r>
          </w:p>
          <w:p w:rsidR="00000000" w:rsidP="001B112D">
            <w:pPr>
              <w:pStyle w:val="BodyText"/>
              <w:rPr>
                <w:lang w:val="en-NZ"/>
              </w:rPr>
            </w:pPr>
            <w:r w:rsidRPr="001B112D">
              <w:t>Non-essential conditions may be found in the UEG Gas Industry Training Package Companion Volume Implement</w:t>
            </w:r>
            <w:r w:rsidRPr="001B112D">
              <w:t>ation Guide.</w:t>
            </w:r>
          </w:p>
        </w:tc>
      </w:tr>
      <w:tr w:rsidTr="001B112D">
        <w:tblPrEx>
          <w:tblW w:w="9497" w:type="dxa"/>
          <w:tblLayout w:type="fixed"/>
          <w:tblCellMar>
            <w:left w:w="62" w:type="dxa"/>
            <w:right w:w="62" w:type="dxa"/>
          </w:tblCellMar>
          <w:tblLook w:val="0000"/>
        </w:tblPrEx>
        <w:tc>
          <w:tcPr>
            <w:tcW w:w="4717"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resources must include at least five (5) of the following:</w:t>
            </w:r>
          </w:p>
        </w:tc>
        <w:tc>
          <w:tcPr>
            <w:tcW w:w="4780" w:type="dxa"/>
            <w:tcBorders>
              <w:top w:val="nil"/>
              <w:left w:val="nil"/>
              <w:bottom w:val="nil"/>
              <w:right w:val="nil"/>
            </w:tcBorders>
            <w:tcMar>
              <w:top w:w="0" w:type="dxa"/>
              <w:left w:w="62" w:type="dxa"/>
              <w:bottom w:w="0" w:type="dxa"/>
              <w:right w:w="62" w:type="dxa"/>
            </w:tcMar>
          </w:tcPr>
          <w:p w:rsidR="00000000" w:rsidRPr="001B112D" w:rsidP="001B112D">
            <w:pPr>
              <w:pStyle w:val="ListBullet"/>
            </w:pPr>
            <w:r w:rsidRPr="001B112D">
              <w:t>pumps</w:t>
            </w:r>
          </w:p>
          <w:p w:rsidR="00000000" w:rsidRPr="001B112D" w:rsidP="001B112D">
            <w:pPr>
              <w:pStyle w:val="ListBullet"/>
            </w:pPr>
            <w:r w:rsidRPr="001B112D">
              <w:t>compressor packages</w:t>
            </w:r>
          </w:p>
          <w:p w:rsidR="00000000" w:rsidRPr="001B112D" w:rsidP="001B112D">
            <w:pPr>
              <w:pStyle w:val="ListBullet"/>
            </w:pPr>
            <w:r w:rsidRPr="001B112D">
              <w:t>valves</w:t>
            </w:r>
          </w:p>
          <w:p w:rsidR="00000000" w:rsidRPr="001B112D" w:rsidP="001B112D">
            <w:pPr>
              <w:pStyle w:val="ListBullet"/>
            </w:pPr>
            <w:r w:rsidRPr="001B112D">
              <w:t>control and monitoring equipment</w:t>
            </w:r>
          </w:p>
          <w:p w:rsidR="00000000" w:rsidRPr="001B112D" w:rsidP="001B112D">
            <w:pPr>
              <w:pStyle w:val="ListBullet"/>
            </w:pPr>
            <w:r w:rsidRPr="001B112D">
              <w:t>mixing equipment</w:t>
            </w:r>
          </w:p>
          <w:p w:rsidR="00000000" w:rsidRPr="001B112D" w:rsidP="001B112D">
            <w:pPr>
              <w:pStyle w:val="ListBullet"/>
            </w:pPr>
            <w:r w:rsidRPr="001B112D">
              <w:t>sampling equipment</w:t>
            </w:r>
          </w:p>
          <w:p w:rsidR="00000000" w:rsidP="001B112D">
            <w:pPr>
              <w:pStyle w:val="ListBullet"/>
              <w:rPr>
                <w:lang w:val="en-NZ"/>
              </w:rPr>
            </w:pPr>
            <w:r w:rsidRPr="001B112D">
              <w:t>instrument air equipment</w:t>
            </w:r>
          </w:p>
        </w:tc>
      </w:tr>
      <w:tr w:rsidTr="001B112D">
        <w:tblPrEx>
          <w:tblW w:w="9497" w:type="dxa"/>
          <w:tblLayout w:type="fixed"/>
          <w:tblCellMar>
            <w:left w:w="62" w:type="dxa"/>
            <w:right w:w="62" w:type="dxa"/>
          </w:tblCellMar>
          <w:tblLook w:val="0000"/>
        </w:tblPrEx>
        <w:tc>
          <w:tcPr>
            <w:tcW w:w="4717"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incidents must include at least three (3) of the following:</w:t>
            </w:r>
          </w:p>
        </w:tc>
        <w:tc>
          <w:tcPr>
            <w:tcW w:w="4780" w:type="dxa"/>
            <w:tcBorders>
              <w:top w:val="nil"/>
              <w:left w:val="nil"/>
              <w:bottom w:val="nil"/>
              <w:right w:val="nil"/>
            </w:tcBorders>
            <w:tcMar>
              <w:top w:w="0" w:type="dxa"/>
              <w:left w:w="62" w:type="dxa"/>
              <w:bottom w:w="0" w:type="dxa"/>
              <w:right w:w="62" w:type="dxa"/>
            </w:tcMar>
          </w:tcPr>
          <w:p w:rsidR="00000000" w:rsidRPr="001B112D" w:rsidP="001B112D">
            <w:pPr>
              <w:pStyle w:val="ListBullet"/>
            </w:pPr>
            <w:r w:rsidRPr="001B112D">
              <w:t>gas leaks</w:t>
            </w:r>
          </w:p>
          <w:p w:rsidR="00000000" w:rsidRPr="001B112D" w:rsidP="001B112D">
            <w:pPr>
              <w:pStyle w:val="ListBullet"/>
            </w:pPr>
            <w:r w:rsidRPr="001B112D">
              <w:t>gas fires</w:t>
            </w:r>
          </w:p>
          <w:p w:rsidR="00000000" w:rsidRPr="001B112D" w:rsidP="001B112D">
            <w:pPr>
              <w:pStyle w:val="ListBullet"/>
            </w:pPr>
            <w:r w:rsidRPr="001B112D">
              <w:t>equipment failure</w:t>
            </w:r>
          </w:p>
          <w:p w:rsidR="00000000" w:rsidRPr="001B112D" w:rsidP="001B112D">
            <w:pPr>
              <w:pStyle w:val="ListBullet"/>
            </w:pPr>
            <w:r w:rsidRPr="001B112D">
              <w:t>unsafe inventory and supply levels</w:t>
            </w:r>
          </w:p>
          <w:p w:rsidR="00000000" w:rsidP="001B112D">
            <w:pPr>
              <w:pStyle w:val="ListBullet"/>
              <w:rPr>
                <w:lang w:val="en-NZ"/>
              </w:rPr>
            </w:pPr>
            <w:r w:rsidRPr="001B112D">
              <w:t>electrical supply fires</w:t>
            </w:r>
          </w:p>
        </w:tc>
      </w:tr>
      <w:tr w:rsidTr="001B112D">
        <w:tblPrEx>
          <w:tblW w:w="9497" w:type="dxa"/>
          <w:tblLayout w:type="fixed"/>
          <w:tblCellMar>
            <w:left w:w="62" w:type="dxa"/>
            <w:right w:w="62" w:type="dxa"/>
          </w:tblCellMar>
          <w:tblLook w:val="0000"/>
        </w:tblPrEx>
        <w:tc>
          <w:tcPr>
            <w:tcW w:w="4717"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monitoring of facilities must include at least four (4) of the following:</w:t>
            </w:r>
          </w:p>
        </w:tc>
        <w:tc>
          <w:tcPr>
            <w:tcW w:w="4780" w:type="dxa"/>
            <w:tcBorders>
              <w:top w:val="nil"/>
              <w:left w:val="nil"/>
              <w:bottom w:val="nil"/>
              <w:right w:val="nil"/>
            </w:tcBorders>
            <w:tcMar>
              <w:top w:w="0" w:type="dxa"/>
              <w:left w:w="62" w:type="dxa"/>
              <w:bottom w:w="0" w:type="dxa"/>
              <w:right w:w="62" w:type="dxa"/>
            </w:tcMar>
          </w:tcPr>
          <w:p w:rsidR="00000000" w:rsidRPr="001B112D" w:rsidP="001B112D">
            <w:pPr>
              <w:pStyle w:val="ListBullet"/>
            </w:pPr>
            <w:r w:rsidRPr="001B112D">
              <w:t>pressure</w:t>
            </w:r>
          </w:p>
          <w:p w:rsidR="00000000" w:rsidRPr="001B112D" w:rsidP="001B112D">
            <w:pPr>
              <w:pStyle w:val="ListBullet"/>
            </w:pPr>
            <w:r w:rsidRPr="001B112D">
              <w:t>temperature</w:t>
            </w:r>
          </w:p>
          <w:p w:rsidR="00000000" w:rsidRPr="001B112D" w:rsidP="001B112D">
            <w:pPr>
              <w:pStyle w:val="ListBullet"/>
            </w:pPr>
            <w:r w:rsidRPr="001B112D">
              <w:t>flows</w:t>
            </w:r>
          </w:p>
          <w:p w:rsidR="00000000" w:rsidRPr="001B112D" w:rsidP="001B112D">
            <w:pPr>
              <w:pStyle w:val="ListBullet"/>
            </w:pPr>
            <w:r w:rsidRPr="001B112D">
              <w:t>levels</w:t>
            </w:r>
          </w:p>
          <w:p w:rsidR="00000000" w:rsidRPr="001B112D" w:rsidP="001B112D">
            <w:pPr>
              <w:pStyle w:val="ListBullet"/>
            </w:pPr>
            <w:r w:rsidRPr="001B112D">
              <w:t>corrosion</w:t>
            </w:r>
          </w:p>
          <w:p w:rsidR="00000000" w:rsidRPr="001B112D" w:rsidP="001B112D">
            <w:pPr>
              <w:pStyle w:val="ListBullet"/>
            </w:pPr>
            <w:r w:rsidRPr="001B112D">
              <w:t>stock levels</w:t>
            </w:r>
          </w:p>
          <w:p w:rsidR="00000000" w:rsidRPr="001B112D" w:rsidP="001B112D">
            <w:pPr>
              <w:pStyle w:val="ListBullet"/>
            </w:pPr>
            <w:r w:rsidRPr="001B112D">
              <w:t>gas leaks</w:t>
            </w:r>
          </w:p>
          <w:p w:rsidR="00000000" w:rsidP="001B112D">
            <w:pPr>
              <w:pStyle w:val="ListBullet"/>
              <w:rPr>
                <w:lang w:val="en-NZ"/>
              </w:rPr>
            </w:pPr>
            <w:r w:rsidRPr="001B112D">
              <w:t>security</w:t>
            </w:r>
          </w:p>
        </w:tc>
      </w:tr>
      <w:tr w:rsidTr="001B112D">
        <w:tblPrEx>
          <w:tblW w:w="9497" w:type="dxa"/>
          <w:tblLayout w:type="fixed"/>
          <w:tblCellMar>
            <w:left w:w="62" w:type="dxa"/>
            <w:right w:w="62" w:type="dxa"/>
          </w:tblCellMar>
          <w:tblLook w:val="0000"/>
        </w:tblPrEx>
        <w:tc>
          <w:tcPr>
            <w:tcW w:w="4717"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equipment faults must include at least four (4) of the following:</w:t>
            </w:r>
          </w:p>
        </w:tc>
        <w:tc>
          <w:tcPr>
            <w:tcW w:w="4780" w:type="dxa"/>
            <w:tcBorders>
              <w:top w:val="nil"/>
              <w:left w:val="nil"/>
              <w:bottom w:val="nil"/>
              <w:right w:val="nil"/>
            </w:tcBorders>
            <w:tcMar>
              <w:top w:w="0" w:type="dxa"/>
              <w:left w:w="62" w:type="dxa"/>
              <w:bottom w:w="0" w:type="dxa"/>
              <w:right w:w="62" w:type="dxa"/>
            </w:tcMar>
          </w:tcPr>
          <w:p w:rsidR="00000000" w:rsidRPr="001B112D" w:rsidP="001B112D">
            <w:pPr>
              <w:pStyle w:val="ListBullet"/>
            </w:pPr>
            <w:r w:rsidRPr="001B112D">
              <w:t>electrical problems</w:t>
            </w:r>
          </w:p>
          <w:p w:rsidR="00000000" w:rsidRPr="001B112D" w:rsidP="001B112D">
            <w:pPr>
              <w:pStyle w:val="ListBullet"/>
            </w:pPr>
            <w:r w:rsidRPr="001B112D">
              <w:t>compressor failure</w:t>
            </w:r>
          </w:p>
          <w:p w:rsidR="00000000" w:rsidRPr="001B112D" w:rsidP="001B112D">
            <w:pPr>
              <w:pStyle w:val="ListBullet"/>
            </w:pPr>
            <w:r w:rsidRPr="001B112D">
              <w:t>pump failure</w:t>
            </w:r>
          </w:p>
          <w:p w:rsidR="00000000" w:rsidRPr="001B112D" w:rsidP="001B112D">
            <w:pPr>
              <w:pStyle w:val="ListBullet"/>
            </w:pPr>
            <w:r w:rsidRPr="001B112D">
              <w:t>out-of-current inspection status</w:t>
            </w:r>
          </w:p>
          <w:p w:rsidR="00000000" w:rsidRPr="001B112D" w:rsidP="001B112D">
            <w:pPr>
              <w:pStyle w:val="ListBullet"/>
            </w:pPr>
            <w:r w:rsidRPr="001B112D">
              <w:t>gauge failure</w:t>
            </w:r>
          </w:p>
          <w:p w:rsidR="00000000" w:rsidRPr="001B112D" w:rsidP="001B112D">
            <w:pPr>
              <w:pStyle w:val="ListBullet"/>
            </w:pPr>
            <w:r w:rsidRPr="001B112D">
              <w:t>loss of containment</w:t>
            </w:r>
          </w:p>
          <w:p w:rsidR="00000000" w:rsidRPr="001B112D" w:rsidP="001B112D">
            <w:pPr>
              <w:pStyle w:val="ListBullet"/>
            </w:pPr>
            <w:r w:rsidRPr="001B112D">
              <w:t>instruments out of calibration</w:t>
            </w:r>
          </w:p>
        </w:tc>
      </w:tr>
    </w:tbl>
    <w:p w:rsidR="00000000" w:rsidRPr="001B112D" w:rsidP="001B112D">
      <w:pPr>
        <w:pStyle w:val="NoPaddingFontSize1"/>
      </w:pPr>
    </w:p>
    <w:p w:rsidR="00000000" w:rsidRPr="001B112D" w:rsidP="001B112D">
      <w:pPr>
        <w:pStyle w:val="AllowPageBreak"/>
      </w:pPr>
    </w:p>
    <w:p w:rsidR="00000000" w:rsidRPr="001B112D" w:rsidP="001B112D">
      <w:pPr>
        <w:pStyle w:val="Heading1"/>
      </w:pPr>
      <w:bookmarkStart w:id="9" w:name="O_1188214"/>
      <w:bookmarkEnd w:id="9"/>
      <w:r w:rsidRPr="001B112D">
        <w:t>Unit Mapping Information</w:t>
      </w:r>
    </w:p>
    <w:tbl>
      <w:tblPr>
        <w:tblW w:w="9497" w:type="dxa"/>
        <w:tblLayout w:type="fixed"/>
        <w:tblCellMar>
          <w:left w:w="62" w:type="dxa"/>
          <w:right w:w="62" w:type="dxa"/>
        </w:tblCellMar>
        <w:tblLook w:val="0000"/>
      </w:tblPr>
      <w:tblGrid>
        <w:gridCol w:w="9497"/>
      </w:tblGrid>
      <w:tr w:rsidTr="001B1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t>This is a new unit.</w:t>
            </w:r>
          </w:p>
        </w:tc>
      </w:tr>
    </w:tbl>
    <w:p w:rsidR="00000000" w:rsidRPr="001B112D" w:rsidP="001B112D">
      <w:pPr>
        <w:pStyle w:val="NoPaddingFontSize1"/>
      </w:pPr>
    </w:p>
    <w:p w:rsidR="00000000" w:rsidRPr="001B112D" w:rsidP="001B112D">
      <w:pPr>
        <w:pStyle w:val="AllowPageBreak"/>
      </w:pPr>
    </w:p>
    <w:p w:rsidR="00000000" w:rsidRPr="001B112D" w:rsidP="001B112D">
      <w:pPr>
        <w:pStyle w:val="Heading1"/>
      </w:pPr>
      <w:bookmarkStart w:id="10" w:name="O_1188221"/>
      <w:bookmarkEnd w:id="10"/>
      <w:r w:rsidRPr="001B112D">
        <w:t>Links</w:t>
      </w:r>
    </w:p>
    <w:p w:rsidR="00000000" w:rsidRPr="001B112D" w:rsidP="00613281">
      <w:pPr>
        <w:pStyle w:val="BodyText"/>
      </w:pPr>
      <w:r w:rsidRPr="001B112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12F4B">
        <w:rPr>
          <w:rStyle w:val="Hyperlink"/>
        </w:rPr>
        <w:t>https://vetnet.gov.au/Pages/TrainingDocs.aspx?q=6a6c032e-ffcb-4f3d-8063-415efbd261e8</w:t>
      </w:r>
      <w:r>
        <w:fldChar w:fldCharType="end"/>
      </w:r>
    </w:p>
    <w:p w:rsidR="00000000" w:rsidRPr="001B112D" w:rsidP="00613281">
      <w:pPr>
        <w:pStyle w:val="BodyText"/>
        <w:sectPr w:rsidSect="001B112D">
          <w:headerReference w:type="default" r:id="rId10"/>
          <w:footerReference w:type="default" r:id="rId11"/>
          <w:pgSz w:w="11908" w:h="16833"/>
          <w:pgMar w:top="1702" w:right="1418" w:bottom="1702" w:left="1418" w:header="992" w:footer="992" w:gutter="0"/>
          <w:cols w:space="720"/>
          <w:noEndnote/>
          <w:docGrid w:linePitch="299"/>
        </w:sectPr>
      </w:pPr>
    </w:p>
    <w:p w:rsidR="00000000" w:rsidRPr="001B112D" w:rsidP="001B112D">
      <w:pPr>
        <w:pStyle w:val="SuperHeading"/>
      </w:pPr>
      <w:r w:rsidRPr="001B112D">
        <w:t>Assessment Requirements for UEGNSG306 Control gas processing, s</w:t>
      </w:r>
      <w:r w:rsidRPr="001B112D">
        <w:t>torage or regasification operations in an LNG storage facility</w:t>
      </w:r>
    </w:p>
    <w:p w:rsidR="00000000" w:rsidRPr="001B112D" w:rsidP="001B112D">
      <w:pPr>
        <w:pStyle w:val="Heading1"/>
      </w:pPr>
      <w:bookmarkStart w:id="11" w:name="O_1188216"/>
      <w:bookmarkEnd w:id="11"/>
      <w:r w:rsidRPr="001B112D">
        <w:t>Modification History</w:t>
      </w:r>
    </w:p>
    <w:tbl>
      <w:tblPr>
        <w:tblW w:w="9497" w:type="dxa"/>
        <w:tblLayout w:type="fixed"/>
        <w:tblCellMar>
          <w:left w:w="62" w:type="dxa"/>
          <w:right w:w="62" w:type="dxa"/>
        </w:tblCellMar>
        <w:tblLook w:val="0000"/>
      </w:tblPr>
      <w:tblGrid>
        <w:gridCol w:w="9497"/>
      </w:tblGrid>
      <w:tr w:rsidTr="001B1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t>Release 1. This is the first release of this unit of competency in the UEG Gas Industry Training Package.</w:t>
            </w:r>
          </w:p>
        </w:tc>
      </w:tr>
    </w:tbl>
    <w:p w:rsidR="00000000" w:rsidRPr="001B112D" w:rsidP="001B112D">
      <w:pPr>
        <w:pStyle w:val="NoPaddingFontSize1"/>
      </w:pPr>
    </w:p>
    <w:p w:rsidR="00000000" w:rsidRPr="001B112D" w:rsidP="001B112D">
      <w:pPr>
        <w:pStyle w:val="AllowPageBreak"/>
      </w:pPr>
    </w:p>
    <w:p w:rsidR="00000000" w:rsidRPr="001B112D" w:rsidP="001B112D">
      <w:pPr>
        <w:pStyle w:val="Heading1"/>
      </w:pPr>
      <w:bookmarkStart w:id="12" w:name="O_1188217"/>
      <w:bookmarkEnd w:id="12"/>
      <w:r w:rsidRPr="001B112D">
        <w:t>Performance Evidence</w:t>
      </w:r>
    </w:p>
    <w:tbl>
      <w:tblPr>
        <w:tblW w:w="9497" w:type="dxa"/>
        <w:tblLayout w:type="fixed"/>
        <w:tblCellMar>
          <w:left w:w="62" w:type="dxa"/>
          <w:right w:w="62" w:type="dxa"/>
        </w:tblCellMar>
        <w:tblLook w:val="0000"/>
      </w:tblPr>
      <w:tblGrid>
        <w:gridCol w:w="9497"/>
      </w:tblGrid>
      <w:tr w:rsidTr="001B1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Eviden</w:t>
            </w:r>
            <w:r w:rsidRPr="001B112D">
              <w:t xml:space="preserve">ce required to demonstrate competence in this unit must be relevant to and satisfy all of the requirements of the elements and performance criteria on at least two separate occasions and include: </w:t>
            </w:r>
          </w:p>
        </w:tc>
      </w:tr>
      <w:tr w:rsidTr="001B1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12D" w:rsidP="001B112D">
            <w:pPr>
              <w:pStyle w:val="ListBullet"/>
            </w:pPr>
            <w:r w:rsidRPr="001B112D">
              <w:t>applying relevant fault-finding and troubleshooting techn</w:t>
            </w:r>
            <w:r w:rsidRPr="001B112D">
              <w:t>iques</w:t>
            </w:r>
          </w:p>
          <w:p w:rsidR="00000000" w:rsidRPr="001B112D" w:rsidP="001B112D">
            <w:pPr>
              <w:pStyle w:val="ListBullet"/>
            </w:pPr>
            <w:r w:rsidRPr="001B112D">
              <w:t>applying relevant industry standards, guidelines, codes of practice and regulations</w:t>
            </w:r>
          </w:p>
          <w:p w:rsidR="00000000" w:rsidRPr="001B112D" w:rsidP="001B112D">
            <w:pPr>
              <w:pStyle w:val="ListBullet"/>
            </w:pPr>
            <w:r w:rsidRPr="001B112D">
              <w:t>applying relevant work health and safety (WHS)/occupational health and safety (OHS) requirements, including:</w:t>
            </w:r>
          </w:p>
          <w:p w:rsidR="00000000" w:rsidRPr="001B112D" w:rsidP="001B112D">
            <w:pPr>
              <w:pStyle w:val="ListBullet2"/>
            </w:pPr>
            <w:r w:rsidRPr="001B112D">
              <w:t xml:space="preserve">emergency response procedures </w:t>
            </w:r>
          </w:p>
          <w:p w:rsidR="00000000" w:rsidRPr="001B112D" w:rsidP="001B112D">
            <w:pPr>
              <w:pStyle w:val="ListBullet2"/>
            </w:pPr>
            <w:r w:rsidRPr="001B112D">
              <w:t xml:space="preserve">sustainable energy and environmental principles and practices </w:t>
            </w:r>
          </w:p>
          <w:p w:rsidR="00000000" w:rsidRPr="001B112D" w:rsidP="001B112D">
            <w:pPr>
              <w:pStyle w:val="ListBullet2"/>
            </w:pPr>
            <w:r w:rsidRPr="001B112D">
              <w:t>hazard identification and reporting</w:t>
            </w:r>
          </w:p>
          <w:p w:rsidR="00000000" w:rsidRPr="001B112D" w:rsidP="001B112D">
            <w:pPr>
              <w:pStyle w:val="ListBullet2"/>
            </w:pPr>
            <w:r w:rsidRPr="001B112D">
              <w:t xml:space="preserve">implementing risk control measures </w:t>
            </w:r>
          </w:p>
          <w:p w:rsidR="00000000" w:rsidRPr="001B112D" w:rsidP="001B112D">
            <w:pPr>
              <w:pStyle w:val="ListBullet"/>
            </w:pPr>
            <w:r w:rsidRPr="001B112D">
              <w:t>communicating and coordinating with relevant stakeholders</w:t>
            </w:r>
          </w:p>
          <w:p w:rsidR="00000000" w:rsidRPr="001B112D" w:rsidP="001B112D">
            <w:pPr>
              <w:pStyle w:val="ListBullet"/>
            </w:pPr>
            <w:r w:rsidRPr="001B112D">
              <w:t>completing relevant reports and documentation</w:t>
            </w:r>
          </w:p>
          <w:p w:rsidR="00000000" w:rsidRPr="001B112D" w:rsidP="001B112D">
            <w:pPr>
              <w:pStyle w:val="ListBullet"/>
            </w:pPr>
            <w:r w:rsidRPr="001B112D">
              <w:t>controlling proc</w:t>
            </w:r>
            <w:r w:rsidRPr="001B112D">
              <w:t>essing, storage or regasification operations</w:t>
            </w:r>
          </w:p>
          <w:p w:rsidR="00000000" w:rsidRPr="001B112D" w:rsidP="001B112D">
            <w:pPr>
              <w:pStyle w:val="ListBullet"/>
            </w:pPr>
            <w:r w:rsidRPr="001B112D">
              <w:t xml:space="preserve">dealing with unplanned events  </w:t>
            </w:r>
          </w:p>
          <w:p w:rsidR="00000000" w:rsidRPr="001B112D" w:rsidP="001B112D">
            <w:pPr>
              <w:pStyle w:val="ListBullet"/>
            </w:pPr>
            <w:r w:rsidRPr="001B112D">
              <w:t>following workplace procedures, including:</w:t>
            </w:r>
          </w:p>
          <w:p w:rsidR="00000000" w:rsidRPr="001B112D" w:rsidP="001B112D">
            <w:pPr>
              <w:pStyle w:val="ListBullet2"/>
            </w:pPr>
            <w:r w:rsidRPr="001B112D">
              <w:t>emergency shutdown procedures</w:t>
            </w:r>
          </w:p>
          <w:p w:rsidR="00000000" w:rsidRPr="001B112D" w:rsidP="001B112D">
            <w:pPr>
              <w:pStyle w:val="ListBullet2"/>
            </w:pPr>
            <w:r w:rsidRPr="001B112D">
              <w:t>reporting procedures</w:t>
            </w:r>
          </w:p>
          <w:p w:rsidR="00000000" w:rsidRPr="001B112D" w:rsidP="001B112D">
            <w:pPr>
              <w:pStyle w:val="ListBullet2"/>
            </w:pPr>
            <w:r w:rsidRPr="001B112D">
              <w:t>standard operating procedures</w:t>
            </w:r>
          </w:p>
          <w:p w:rsidR="00000000" w:rsidRPr="001B112D" w:rsidP="001B112D">
            <w:pPr>
              <w:pStyle w:val="ListBullet"/>
            </w:pPr>
            <w:r w:rsidRPr="001B112D">
              <w:t>interpret</w:t>
            </w:r>
            <w:r w:rsidRPr="001B112D">
              <w:t>ing relevant drawings, plans and material lists</w:t>
            </w:r>
          </w:p>
          <w:p w:rsidR="00000000" w:rsidRPr="001B112D" w:rsidP="001B112D">
            <w:pPr>
              <w:pStyle w:val="ListBullet"/>
            </w:pPr>
            <w:r w:rsidRPr="001B112D">
              <w:t>isolating systems</w:t>
            </w:r>
          </w:p>
          <w:p w:rsidR="00000000" w:rsidRPr="001B112D" w:rsidP="001B112D">
            <w:pPr>
              <w:pStyle w:val="ListBullet"/>
            </w:pPr>
            <w:r w:rsidRPr="001B112D">
              <w:t>obtaining and complying with relevant work permits</w:t>
            </w:r>
          </w:p>
          <w:p w:rsidR="00000000" w:rsidRPr="001B112D" w:rsidP="001B112D">
            <w:pPr>
              <w:pStyle w:val="ListBullet"/>
            </w:pPr>
            <w:r w:rsidRPr="001B112D">
              <w:t>operating relevant control systems</w:t>
            </w:r>
          </w:p>
          <w:p w:rsidR="00000000" w:rsidRPr="001B112D" w:rsidP="001B112D">
            <w:pPr>
              <w:pStyle w:val="ListBullet"/>
            </w:pPr>
            <w:r w:rsidRPr="001B112D">
              <w:t>performing quality and safety checks</w:t>
            </w:r>
          </w:p>
          <w:p w:rsidR="00000000" w:rsidRPr="001B112D" w:rsidP="001B112D">
            <w:pPr>
              <w:pStyle w:val="ListBullet"/>
            </w:pPr>
            <w:r w:rsidRPr="001B112D">
              <w:t>planning control of processing, storage or regasification operation</w:t>
            </w:r>
            <w:r w:rsidRPr="001B112D">
              <w:t>s</w:t>
            </w:r>
          </w:p>
          <w:p w:rsidR="00000000" w:rsidRPr="001B112D" w:rsidP="001B112D">
            <w:pPr>
              <w:pStyle w:val="ListBullet"/>
            </w:pPr>
            <w:r w:rsidRPr="001B112D">
              <w:t xml:space="preserve">recording relevant information </w:t>
            </w:r>
          </w:p>
          <w:p w:rsidR="00000000" w:rsidRPr="001B112D" w:rsidP="001B112D">
            <w:pPr>
              <w:pStyle w:val="ListBullet"/>
            </w:pPr>
            <w:r w:rsidRPr="001B112D">
              <w:t>shutting down operations.</w:t>
            </w:r>
          </w:p>
        </w:tc>
      </w:tr>
    </w:tbl>
    <w:p w:rsidR="00000000" w:rsidRPr="001B112D" w:rsidP="001B112D">
      <w:pPr>
        <w:pStyle w:val="NoPaddingFontSize1"/>
      </w:pPr>
    </w:p>
    <w:p w:rsidR="00000000" w:rsidRPr="001B112D" w:rsidP="001B112D">
      <w:pPr>
        <w:pStyle w:val="AllowPageBreak"/>
      </w:pPr>
    </w:p>
    <w:p w:rsidR="00000000" w:rsidRPr="001B112D" w:rsidP="001B112D">
      <w:pPr>
        <w:pStyle w:val="Heading1"/>
      </w:pPr>
      <w:bookmarkStart w:id="13" w:name="O_1188218"/>
      <w:bookmarkEnd w:id="13"/>
      <w:r w:rsidRPr="001B112D">
        <w:t>Knowledge Evidence</w:t>
      </w:r>
    </w:p>
    <w:tbl>
      <w:tblPr>
        <w:tblW w:w="9497" w:type="dxa"/>
        <w:tblLayout w:type="fixed"/>
        <w:tblCellMar>
          <w:left w:w="62" w:type="dxa"/>
          <w:right w:w="62" w:type="dxa"/>
        </w:tblCellMar>
        <w:tblLook w:val="0000"/>
      </w:tblPr>
      <w:tblGrid>
        <w:gridCol w:w="9497"/>
      </w:tblGrid>
      <w:tr w:rsidTr="001B1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112D">
            <w:pPr>
              <w:pStyle w:val="BodyText"/>
              <w:rPr>
                <w:lang w:val="en-NZ"/>
              </w:rPr>
            </w:pPr>
            <w:r w:rsidRPr="001B112D">
              <w:t xml:space="preserve">Evidence required to demonstrate competence in this unit must be relevant to and satisfy all of the requirements of the elements and performance criteria and include knowledge of: </w:t>
            </w:r>
          </w:p>
        </w:tc>
      </w:tr>
      <w:tr w:rsidTr="001B1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12D" w:rsidP="001B112D">
            <w:pPr>
              <w:pStyle w:val="ListBullet"/>
            </w:pPr>
            <w:r w:rsidRPr="001B112D">
              <w:t>alarm codes and control logics</w:t>
            </w:r>
          </w:p>
          <w:p w:rsidR="00000000" w:rsidRPr="001B112D" w:rsidP="001B112D">
            <w:pPr>
              <w:pStyle w:val="ListBullet"/>
            </w:pPr>
            <w:r w:rsidRPr="001B112D">
              <w:t>communicating in an LNG storage facility</w:t>
            </w:r>
          </w:p>
          <w:p w:rsidR="00000000" w:rsidRPr="001B112D" w:rsidP="001B112D">
            <w:pPr>
              <w:pStyle w:val="ListBullet"/>
            </w:pPr>
            <w:r w:rsidRPr="001B112D">
              <w:t>e</w:t>
            </w:r>
            <w:r w:rsidRPr="001B112D">
              <w:t>mergency response procedures, including shutdown procedures</w:t>
            </w:r>
          </w:p>
          <w:p w:rsidR="00000000" w:rsidRPr="001B112D" w:rsidP="001B112D">
            <w:pPr>
              <w:pStyle w:val="ListBullet"/>
            </w:pPr>
            <w:r w:rsidRPr="001B112D">
              <w:t>gas industry Process and Instrumentation Diagrams, plans and material lists</w:t>
            </w:r>
          </w:p>
          <w:p w:rsidR="00000000" w:rsidRPr="001B112D" w:rsidP="001B112D">
            <w:pPr>
              <w:pStyle w:val="ListBullet"/>
            </w:pPr>
            <w:r w:rsidRPr="001B112D">
              <w:t>gas industry products, processes and characteristics</w:t>
            </w:r>
          </w:p>
          <w:p w:rsidR="00000000" w:rsidRPr="001B112D" w:rsidP="001B112D">
            <w:pPr>
              <w:pStyle w:val="ListBullet"/>
            </w:pPr>
            <w:r w:rsidRPr="001B112D">
              <w:t>plant and equipment in an LNG storage facility, including:</w:t>
            </w:r>
          </w:p>
          <w:p w:rsidR="00000000" w:rsidRPr="001B112D" w:rsidP="001B112D">
            <w:pPr>
              <w:pStyle w:val="ListBullet2"/>
            </w:pPr>
            <w:r w:rsidRPr="001B112D">
              <w:t>alarm a</w:t>
            </w:r>
            <w:r w:rsidRPr="001B112D">
              <w:t>nd communication equipment</w:t>
            </w:r>
          </w:p>
          <w:p w:rsidR="00000000" w:rsidRPr="001B112D" w:rsidP="001B112D">
            <w:pPr>
              <w:pStyle w:val="ListBullet2"/>
            </w:pPr>
            <w:r w:rsidRPr="001B112D">
              <w:t>compressors or pumps</w:t>
            </w:r>
          </w:p>
          <w:p w:rsidR="00000000" w:rsidRPr="001B112D" w:rsidP="001B112D">
            <w:pPr>
              <w:pStyle w:val="ListBullet2"/>
            </w:pPr>
            <w:r w:rsidRPr="001B112D">
              <w:t>fittings</w:t>
            </w:r>
          </w:p>
          <w:p w:rsidR="00000000" w:rsidRPr="001B112D" w:rsidP="001B112D">
            <w:pPr>
              <w:pStyle w:val="ListBullet2"/>
            </w:pPr>
            <w:r w:rsidRPr="001B112D">
              <w:t>gas analysis equipment</w:t>
            </w:r>
          </w:p>
          <w:p w:rsidR="00000000" w:rsidRPr="001B112D" w:rsidP="001B112D">
            <w:pPr>
              <w:pStyle w:val="ListBullet2"/>
            </w:pPr>
            <w:r w:rsidRPr="001B112D">
              <w:t>hand tools</w:t>
            </w:r>
          </w:p>
          <w:p w:rsidR="00000000" w:rsidRPr="001B112D" w:rsidP="001B112D">
            <w:pPr>
              <w:pStyle w:val="ListBullet2"/>
            </w:pPr>
            <w:r w:rsidRPr="001B112D">
              <w:t>heat exchangers</w:t>
            </w:r>
          </w:p>
          <w:p w:rsidR="00000000" w:rsidRPr="001B112D" w:rsidP="001B112D">
            <w:pPr>
              <w:pStyle w:val="ListBullet2"/>
            </w:pPr>
            <w:r w:rsidRPr="001B112D">
              <w:t>leak detection equipment</w:t>
            </w:r>
          </w:p>
          <w:p w:rsidR="00000000" w:rsidRPr="001B112D" w:rsidP="001B112D">
            <w:pPr>
              <w:pStyle w:val="ListBullet2"/>
            </w:pPr>
            <w:r w:rsidRPr="001B112D">
              <w:t>personal protective equipment</w:t>
            </w:r>
          </w:p>
          <w:p w:rsidR="00000000" w:rsidRPr="001B112D" w:rsidP="001B112D">
            <w:pPr>
              <w:pStyle w:val="ListBullet2"/>
            </w:pPr>
            <w:r w:rsidRPr="001B112D">
              <w:t>pipes, fitting and hoses</w:t>
            </w:r>
          </w:p>
          <w:p w:rsidR="00000000" w:rsidRPr="001B112D" w:rsidP="001B112D">
            <w:pPr>
              <w:pStyle w:val="ListBullet2"/>
            </w:pPr>
            <w:r w:rsidRPr="001B112D">
              <w:t>testing equipment</w:t>
            </w:r>
          </w:p>
          <w:p w:rsidR="00000000" w:rsidRPr="001B112D" w:rsidP="001B112D">
            <w:pPr>
              <w:pStyle w:val="ListBullet"/>
            </w:pPr>
            <w:r w:rsidRPr="001B112D">
              <w:t>properties of LNG</w:t>
            </w:r>
          </w:p>
          <w:p w:rsidR="00000000" w:rsidRPr="001B112D" w:rsidP="001B112D">
            <w:pPr>
              <w:pStyle w:val="ListBullet"/>
            </w:pPr>
            <w:r w:rsidRPr="001B112D">
              <w:t>relevant manufacturer specifications</w:t>
            </w:r>
          </w:p>
          <w:p w:rsidR="00000000" w:rsidRPr="001B112D" w:rsidP="001B112D">
            <w:pPr>
              <w:pStyle w:val="ListBullet"/>
            </w:pPr>
            <w:r w:rsidRPr="001B112D">
              <w:t>relevant permit to work systems</w:t>
            </w:r>
          </w:p>
          <w:p w:rsidR="00000000" w:rsidRPr="001B112D" w:rsidP="001B112D">
            <w:pPr>
              <w:pStyle w:val="ListBullet"/>
            </w:pPr>
            <w:r w:rsidRPr="001B112D">
              <w:t>relevant safe work method statements (SWMS)/job safety assessments or risk mitigation processes</w:t>
            </w:r>
          </w:p>
          <w:p w:rsidR="00000000" w:rsidRPr="001B112D" w:rsidP="001B112D">
            <w:pPr>
              <w:pStyle w:val="ListBullet"/>
            </w:pPr>
            <w:r w:rsidRPr="001B112D">
              <w:t>relevant stakeholders</w:t>
            </w:r>
          </w:p>
          <w:p w:rsidR="00000000" w:rsidRPr="001B112D" w:rsidP="001B112D">
            <w:pPr>
              <w:pStyle w:val="ListBullet"/>
            </w:pPr>
            <w:r w:rsidRPr="001B112D">
              <w:t>relevant technical drawings</w:t>
            </w:r>
          </w:p>
          <w:p w:rsidR="00000000" w:rsidRPr="001B112D" w:rsidP="001B112D">
            <w:pPr>
              <w:pStyle w:val="ListBullet"/>
            </w:pPr>
            <w:r w:rsidRPr="001B112D">
              <w:t xml:space="preserve">relevant WHS/OHS legislated requirements, including: </w:t>
            </w:r>
          </w:p>
          <w:p w:rsidR="00000000" w:rsidRPr="001B112D" w:rsidP="001B112D">
            <w:pPr>
              <w:pStyle w:val="ListBullet2"/>
            </w:pPr>
            <w:r w:rsidRPr="001B112D">
              <w:t>applicable emergency equipment and procedures</w:t>
            </w:r>
          </w:p>
          <w:p w:rsidR="00000000" w:rsidRPr="001B112D" w:rsidP="001B112D">
            <w:pPr>
              <w:pStyle w:val="ListBullet2"/>
            </w:pPr>
            <w:r w:rsidRPr="001B112D">
              <w:t>environmental and sustainable energy principles and practices</w:t>
            </w:r>
          </w:p>
          <w:p w:rsidR="00000000" w:rsidRPr="001B112D" w:rsidP="001B112D">
            <w:pPr>
              <w:pStyle w:val="ListBullet2"/>
            </w:pPr>
            <w:r w:rsidRPr="001B112D">
              <w:t>hazards, risk assessment and control measures</w:t>
            </w:r>
          </w:p>
          <w:p w:rsidR="00000000" w:rsidRPr="001B112D" w:rsidP="001B112D">
            <w:pPr>
              <w:pStyle w:val="ListBullet"/>
            </w:pPr>
            <w:r w:rsidRPr="001B112D">
              <w:t>relevant workplace documentation and schedules</w:t>
            </w:r>
          </w:p>
          <w:p w:rsidR="00000000" w:rsidRPr="001B112D" w:rsidP="001B112D">
            <w:pPr>
              <w:pStyle w:val="ListBullet"/>
            </w:pPr>
            <w:r w:rsidRPr="001B112D">
              <w:t>relevant workplace policies and procedures, including re-gasification procedures.</w:t>
            </w:r>
          </w:p>
        </w:tc>
      </w:tr>
    </w:tbl>
    <w:p w:rsidR="00000000" w:rsidRPr="001B112D" w:rsidP="001B112D">
      <w:pPr>
        <w:pStyle w:val="NoPaddingFontSize1"/>
      </w:pPr>
    </w:p>
    <w:p w:rsidR="00000000" w:rsidRPr="001B112D" w:rsidP="001B112D">
      <w:pPr>
        <w:pStyle w:val="AllowPageBreak"/>
      </w:pPr>
    </w:p>
    <w:p w:rsidR="00000000" w:rsidRPr="001B112D" w:rsidP="001B112D">
      <w:pPr>
        <w:pStyle w:val="Heading1"/>
      </w:pPr>
      <w:bookmarkStart w:id="14" w:name="O_1188219"/>
      <w:bookmarkEnd w:id="14"/>
      <w:r w:rsidRPr="001B112D">
        <w:t>Assessment Conditions</w:t>
      </w:r>
    </w:p>
    <w:tbl>
      <w:tblPr>
        <w:tblW w:w="9497" w:type="dxa"/>
        <w:tblLayout w:type="fixed"/>
        <w:tblCellMar>
          <w:left w:w="62" w:type="dxa"/>
          <w:right w:w="62" w:type="dxa"/>
        </w:tblCellMar>
        <w:tblLook w:val="0000"/>
      </w:tblPr>
      <w:tblGrid>
        <w:gridCol w:w="9497"/>
      </w:tblGrid>
      <w:tr w:rsidTr="001B1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12D" w:rsidP="001B112D">
            <w:pPr>
              <w:pStyle w:val="BodyText"/>
            </w:pPr>
            <w:r w:rsidRPr="001B112D">
              <w:t xml:space="preserve">Assessors must hold credentials specified within the Standards for Registered Training Organisations current at the time of assessment. </w:t>
            </w:r>
          </w:p>
          <w:p w:rsidR="00000000" w:rsidRPr="001B112D" w:rsidP="001B112D">
            <w:pPr>
              <w:pStyle w:val="BodyText"/>
            </w:pPr>
            <w:r w:rsidRPr="001B112D">
              <w:t>Assessment must satisfy the Principles of Assessment and Rules of Evidence and all regulatory requirements included wit</w:t>
            </w:r>
            <w:r w:rsidRPr="001B112D">
              <w:t>hin the Standards for Registered Training Organisations current at the time of assessment.</w:t>
            </w:r>
          </w:p>
          <w:p w:rsidR="00000000" w:rsidRPr="001B112D" w:rsidP="001B112D">
            <w:pPr>
              <w:pStyle w:val="BodyText"/>
            </w:pPr>
            <w:r w:rsidRPr="001B112D">
              <w:t>Assessment must occur in suitable workplace operational situations where it is appropriate to do so; where this is not appropriate, assessment must occur in suitable</w:t>
            </w:r>
            <w:r w:rsidRPr="001B112D">
              <w:t xml:space="preserve"> simulated workplace operational situations that replicate workplace conditions.</w:t>
            </w:r>
          </w:p>
          <w:p w:rsidR="00000000" w:rsidRPr="001B112D" w:rsidP="001B112D">
            <w:pPr>
              <w:pStyle w:val="BodyText"/>
            </w:pPr>
            <w:r w:rsidRPr="001B112D">
              <w:t>Assessment processes and techniques must be appropriate to the language, literacy and numeracy requirements of the work being performed and the needs of the candidate.</w:t>
            </w:r>
          </w:p>
          <w:p w:rsidR="00000000" w:rsidRPr="001B112D" w:rsidP="001B112D">
            <w:pPr>
              <w:pStyle w:val="BodyText"/>
            </w:pPr>
            <w:r w:rsidRPr="001B112D">
              <w:t>Resourc</w:t>
            </w:r>
            <w:r w:rsidRPr="001B112D">
              <w:t>es for assessment must include access to:</w:t>
            </w:r>
          </w:p>
          <w:p w:rsidR="00000000" w:rsidRPr="001B112D" w:rsidP="001B112D">
            <w:pPr>
              <w:pStyle w:val="ListBullet"/>
            </w:pPr>
            <w:r w:rsidRPr="001B112D">
              <w:t>a range of relevant exercises, case studies and/or simulations</w:t>
            </w:r>
          </w:p>
          <w:p w:rsidR="00000000" w:rsidRPr="001B112D" w:rsidP="001B112D">
            <w:pPr>
              <w:pStyle w:val="ListBullet"/>
            </w:pPr>
            <w:r w:rsidRPr="001B112D">
              <w:t>relevant and appropriate materials, tools, equipment and personal protective equipment (PPE) currently used in industry</w:t>
            </w:r>
          </w:p>
          <w:p w:rsidR="00000000" w:rsidRPr="001B112D" w:rsidP="001B112D">
            <w:pPr>
              <w:pStyle w:val="ListBullet"/>
            </w:pPr>
            <w:r w:rsidRPr="001B112D">
              <w:t>applicable documentation, incl</w:t>
            </w:r>
            <w:r w:rsidRPr="001B112D">
              <w:t>uding workplace procedures, equipment specifications, regulations, codes of practice and operation manuals.</w:t>
            </w:r>
          </w:p>
        </w:tc>
      </w:tr>
    </w:tbl>
    <w:p w:rsidR="00000000" w:rsidRPr="001B112D" w:rsidP="001B112D">
      <w:pPr>
        <w:pStyle w:val="NoPaddingFontSize1"/>
      </w:pPr>
    </w:p>
    <w:p w:rsidR="00000000" w:rsidRPr="001B112D" w:rsidP="001B112D">
      <w:pPr>
        <w:pStyle w:val="AllowPageBreak"/>
      </w:pPr>
    </w:p>
    <w:p w:rsidR="00000000" w:rsidRPr="001B112D" w:rsidP="001B112D">
      <w:pPr>
        <w:pStyle w:val="Heading1"/>
      </w:pPr>
      <w:bookmarkStart w:id="15" w:name="O_1188222"/>
      <w:bookmarkEnd w:id="15"/>
      <w:r w:rsidRPr="001B112D">
        <w:t>Links</w:t>
      </w:r>
    </w:p>
    <w:p w:rsidR="00000000" w:rsidRPr="001B112D" w:rsidP="00613281">
      <w:pPr>
        <w:pStyle w:val="BodyText"/>
      </w:pPr>
      <w:r w:rsidRPr="001B112D">
        <w:t>Companion Volume Implementation Guides are foun</w:t>
      </w:r>
      <w:r w:rsidRPr="001B112D">
        <w:t xml:space="preserve">d in VETNet - </w:t>
      </w:r>
      <w:r>
        <w:fldChar w:fldCharType="begin"/>
      </w:r>
      <w:r>
        <w:instrText xml:space="preserve"> HYPERLINK "https://vetnet.gov.au/Pages/TrainingDocs.aspx?q=6a6c032e-ffcb-4f3d-8063-415efbd261e8" </w:instrText>
      </w:r>
      <w:r>
        <w:fldChar w:fldCharType="separate"/>
      </w:r>
      <w:r w:rsidRPr="00612F4B">
        <w:rPr>
          <w:rStyle w:val="Hyperlink"/>
        </w:rPr>
        <w:t>https://vetnet.gov.au/Pages/TrainingDocs.aspx?q=6a6c032e-ffcb-4f3d-8063-415efbd261e8</w:t>
      </w:r>
      <w:r>
        <w:fldChar w:fldCharType="end"/>
      </w:r>
    </w:p>
    <w:p w:rsidR="00000000" w:rsidRPr="001B112D" w:rsidP="001B112D"/>
    <w:sectPr w:rsidSect="001B11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2D" w:rsidRPr="00613281" w:rsidP="006132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281" w:rsidP="001B1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3281" w:rsidP="001B11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13281" w:rsidP="001B11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2D" w:rsidP="001B112D">
    <w:pPr>
      <w:pStyle w:val="Footer"/>
      <w:framePr w:wrap="around"/>
    </w:pPr>
    <w:r>
      <w:fldChar w:fldCharType="begin"/>
    </w:r>
    <w:r>
      <w:instrText xml:space="preserve"> DOCPROPERTY  Subject  \* MERGEFORMAT </w:instrText>
    </w:r>
    <w:r>
      <w:fldChar w:fldCharType="separate"/>
    </w:r>
    <w:r w:rsidR="00613281">
      <w:t>Approved</w:t>
    </w:r>
    <w:r w:rsidR="00613281">
      <w:fldChar w:fldCharType="end"/>
    </w:r>
    <w:r>
      <w:tab/>
      <w:t xml:space="preserve">Page </w:t>
    </w:r>
    <w:r>
      <w:fldChar w:fldCharType="begin"/>
    </w:r>
    <w:r>
      <w:instrText xml:space="preserve"> PAGE  \* Arabic  \* MERGEFORMAT </w:instrText>
    </w:r>
    <w:r>
      <w:fldChar w:fldCharType="separate"/>
    </w:r>
    <w:r w:rsidR="006132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3281">
      <w:rPr>
        <w:noProof/>
      </w:rPr>
      <w:t>5</w:t>
    </w:r>
    <w:r>
      <w:rPr>
        <w:noProof/>
      </w:rPr>
      <w:fldChar w:fldCharType="end"/>
    </w:r>
  </w:p>
  <w:p w:rsidR="001B112D" w:rsidP="001B112D">
    <w:pPr>
      <w:pStyle w:val="Footer"/>
      <w:framePr w:wrap="around"/>
    </w:pPr>
    <w:r>
      <w:t xml:space="preserve">© Commonwealth of Australia, </w:t>
    </w:r>
    <w:r>
      <w:fldChar w:fldCharType="begin"/>
    </w:r>
    <w:r>
      <w:instrText xml:space="preserve"> DATE  \@ "yyyy"  \* MERGEFORMAT </w:instrText>
    </w:r>
    <w:r>
      <w:fldChar w:fldCharType="separate"/>
    </w:r>
    <w:r w:rsidR="00613281">
      <w:rPr>
        <w:noProof/>
      </w:rPr>
      <w:t>2025</w:t>
    </w:r>
    <w:r>
      <w:fldChar w:fldCharType="end"/>
    </w:r>
    <w:r>
      <w:tab/>
    </w:r>
    <w:r>
      <w:fldChar w:fldCharType="begin"/>
    </w:r>
    <w:r>
      <w:instrText xml:space="preserve"> DOCPROPERTY  Author  \* MERGEFORMAT </w:instrText>
    </w:r>
    <w:r>
      <w:fldChar w:fldCharType="separate"/>
    </w:r>
    <w:r w:rsidR="00613281">
      <w:t>Powering Skills Organisation</w:t>
    </w:r>
    <w:r w:rsidR="00613281">
      <w:fldChar w:fldCharType="end"/>
    </w:r>
  </w:p>
  <w:p w:rsidR="001B112D" w:rsidP="001B11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2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112D" w:rsidRPr="00613281" w:rsidP="006132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281" w:rsidRPr="002D2AF8" w:rsidP="001B112D">
    <w:pPr>
      <w:pStyle w:val="Header"/>
      <w:framePr w:wrap="around"/>
    </w:pPr>
    <w:r>
      <w:fldChar w:fldCharType="begin"/>
    </w:r>
    <w:r>
      <w:instrText xml:space="preserve"> TITLE   \* MERGEFORMAT </w:instrText>
    </w:r>
    <w:r>
      <w:fldChar w:fldCharType="separate"/>
    </w:r>
    <w:r>
      <w:t>UEGNSG306 Control gas processing, storage or regasification operations in an LNG storage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3281" w:rsidP="001B11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2D" w:rsidRPr="002D2AF8" w:rsidP="001B112D">
    <w:pPr>
      <w:pStyle w:val="Header"/>
      <w:framePr w:wrap="around"/>
    </w:pPr>
    <w:r>
      <w:fldChar w:fldCharType="begin"/>
    </w:r>
    <w:r>
      <w:instrText xml:space="preserve"> TITLE   \* MERGEFORMAT </w:instrText>
    </w:r>
    <w:r>
      <w:fldChar w:fldCharType="separate"/>
    </w:r>
    <w:r w:rsidR="00613281">
      <w:t>UEGNSG306 Control gas processing, storage or regasification operations in an LNG storage facility</w:t>
    </w:r>
    <w:r w:rsidR="00613281">
      <w:fldChar w:fldCharType="end"/>
    </w:r>
    <w:r>
      <w:tab/>
      <w:t xml:space="preserve">Date this document was generated: </w:t>
    </w:r>
    <w:r>
      <w:fldChar w:fldCharType="begin"/>
    </w:r>
    <w:r>
      <w:instrText xml:space="preserve"> CREATEDATE  \@ "d MMMM yyyy"  \* MERGEFORMAT </w:instrText>
    </w:r>
    <w:r>
      <w:fldChar w:fldCharType="separate"/>
    </w:r>
    <w:r w:rsidR="00613281">
      <w:rPr>
        <w:noProof/>
      </w:rPr>
      <w:t>2 March 2025</w:t>
    </w:r>
    <w:r>
      <w:fldChar w:fldCharType="end"/>
    </w:r>
  </w:p>
  <w:p w:rsidR="001B112D" w:rsidP="001B11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9E3F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4A3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90C6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1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12D"/>
    <w:pPr>
      <w:spacing w:before="360" w:after="60"/>
      <w:outlineLvl w:val="0"/>
    </w:pPr>
    <w:rPr>
      <w:sz w:val="32"/>
    </w:rPr>
  </w:style>
  <w:style w:type="paragraph" w:styleId="Heading2">
    <w:name w:val="heading 2"/>
    <w:basedOn w:val="HeadingBase"/>
    <w:next w:val="BodyText"/>
    <w:link w:val="Heading2Char"/>
    <w:qFormat/>
    <w:rsid w:val="001B112D"/>
    <w:pPr>
      <w:keepLines/>
      <w:spacing w:before="240" w:after="120"/>
      <w:outlineLvl w:val="1"/>
    </w:pPr>
    <w:rPr>
      <w:sz w:val="28"/>
      <w:szCs w:val="40"/>
    </w:rPr>
  </w:style>
  <w:style w:type="paragraph" w:styleId="Heading3">
    <w:name w:val="heading 3"/>
    <w:basedOn w:val="HeadingBase"/>
    <w:next w:val="BodyText"/>
    <w:link w:val="Heading3Char"/>
    <w:qFormat/>
    <w:rsid w:val="001B112D"/>
    <w:pPr>
      <w:spacing w:before="180" w:after="120"/>
      <w:outlineLvl w:val="2"/>
    </w:pPr>
    <w:rPr>
      <w:spacing w:val="-10"/>
      <w:kern w:val="32"/>
    </w:rPr>
  </w:style>
  <w:style w:type="paragraph" w:styleId="Heading4">
    <w:name w:val="heading 4"/>
    <w:basedOn w:val="HeadingBase"/>
    <w:next w:val="BodyText"/>
    <w:link w:val="Heading4Char"/>
    <w:qFormat/>
    <w:rsid w:val="001B112D"/>
    <w:pPr>
      <w:spacing w:before="160" w:after="120"/>
      <w:outlineLvl w:val="3"/>
    </w:pPr>
    <w:rPr>
      <w:sz w:val="22"/>
    </w:rPr>
  </w:style>
  <w:style w:type="paragraph" w:styleId="Heading5">
    <w:name w:val="heading 5"/>
    <w:basedOn w:val="HeadingBase"/>
    <w:next w:val="Normal"/>
    <w:link w:val="Heading5Char"/>
    <w:qFormat/>
    <w:rsid w:val="001B112D"/>
    <w:pPr>
      <w:spacing w:before="80"/>
      <w:outlineLvl w:val="4"/>
    </w:pPr>
    <w:rPr>
      <w:color w:val="918585"/>
      <w:sz w:val="20"/>
    </w:rPr>
  </w:style>
  <w:style w:type="paragraph" w:styleId="Heading6">
    <w:name w:val="heading 6"/>
    <w:basedOn w:val="HeadingBase"/>
    <w:next w:val="Normal"/>
    <w:link w:val="Heading6Char"/>
    <w:qFormat/>
    <w:rsid w:val="001B112D"/>
    <w:pPr>
      <w:spacing w:before="60"/>
      <w:outlineLvl w:val="5"/>
    </w:pPr>
    <w:rPr>
      <w:color w:val="918585"/>
      <w:sz w:val="20"/>
    </w:rPr>
  </w:style>
  <w:style w:type="paragraph" w:styleId="Heading7">
    <w:name w:val="heading 7"/>
    <w:basedOn w:val="Normal"/>
    <w:next w:val="Normal"/>
    <w:link w:val="Heading7Char"/>
    <w:qFormat/>
    <w:rsid w:val="001B112D"/>
    <w:pPr>
      <w:ind w:left="720"/>
      <w:outlineLvl w:val="6"/>
    </w:pPr>
    <w:rPr>
      <w:i/>
    </w:rPr>
  </w:style>
  <w:style w:type="paragraph" w:styleId="Heading8">
    <w:name w:val="heading 8"/>
    <w:basedOn w:val="Normal"/>
    <w:next w:val="Normal"/>
    <w:link w:val="Heading8Char"/>
    <w:qFormat/>
    <w:rsid w:val="001B112D"/>
    <w:pPr>
      <w:ind w:left="720"/>
      <w:outlineLvl w:val="7"/>
    </w:pPr>
    <w:rPr>
      <w:i/>
    </w:rPr>
  </w:style>
  <w:style w:type="paragraph" w:styleId="Heading9">
    <w:name w:val="heading 9"/>
    <w:basedOn w:val="Normal"/>
    <w:next w:val="Normal"/>
    <w:link w:val="Heading9Char"/>
    <w:qFormat/>
    <w:rsid w:val="001B112D"/>
    <w:pPr>
      <w:ind w:left="720"/>
      <w:outlineLvl w:val="8"/>
    </w:pPr>
    <w:rPr>
      <w:i/>
    </w:rPr>
  </w:style>
  <w:style w:type="character" w:default="1" w:styleId="DefaultParagraphFont">
    <w:name w:val="Default Paragraph Font"/>
    <w:uiPriority w:val="1"/>
    <w:unhideWhenUsed/>
    <w:rsid w:val="001B1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12D"/>
  </w:style>
  <w:style w:type="character" w:customStyle="1" w:styleId="Heading1Char">
    <w:name w:val="Heading 1 Char"/>
    <w:basedOn w:val="DefaultParagraphFont"/>
    <w:link w:val="Heading1"/>
    <w:rsid w:val="001B112D"/>
    <w:rPr>
      <w:rFonts w:ascii="Times New Roman" w:eastAsia="Times New Roman" w:hAnsi="Times New Roman" w:cs="Times New Roman"/>
      <w:b/>
      <w:sz w:val="32"/>
      <w:szCs w:val="20"/>
      <w:lang w:eastAsia="en-US"/>
    </w:rPr>
  </w:style>
  <w:style w:type="paragraph" w:styleId="BodyText">
    <w:name w:val="Body Text"/>
    <w:basedOn w:val="Normal"/>
    <w:link w:val="BodyTextChar"/>
    <w:rsid w:val="001B11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112D"/>
    <w:rPr>
      <w:rFonts w:ascii="Times New Roman" w:eastAsia="Times New Roman" w:hAnsi="Times New Roman" w:cs="Times New Roman"/>
      <w:sz w:val="24"/>
      <w:lang w:eastAsia="en-US"/>
    </w:rPr>
  </w:style>
  <w:style w:type="paragraph" w:styleId="ListBullet">
    <w:name w:val="List Bullet"/>
    <w:basedOn w:val="List"/>
    <w:rsid w:val="001B112D"/>
    <w:pPr>
      <w:numPr>
        <w:numId w:val="12"/>
      </w:numPr>
      <w:tabs>
        <w:tab w:val="clear" w:pos="340"/>
      </w:tabs>
      <w:spacing w:before="40" w:after="40"/>
    </w:pPr>
  </w:style>
  <w:style w:type="character" w:customStyle="1" w:styleId="SpecialBold">
    <w:name w:val="Special Bold"/>
    <w:basedOn w:val="DefaultParagraphFont"/>
    <w:rsid w:val="001B112D"/>
    <w:rPr>
      <w:b/>
      <w:spacing w:val="0"/>
    </w:rPr>
  </w:style>
  <w:style w:type="paragraph" w:styleId="ListBullet2">
    <w:name w:val="List Bullet 2"/>
    <w:basedOn w:val="List2"/>
    <w:rsid w:val="001B112D"/>
    <w:pPr>
      <w:numPr>
        <w:numId w:val="13"/>
      </w:numPr>
      <w:tabs>
        <w:tab w:val="clear" w:pos="680"/>
      </w:tabs>
    </w:pPr>
  </w:style>
  <w:style w:type="paragraph" w:customStyle="1" w:styleId="SuperHeading">
    <w:name w:val="SuperHeading"/>
    <w:basedOn w:val="Normal"/>
    <w:rsid w:val="001B112D"/>
    <w:pPr>
      <w:spacing w:before="240" w:after="120"/>
      <w:outlineLvl w:val="0"/>
    </w:pPr>
    <w:rPr>
      <w:rFonts w:ascii="Times New Roman" w:hAnsi="Times New Roman"/>
      <w:b/>
      <w:sz w:val="32"/>
    </w:rPr>
  </w:style>
  <w:style w:type="paragraph" w:customStyle="1" w:styleId="AllowPageBreak">
    <w:name w:val="AllowPageBreak"/>
    <w:rsid w:val="001B11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1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1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1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12D"/>
    <w:rPr>
      <w:rFonts w:ascii="Courier New" w:eastAsia="Times New Roman" w:hAnsi="Courier New" w:cs="Times New Roman"/>
      <w:i/>
      <w:szCs w:val="20"/>
      <w:lang w:eastAsia="en-US"/>
    </w:rPr>
  </w:style>
  <w:style w:type="paragraph" w:customStyle="1" w:styleId="HeadingBase">
    <w:name w:val="Heading Base"/>
    <w:rsid w:val="001B1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12D"/>
    <w:pPr>
      <w:tabs>
        <w:tab w:val="right" w:leader="dot" w:pos="9072"/>
      </w:tabs>
      <w:ind w:left="567"/>
    </w:pPr>
    <w:rPr>
      <w:szCs w:val="22"/>
    </w:rPr>
  </w:style>
  <w:style w:type="paragraph" w:customStyle="1" w:styleId="TOCBase">
    <w:name w:val="TOC Base"/>
    <w:rsid w:val="001B1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12D"/>
    <w:pPr>
      <w:tabs>
        <w:tab w:val="right" w:leader="dot" w:pos="9072"/>
      </w:tabs>
      <w:spacing w:before="40" w:after="40"/>
      <w:ind w:left="284"/>
    </w:pPr>
    <w:rPr>
      <w:rFonts w:ascii="Times New Roman" w:hAnsi="Times New Roman"/>
    </w:rPr>
  </w:style>
  <w:style w:type="paragraph" w:styleId="TOC1">
    <w:name w:val="toc 1"/>
    <w:basedOn w:val="TOCBase"/>
    <w:next w:val="Normal"/>
    <w:rsid w:val="001B11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1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12D"/>
    <w:rPr>
      <w:rFonts w:ascii="Times New Roman" w:eastAsia="Times New Roman" w:hAnsi="Times New Roman" w:cs="Times New Roman"/>
      <w:sz w:val="16"/>
      <w:lang w:eastAsia="en-US"/>
    </w:rPr>
  </w:style>
  <w:style w:type="paragraph" w:styleId="Title">
    <w:name w:val="Title"/>
    <w:basedOn w:val="HeadingBase"/>
    <w:link w:val="TitleChar"/>
    <w:qFormat/>
    <w:rsid w:val="001B112D"/>
    <w:pPr>
      <w:spacing w:before="5040"/>
      <w:jc w:val="center"/>
    </w:pPr>
    <w:rPr>
      <w:sz w:val="48"/>
      <w:szCs w:val="72"/>
      <w:lang w:val="en-US"/>
    </w:rPr>
  </w:style>
  <w:style w:type="character" w:customStyle="1" w:styleId="TitleChar">
    <w:name w:val="Title Char"/>
    <w:basedOn w:val="DefaultParagraphFont"/>
    <w:link w:val="Title"/>
    <w:rsid w:val="001B1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12D"/>
    <w:pPr>
      <w:tabs>
        <w:tab w:val="left" w:pos="3600"/>
        <w:tab w:val="left" w:pos="3958"/>
      </w:tabs>
    </w:pPr>
  </w:style>
  <w:style w:type="paragraph" w:styleId="List">
    <w:name w:val="List"/>
    <w:basedOn w:val="BodyText"/>
    <w:next w:val="BodyText"/>
    <w:rsid w:val="001B112D"/>
    <w:pPr>
      <w:tabs>
        <w:tab w:val="left" w:pos="340"/>
      </w:tabs>
      <w:spacing w:before="60" w:after="60"/>
      <w:ind w:left="340" w:hanging="340"/>
    </w:pPr>
  </w:style>
  <w:style w:type="paragraph" w:customStyle="1" w:styleId="Note">
    <w:name w:val="Note"/>
    <w:basedOn w:val="BodyText"/>
    <w:rsid w:val="001B11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112D"/>
    <w:pPr>
      <w:framePr w:wrap="auto" w:hAnchor="text" w:y="6049"/>
    </w:pPr>
    <w:rPr>
      <w:color w:val="000000"/>
      <w:sz w:val="40"/>
    </w:rPr>
  </w:style>
  <w:style w:type="paragraph" w:customStyle="1" w:styleId="TOCTitle">
    <w:name w:val="TOCTitle"/>
    <w:basedOn w:val="Heading1"/>
    <w:rsid w:val="001B112D"/>
    <w:pPr>
      <w:spacing w:after="240"/>
      <w:jc w:val="center"/>
      <w:outlineLvl w:val="9"/>
    </w:pPr>
    <w:rPr>
      <w:caps/>
    </w:rPr>
  </w:style>
  <w:style w:type="paragraph" w:customStyle="1" w:styleId="Version">
    <w:name w:val="Version"/>
    <w:rsid w:val="001B11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112D"/>
    <w:pPr>
      <w:keepNext w:val="0"/>
      <w:tabs>
        <w:tab w:val="right" w:pos="4176"/>
      </w:tabs>
      <w:ind w:left="198" w:hanging="198"/>
    </w:pPr>
    <w:rPr>
      <w:rFonts w:ascii="Garamond" w:hAnsi="Garamond"/>
    </w:rPr>
  </w:style>
  <w:style w:type="paragraph" w:styleId="IndexHeading">
    <w:name w:val="index heading"/>
    <w:basedOn w:val="Normal"/>
    <w:next w:val="Index1"/>
    <w:semiHidden/>
    <w:rsid w:val="001B112D"/>
    <w:pPr>
      <w:spacing w:before="120" w:after="120"/>
    </w:pPr>
    <w:rPr>
      <w:rFonts w:ascii="Arial" w:hAnsi="Arial"/>
      <w:b/>
      <w:color w:val="918585"/>
      <w:sz w:val="24"/>
    </w:rPr>
  </w:style>
  <w:style w:type="paragraph" w:styleId="Header">
    <w:name w:val="header"/>
    <w:basedOn w:val="Normal"/>
    <w:link w:val="HeaderChar"/>
    <w:rsid w:val="001B1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12D"/>
    <w:rPr>
      <w:rFonts w:ascii="Times New Roman" w:eastAsia="Times New Roman" w:hAnsi="Times New Roman" w:cs="Times New Roman"/>
      <w:sz w:val="16"/>
      <w:szCs w:val="20"/>
      <w:lang w:val="en-GB" w:eastAsia="en-US"/>
    </w:rPr>
  </w:style>
  <w:style w:type="paragraph" w:customStyle="1" w:styleId="Chapter">
    <w:name w:val="Chapter"/>
    <w:basedOn w:val="Normal"/>
    <w:rsid w:val="001B112D"/>
    <w:pPr>
      <w:spacing w:before="240"/>
    </w:pPr>
    <w:rPr>
      <w:rFonts w:ascii="Times New Roman" w:hAnsi="Times New Roman"/>
      <w:smallCaps/>
      <w:spacing w:val="80"/>
      <w:sz w:val="28"/>
    </w:rPr>
  </w:style>
  <w:style w:type="paragraph" w:customStyle="1" w:styleId="InChapter">
    <w:name w:val="InChapter"/>
    <w:basedOn w:val="Heading3"/>
    <w:rsid w:val="001B112D"/>
    <w:pPr>
      <w:spacing w:after="240"/>
      <w:outlineLvl w:val="9"/>
    </w:pPr>
    <w:rPr>
      <w:noProof/>
    </w:rPr>
  </w:style>
  <w:style w:type="paragraph" w:styleId="Index2">
    <w:name w:val="index 2"/>
    <w:basedOn w:val="Normal"/>
    <w:next w:val="Normal"/>
    <w:semiHidden/>
    <w:rsid w:val="001B112D"/>
    <w:pPr>
      <w:tabs>
        <w:tab w:val="right" w:pos="4176"/>
      </w:tabs>
      <w:ind w:left="568" w:hanging="284"/>
    </w:pPr>
    <w:rPr>
      <w:rFonts w:ascii="Garamond" w:hAnsi="Garamond"/>
    </w:rPr>
  </w:style>
  <w:style w:type="paragraph" w:customStyle="1" w:styleId="Byline">
    <w:name w:val="Byline"/>
    <w:rsid w:val="001B1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12D"/>
    <w:pPr>
      <w:tabs>
        <w:tab w:val="clear" w:pos="3600"/>
        <w:tab w:val="clear" w:pos="3958"/>
      </w:tabs>
      <w:jc w:val="right"/>
    </w:pPr>
  </w:style>
  <w:style w:type="character" w:styleId="Emphasis">
    <w:name w:val="Emphasis"/>
    <w:basedOn w:val="DefaultParagraphFont"/>
    <w:qFormat/>
    <w:rsid w:val="001B112D"/>
    <w:rPr>
      <w:i/>
    </w:rPr>
  </w:style>
  <w:style w:type="paragraph" w:styleId="Caption">
    <w:name w:val="caption"/>
    <w:basedOn w:val="BodyText"/>
    <w:next w:val="Normal"/>
    <w:qFormat/>
    <w:rsid w:val="001B112D"/>
    <w:pPr>
      <w:framePr w:w="2268" w:hSpace="181" w:vSpace="181" w:wrap="around" w:vAnchor="text" w:hAnchor="page" w:x="1135" w:y="285" w:anchorLock="1"/>
    </w:pPr>
    <w:rPr>
      <w:i/>
    </w:rPr>
  </w:style>
  <w:style w:type="paragraph" w:customStyle="1" w:styleId="MiniTOCTitle">
    <w:name w:val="MiniTOCTitle"/>
    <w:basedOn w:val="Heading4"/>
    <w:rsid w:val="001B112D"/>
    <w:pPr>
      <w:spacing w:before="240"/>
      <w:outlineLvl w:val="9"/>
    </w:pPr>
    <w:rPr>
      <w:noProof/>
      <w:sz w:val="24"/>
    </w:rPr>
  </w:style>
  <w:style w:type="paragraph" w:customStyle="1" w:styleId="MiniTOCItem">
    <w:name w:val="MiniTOCItem"/>
    <w:basedOn w:val="ListBullet"/>
    <w:rsid w:val="001B112D"/>
    <w:pPr>
      <w:numPr>
        <w:numId w:val="0"/>
      </w:numPr>
      <w:tabs>
        <w:tab w:val="right" w:leader="dot" w:pos="6521"/>
      </w:tabs>
      <w:spacing w:before="0" w:after="0"/>
    </w:pPr>
  </w:style>
  <w:style w:type="paragraph" w:customStyle="1" w:styleId="TOFTitle">
    <w:name w:val="TOFTitle"/>
    <w:basedOn w:val="TOCTitle"/>
    <w:rsid w:val="001B112D"/>
  </w:style>
  <w:style w:type="paragraph" w:styleId="TableofFigures">
    <w:name w:val="table of figures"/>
    <w:basedOn w:val="Normal"/>
    <w:next w:val="Normal"/>
    <w:semiHidden/>
    <w:rsid w:val="001B112D"/>
    <w:pPr>
      <w:tabs>
        <w:tab w:val="right" w:leader="dot" w:pos="9072"/>
      </w:tabs>
      <w:ind w:left="970" w:hanging="403"/>
    </w:pPr>
    <w:rPr>
      <w:rFonts w:ascii="Times New Roman" w:hAnsi="Times New Roman"/>
      <w:b/>
    </w:rPr>
  </w:style>
  <w:style w:type="paragraph" w:styleId="ListNumber">
    <w:name w:val="List Number"/>
    <w:basedOn w:val="List"/>
    <w:rsid w:val="001B112D"/>
    <w:pPr>
      <w:numPr>
        <w:numId w:val="15"/>
      </w:numPr>
      <w:tabs>
        <w:tab w:val="clear" w:pos="340"/>
      </w:tabs>
    </w:pPr>
  </w:style>
  <w:style w:type="character" w:customStyle="1" w:styleId="WingdingSymbols">
    <w:name w:val="Wingding Symbols"/>
    <w:rsid w:val="001B112D"/>
    <w:rPr>
      <w:rFonts w:ascii="Wingdings" w:hAnsi="Wingdings"/>
    </w:rPr>
  </w:style>
  <w:style w:type="paragraph" w:customStyle="1" w:styleId="TableHeading">
    <w:name w:val="Table Heading"/>
    <w:basedOn w:val="HeadingBase"/>
    <w:rsid w:val="001B112D"/>
    <w:pPr>
      <w:keepLines/>
      <w:pBdr>
        <w:bottom w:val="single" w:sz="6" w:space="1" w:color="918585"/>
      </w:pBdr>
      <w:spacing w:before="240"/>
    </w:pPr>
  </w:style>
  <w:style w:type="character" w:customStyle="1" w:styleId="HotSpot">
    <w:name w:val="HotSpot"/>
    <w:rsid w:val="001B112D"/>
    <w:rPr>
      <w:color w:val="0033CC"/>
      <w:u w:val="none"/>
    </w:rPr>
  </w:style>
  <w:style w:type="paragraph" w:customStyle="1" w:styleId="BodyTextRight">
    <w:name w:val="Body Text Right"/>
    <w:basedOn w:val="BodyText"/>
    <w:rsid w:val="001B112D"/>
    <w:pPr>
      <w:spacing w:before="0" w:after="0"/>
      <w:jc w:val="right"/>
    </w:pPr>
  </w:style>
  <w:style w:type="paragraph" w:styleId="Index3">
    <w:name w:val="index 3"/>
    <w:basedOn w:val="ListNumber2"/>
    <w:next w:val="Normal"/>
    <w:semiHidden/>
    <w:rsid w:val="001B112D"/>
    <w:pPr>
      <w:numPr>
        <w:numId w:val="0"/>
      </w:numPr>
      <w:tabs>
        <w:tab w:val="right" w:leader="dot" w:pos="4176"/>
      </w:tabs>
    </w:pPr>
  </w:style>
  <w:style w:type="paragraph" w:styleId="ListNumber2">
    <w:name w:val="List Number 2"/>
    <w:basedOn w:val="List2"/>
    <w:rsid w:val="001B112D"/>
    <w:pPr>
      <w:numPr>
        <w:numId w:val="10"/>
      </w:numPr>
      <w:tabs>
        <w:tab w:val="clear" w:pos="1060"/>
      </w:tabs>
    </w:pPr>
  </w:style>
  <w:style w:type="paragraph" w:customStyle="1" w:styleId="MarginNote">
    <w:name w:val="Margin Note"/>
    <w:basedOn w:val="BodyText"/>
    <w:rsid w:val="001B1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1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12D"/>
    <w:rPr>
      <w:sz w:val="32"/>
    </w:rPr>
  </w:style>
  <w:style w:type="paragraph" w:customStyle="1" w:styleId="HeadingProcedure">
    <w:name w:val="Heading Procedure"/>
    <w:basedOn w:val="HeadingBase"/>
    <w:next w:val="Normal"/>
    <w:rsid w:val="001B112D"/>
    <w:pPr>
      <w:tabs>
        <w:tab w:val="left" w:pos="0"/>
      </w:tabs>
      <w:spacing w:before="120" w:after="60"/>
    </w:pPr>
    <w:rPr>
      <w:i/>
      <w:color w:val="918585"/>
      <w:sz w:val="22"/>
    </w:rPr>
  </w:style>
  <w:style w:type="paragraph" w:customStyle="1" w:styleId="TableBodyText">
    <w:name w:val="Table Body Text"/>
    <w:basedOn w:val="BodyText"/>
    <w:rsid w:val="001B112D"/>
    <w:pPr>
      <w:spacing w:before="60" w:after="60"/>
    </w:pPr>
  </w:style>
  <w:style w:type="paragraph" w:styleId="ListContinue">
    <w:name w:val="List Continue"/>
    <w:basedOn w:val="List"/>
    <w:rsid w:val="001B112D"/>
    <w:pPr>
      <w:ind w:firstLine="0"/>
    </w:pPr>
  </w:style>
  <w:style w:type="paragraph" w:customStyle="1" w:styleId="ListNote">
    <w:name w:val="List Note"/>
    <w:basedOn w:val="List"/>
    <w:rsid w:val="001B112D"/>
    <w:pPr>
      <w:pBdr>
        <w:top w:val="single" w:sz="6" w:space="2" w:color="918585"/>
        <w:bottom w:val="single" w:sz="6" w:space="2" w:color="918585"/>
      </w:pBdr>
      <w:tabs>
        <w:tab w:val="left" w:pos="1021"/>
      </w:tabs>
      <w:ind w:firstLine="0"/>
    </w:pPr>
  </w:style>
  <w:style w:type="paragraph" w:customStyle="1" w:styleId="Warning">
    <w:name w:val="Warning"/>
    <w:basedOn w:val="BodyText"/>
    <w:rsid w:val="001B112D"/>
    <w:pPr>
      <w:shd w:val="clear" w:color="auto" w:fill="D9D9D9"/>
      <w:tabs>
        <w:tab w:val="left" w:pos="992"/>
      </w:tabs>
      <w:ind w:left="119" w:right="119"/>
    </w:pPr>
    <w:rPr>
      <w:sz w:val="20"/>
    </w:rPr>
  </w:style>
  <w:style w:type="paragraph" w:customStyle="1" w:styleId="MarginIcons">
    <w:name w:val="Margin Icons"/>
    <w:basedOn w:val="BodyText"/>
    <w:rsid w:val="001B1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12D"/>
    <w:rPr>
      <w:rFonts w:ascii="Courier New" w:hAnsi="Courier New"/>
    </w:rPr>
  </w:style>
  <w:style w:type="paragraph" w:customStyle="1" w:styleId="NoteBullet">
    <w:name w:val="Note Bullet"/>
    <w:basedOn w:val="Note"/>
    <w:rsid w:val="001B112D"/>
    <w:pPr>
      <w:tabs>
        <w:tab w:val="clear" w:pos="680"/>
      </w:tabs>
      <w:spacing w:before="60" w:after="60"/>
    </w:pPr>
  </w:style>
  <w:style w:type="paragraph" w:customStyle="1" w:styleId="SubHeading2">
    <w:name w:val="SubHeading2"/>
    <w:basedOn w:val="HeadingBase"/>
    <w:rsid w:val="001B112D"/>
    <w:pPr>
      <w:spacing w:before="240" w:after="60"/>
    </w:pPr>
    <w:rPr>
      <w:sz w:val="20"/>
    </w:rPr>
  </w:style>
  <w:style w:type="paragraph" w:customStyle="1" w:styleId="SubHeading1">
    <w:name w:val="SubHeading1"/>
    <w:basedOn w:val="HeadingBase"/>
    <w:rsid w:val="001B112D"/>
    <w:pPr>
      <w:spacing w:before="240" w:after="60"/>
    </w:pPr>
    <w:rPr>
      <w:color w:val="918585"/>
      <w:sz w:val="22"/>
    </w:rPr>
  </w:style>
  <w:style w:type="paragraph" w:customStyle="1" w:styleId="SideHeading">
    <w:name w:val="Side Heading"/>
    <w:basedOn w:val="HeadingBase"/>
    <w:rsid w:val="001B1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12D"/>
    <w:pPr>
      <w:tabs>
        <w:tab w:val="num" w:pos="360"/>
      </w:tabs>
    </w:pPr>
  </w:style>
  <w:style w:type="paragraph" w:styleId="PlainText">
    <w:name w:val="Plain Text"/>
    <w:basedOn w:val="Normal"/>
    <w:link w:val="PlainTextChar"/>
    <w:rsid w:val="001B112D"/>
    <w:rPr>
      <w:sz w:val="20"/>
    </w:rPr>
  </w:style>
  <w:style w:type="character" w:customStyle="1" w:styleId="PlainTextChar">
    <w:name w:val="Plain Text Char"/>
    <w:basedOn w:val="DefaultParagraphFont"/>
    <w:link w:val="PlainText"/>
    <w:rsid w:val="001B112D"/>
    <w:rPr>
      <w:rFonts w:ascii="Courier New" w:eastAsia="Times New Roman" w:hAnsi="Courier New" w:cs="Times New Roman"/>
      <w:sz w:val="20"/>
      <w:szCs w:val="20"/>
      <w:lang w:eastAsia="en-US"/>
    </w:rPr>
  </w:style>
  <w:style w:type="character" w:customStyle="1" w:styleId="MenuOption">
    <w:name w:val="Menu Option"/>
    <w:basedOn w:val="DefaultParagraphFont"/>
    <w:rsid w:val="001B112D"/>
    <w:rPr>
      <w:b/>
      <w:smallCaps/>
    </w:rPr>
  </w:style>
  <w:style w:type="paragraph" w:customStyle="1" w:styleId="TableListNumber">
    <w:name w:val="Table List Number"/>
    <w:basedOn w:val="ListNumber"/>
    <w:rsid w:val="001B112D"/>
    <w:pPr>
      <w:numPr>
        <w:numId w:val="0"/>
      </w:numPr>
    </w:pPr>
  </w:style>
  <w:style w:type="paragraph" w:styleId="TOC4">
    <w:name w:val="toc 4"/>
    <w:basedOn w:val="TOCBase"/>
    <w:next w:val="Normal"/>
    <w:semiHidden/>
    <w:rsid w:val="001B112D"/>
    <w:pPr>
      <w:tabs>
        <w:tab w:val="right" w:leader="dot" w:pos="9071"/>
      </w:tabs>
      <w:ind w:left="1701"/>
    </w:pPr>
  </w:style>
  <w:style w:type="paragraph" w:customStyle="1" w:styleId="ListAlpha">
    <w:name w:val="List Alpha"/>
    <w:basedOn w:val="List"/>
    <w:rsid w:val="001B112D"/>
    <w:pPr>
      <w:numPr>
        <w:numId w:val="9"/>
      </w:numPr>
    </w:pPr>
  </w:style>
  <w:style w:type="paragraph" w:customStyle="1" w:styleId="ListAlpha2">
    <w:name w:val="List Alpha 2"/>
    <w:basedOn w:val="List2"/>
    <w:rsid w:val="001B112D"/>
    <w:pPr>
      <w:numPr>
        <w:numId w:val="8"/>
      </w:numPr>
    </w:pPr>
  </w:style>
  <w:style w:type="paragraph" w:styleId="List2">
    <w:name w:val="List 2"/>
    <w:basedOn w:val="BodyText"/>
    <w:rsid w:val="001B112D"/>
    <w:pPr>
      <w:tabs>
        <w:tab w:val="left" w:pos="680"/>
      </w:tabs>
      <w:spacing w:before="60" w:after="60"/>
      <w:ind w:left="680" w:hanging="340"/>
    </w:pPr>
  </w:style>
  <w:style w:type="paragraph" w:styleId="List3">
    <w:name w:val="List 3"/>
    <w:basedOn w:val="BodyText"/>
    <w:rsid w:val="001B112D"/>
    <w:pPr>
      <w:tabs>
        <w:tab w:val="left" w:pos="1021"/>
      </w:tabs>
      <w:spacing w:before="60" w:after="60"/>
      <w:ind w:left="1020" w:hanging="340"/>
    </w:pPr>
  </w:style>
  <w:style w:type="paragraph" w:styleId="List4">
    <w:name w:val="List 4"/>
    <w:basedOn w:val="BodyText"/>
    <w:rsid w:val="001B112D"/>
    <w:pPr>
      <w:tabs>
        <w:tab w:val="left" w:pos="1361"/>
      </w:tabs>
      <w:spacing w:before="60" w:after="60"/>
      <w:ind w:left="1361" w:hanging="340"/>
    </w:pPr>
  </w:style>
  <w:style w:type="paragraph" w:styleId="List5">
    <w:name w:val="List 5"/>
    <w:basedOn w:val="BodyText"/>
    <w:rsid w:val="001B112D"/>
    <w:pPr>
      <w:tabs>
        <w:tab w:val="left" w:pos="1701"/>
      </w:tabs>
      <w:spacing w:before="60" w:after="60"/>
      <w:ind w:left="1701" w:hanging="340"/>
    </w:pPr>
  </w:style>
  <w:style w:type="paragraph" w:styleId="ListBullet3">
    <w:name w:val="List Bullet 3"/>
    <w:basedOn w:val="List3"/>
    <w:rsid w:val="001B112D"/>
    <w:pPr>
      <w:numPr>
        <w:numId w:val="14"/>
      </w:numPr>
      <w:tabs>
        <w:tab w:val="clear" w:pos="1021"/>
      </w:tabs>
      <w:ind w:left="1037" w:hanging="357"/>
    </w:pPr>
  </w:style>
  <w:style w:type="paragraph" w:styleId="ListBullet4">
    <w:name w:val="List Bullet 4"/>
    <w:basedOn w:val="List4"/>
    <w:rsid w:val="001B112D"/>
    <w:pPr>
      <w:numPr>
        <w:numId w:val="3"/>
      </w:numPr>
      <w:tabs>
        <w:tab w:val="clear" w:pos="1361"/>
      </w:tabs>
    </w:pPr>
  </w:style>
  <w:style w:type="paragraph" w:styleId="ListBullet5">
    <w:name w:val="List Bullet 5"/>
    <w:basedOn w:val="List5"/>
    <w:rsid w:val="001B112D"/>
    <w:pPr>
      <w:numPr>
        <w:numId w:val="4"/>
      </w:numPr>
    </w:pPr>
  </w:style>
  <w:style w:type="paragraph" w:styleId="ListContinue2">
    <w:name w:val="List Continue 2"/>
    <w:basedOn w:val="List2"/>
    <w:rsid w:val="001B112D"/>
    <w:pPr>
      <w:ind w:firstLine="0"/>
    </w:pPr>
  </w:style>
  <w:style w:type="paragraph" w:styleId="ListContinue3">
    <w:name w:val="List Continue 3"/>
    <w:basedOn w:val="List3"/>
    <w:rsid w:val="001B112D"/>
    <w:pPr>
      <w:ind w:left="1021" w:firstLine="0"/>
    </w:pPr>
  </w:style>
  <w:style w:type="paragraph" w:styleId="ListContinue4">
    <w:name w:val="List Continue 4"/>
    <w:basedOn w:val="List4"/>
    <w:rsid w:val="001B112D"/>
    <w:pPr>
      <w:ind w:firstLine="0"/>
    </w:pPr>
  </w:style>
  <w:style w:type="paragraph" w:styleId="ListContinue5">
    <w:name w:val="List Continue 5"/>
    <w:basedOn w:val="List5"/>
    <w:rsid w:val="001B112D"/>
    <w:pPr>
      <w:ind w:firstLine="0"/>
    </w:pPr>
  </w:style>
  <w:style w:type="paragraph" w:styleId="ListNumber3">
    <w:name w:val="List Number 3"/>
    <w:basedOn w:val="List3"/>
    <w:rsid w:val="001B112D"/>
    <w:pPr>
      <w:numPr>
        <w:numId w:val="5"/>
      </w:numPr>
    </w:pPr>
  </w:style>
  <w:style w:type="paragraph" w:styleId="ListNumber4">
    <w:name w:val="List Number 4"/>
    <w:basedOn w:val="List4"/>
    <w:rsid w:val="001B112D"/>
    <w:pPr>
      <w:numPr>
        <w:numId w:val="6"/>
      </w:numPr>
    </w:pPr>
  </w:style>
  <w:style w:type="paragraph" w:styleId="ListNumber5">
    <w:name w:val="List Number 5"/>
    <w:basedOn w:val="List5"/>
    <w:rsid w:val="001B112D"/>
    <w:pPr>
      <w:numPr>
        <w:numId w:val="7"/>
      </w:numPr>
    </w:pPr>
  </w:style>
  <w:style w:type="paragraph" w:styleId="BlockText">
    <w:name w:val="Block Text"/>
    <w:basedOn w:val="Normal"/>
    <w:rsid w:val="001B112D"/>
    <w:pPr>
      <w:spacing w:after="120"/>
      <w:ind w:left="1440" w:right="1440"/>
    </w:pPr>
  </w:style>
  <w:style w:type="character" w:customStyle="1" w:styleId="Subscript">
    <w:name w:val="Subscript"/>
    <w:basedOn w:val="DefaultParagraphFont"/>
    <w:rsid w:val="001B112D"/>
    <w:rPr>
      <w:sz w:val="16"/>
      <w:vertAlign w:val="subscript"/>
    </w:rPr>
  </w:style>
  <w:style w:type="character" w:customStyle="1" w:styleId="Superscript">
    <w:name w:val="Superscript"/>
    <w:basedOn w:val="DefaultParagraphFont"/>
    <w:rsid w:val="001B112D"/>
    <w:rPr>
      <w:sz w:val="16"/>
      <w:vertAlign w:val="superscript"/>
    </w:rPr>
  </w:style>
  <w:style w:type="character" w:customStyle="1" w:styleId="Symbols">
    <w:name w:val="Symbols"/>
    <w:basedOn w:val="DefaultParagraphFont"/>
    <w:rsid w:val="001B112D"/>
    <w:rPr>
      <w:rFonts w:ascii="Symbol" w:hAnsi="Symbol"/>
    </w:rPr>
  </w:style>
  <w:style w:type="character" w:customStyle="1" w:styleId="MenuOptions">
    <w:name w:val="Menu Options"/>
    <w:basedOn w:val="DefaultParagraphFont"/>
    <w:rsid w:val="001B112D"/>
    <w:rPr>
      <w:rFonts w:ascii="Arial Narrow" w:hAnsi="Arial Narrow"/>
      <w:smallCaps/>
    </w:rPr>
  </w:style>
  <w:style w:type="character" w:customStyle="1" w:styleId="Buttons">
    <w:name w:val="Buttons"/>
    <w:basedOn w:val="DefaultParagraphFont"/>
    <w:rsid w:val="001B112D"/>
    <w:rPr>
      <w:b/>
    </w:rPr>
  </w:style>
  <w:style w:type="character" w:customStyle="1" w:styleId="Underlined">
    <w:name w:val="Underlined"/>
    <w:basedOn w:val="DefaultParagraphFont"/>
    <w:rsid w:val="001B112D"/>
    <w:rPr>
      <w:u w:val="single"/>
    </w:rPr>
  </w:style>
  <w:style w:type="paragraph" w:customStyle="1" w:styleId="TableBodyTextRight">
    <w:name w:val="Table Body Text Right"/>
    <w:basedOn w:val="TableBodyText"/>
    <w:rsid w:val="001B112D"/>
    <w:pPr>
      <w:widowControl w:val="0"/>
      <w:autoSpaceDE w:val="0"/>
      <w:autoSpaceDN w:val="0"/>
      <w:adjustRightInd w:val="0"/>
      <w:jc w:val="right"/>
    </w:pPr>
    <w:rPr>
      <w:rFonts w:cs="Arial"/>
      <w:szCs w:val="18"/>
    </w:rPr>
  </w:style>
  <w:style w:type="paragraph" w:customStyle="1" w:styleId="CopyrightText">
    <w:name w:val="Copyright Text"/>
    <w:basedOn w:val="BodyText"/>
    <w:rsid w:val="001B112D"/>
    <w:rPr>
      <w:sz w:val="18"/>
    </w:rPr>
  </w:style>
  <w:style w:type="paragraph" w:customStyle="1" w:styleId="BodySmallRight">
    <w:name w:val="Body Small Right"/>
    <w:basedOn w:val="BodyTextRight"/>
    <w:rsid w:val="001B112D"/>
    <w:rPr>
      <w:sz w:val="18"/>
      <w:szCs w:val="18"/>
    </w:rPr>
  </w:style>
  <w:style w:type="paragraph" w:customStyle="1" w:styleId="MarginEdition">
    <w:name w:val="Margin Edition"/>
    <w:basedOn w:val="MarginNote"/>
    <w:rsid w:val="001B112D"/>
    <w:pPr>
      <w:spacing w:before="0" w:after="0"/>
    </w:pPr>
    <w:rPr>
      <w:rFonts w:ascii="Times New Roman" w:hAnsi="Times New Roman"/>
      <w:color w:val="999999"/>
    </w:rPr>
  </w:style>
  <w:style w:type="paragraph" w:customStyle="1" w:styleId="Spacer">
    <w:name w:val="Spacer"/>
    <w:basedOn w:val="Normal"/>
    <w:rsid w:val="001B112D"/>
    <w:rPr>
      <w:sz w:val="2"/>
      <w:szCs w:val="2"/>
    </w:rPr>
  </w:style>
  <w:style w:type="character" w:customStyle="1" w:styleId="Small">
    <w:name w:val="Small"/>
    <w:basedOn w:val="DefaultParagraphFont"/>
    <w:rsid w:val="001B112D"/>
    <w:rPr>
      <w:sz w:val="16"/>
    </w:rPr>
  </w:style>
  <w:style w:type="paragraph" w:customStyle="1" w:styleId="WideTable">
    <w:name w:val="Wide Table"/>
    <w:basedOn w:val="Normal"/>
    <w:rsid w:val="001B112D"/>
    <w:pPr>
      <w:ind w:left="-1418"/>
    </w:pPr>
    <w:rPr>
      <w:sz w:val="2"/>
      <w:szCs w:val="2"/>
    </w:rPr>
  </w:style>
  <w:style w:type="character" w:styleId="PageNumber">
    <w:name w:val="page number"/>
    <w:basedOn w:val="DefaultParagraphFont"/>
    <w:rsid w:val="001B112D"/>
  </w:style>
  <w:style w:type="paragraph" w:styleId="Quote">
    <w:name w:val="Quote"/>
    <w:basedOn w:val="Heading1"/>
    <w:link w:val="QuoteChar"/>
    <w:qFormat/>
    <w:rsid w:val="001B112D"/>
    <w:rPr>
      <w:b w:val="0"/>
      <w:sz w:val="72"/>
      <w:szCs w:val="72"/>
      <w:lang w:val="en-NZ"/>
    </w:rPr>
  </w:style>
  <w:style w:type="character" w:customStyle="1" w:styleId="QuoteChar">
    <w:name w:val="Quote Char"/>
    <w:basedOn w:val="DefaultParagraphFont"/>
    <w:link w:val="Quote"/>
    <w:rsid w:val="001B1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12D"/>
    <w:pPr>
      <w:pageBreakBefore/>
    </w:pPr>
  </w:style>
  <w:style w:type="paragraph" w:customStyle="1" w:styleId="Border">
    <w:name w:val="Border"/>
    <w:basedOn w:val="Normal"/>
    <w:qFormat/>
    <w:rsid w:val="001B1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12D"/>
    <w:rPr>
      <w:b/>
      <w:bCs/>
      <w:i/>
      <w:iCs/>
      <w:color w:val="auto"/>
    </w:rPr>
  </w:style>
  <w:style w:type="paragraph" w:styleId="IntenseQuote">
    <w:name w:val="Intense Quote"/>
    <w:basedOn w:val="Normal"/>
    <w:next w:val="Normal"/>
    <w:link w:val="IntenseQuoteChar"/>
    <w:uiPriority w:val="30"/>
    <w:qFormat/>
    <w:rsid w:val="001B1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1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12D"/>
    <w:rPr>
      <w:smallCaps/>
      <w:color w:val="auto"/>
      <w:u w:val="single"/>
    </w:rPr>
  </w:style>
  <w:style w:type="character" w:styleId="IntenseReference">
    <w:name w:val="Intense Reference"/>
    <w:basedOn w:val="DefaultParagraphFont"/>
    <w:uiPriority w:val="32"/>
    <w:qFormat/>
    <w:rsid w:val="001B112D"/>
    <w:rPr>
      <w:b/>
      <w:bCs/>
      <w:smallCaps/>
      <w:color w:val="auto"/>
      <w:spacing w:val="5"/>
      <w:u w:val="single"/>
    </w:rPr>
  </w:style>
  <w:style w:type="paragraph" w:customStyle="1" w:styleId="2ColumnHeading">
    <w:name w:val="2Column Heading"/>
    <w:basedOn w:val="BodyText"/>
    <w:qFormat/>
    <w:rsid w:val="001B112D"/>
    <w:pPr>
      <w:spacing w:after="60"/>
      <w:ind w:left="-2268"/>
    </w:pPr>
    <w:rPr>
      <w:b/>
    </w:rPr>
  </w:style>
  <w:style w:type="paragraph" w:customStyle="1" w:styleId="Heading1TOC">
    <w:name w:val="Heading1 TOC"/>
    <w:basedOn w:val="Normal"/>
    <w:qFormat/>
    <w:rsid w:val="001B112D"/>
    <w:pPr>
      <w:spacing w:before="240" w:after="120"/>
    </w:pPr>
    <w:rPr>
      <w:rFonts w:ascii="Times New Roman" w:hAnsi="Times New Roman"/>
      <w:b/>
      <w:sz w:val="32"/>
    </w:rPr>
  </w:style>
  <w:style w:type="paragraph" w:customStyle="1" w:styleId="Heading2TOC">
    <w:name w:val="Heading2 TOC"/>
    <w:basedOn w:val="Normal"/>
    <w:qFormat/>
    <w:rsid w:val="001B112D"/>
    <w:pPr>
      <w:spacing w:before="240" w:after="60"/>
    </w:pPr>
    <w:rPr>
      <w:rFonts w:ascii="Times New Roman" w:hAnsi="Times New Roman"/>
      <w:b/>
      <w:sz w:val="28"/>
    </w:rPr>
  </w:style>
  <w:style w:type="character" w:customStyle="1" w:styleId="Underline">
    <w:name w:val="Underline"/>
    <w:basedOn w:val="DefaultParagraphFont"/>
    <w:qFormat/>
    <w:rsid w:val="001B112D"/>
    <w:rPr>
      <w:u w:val="single"/>
    </w:rPr>
  </w:style>
  <w:style w:type="character" w:customStyle="1" w:styleId="BoldandItalics">
    <w:name w:val="Bold and Italics"/>
    <w:qFormat/>
    <w:rsid w:val="001B112D"/>
    <w:rPr>
      <w:b/>
      <w:i/>
      <w:u w:val="none"/>
    </w:rPr>
  </w:style>
  <w:style w:type="paragraph" w:styleId="BalloonText">
    <w:name w:val="Balloon Text"/>
    <w:basedOn w:val="Normal"/>
    <w:link w:val="BalloonTextChar"/>
    <w:rsid w:val="001B112D"/>
    <w:rPr>
      <w:rFonts w:ascii="Tahoma" w:hAnsi="Tahoma" w:cs="Tahoma"/>
      <w:sz w:val="16"/>
      <w:szCs w:val="16"/>
    </w:rPr>
  </w:style>
  <w:style w:type="character" w:customStyle="1" w:styleId="BalloonTextChar">
    <w:name w:val="Balloon Text Char"/>
    <w:basedOn w:val="DefaultParagraphFont"/>
    <w:link w:val="BalloonText"/>
    <w:rsid w:val="001B11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1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11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12D"/>
    <w:rPr>
      <w:b/>
      <w:color w:val="660033"/>
      <w:spacing w:val="0"/>
    </w:rPr>
  </w:style>
  <w:style w:type="paragraph" w:customStyle="1" w:styleId="Nameditemlist">
    <w:name w:val="Named item list"/>
    <w:basedOn w:val="BodyText"/>
    <w:qFormat/>
    <w:rsid w:val="001B112D"/>
    <w:pPr>
      <w:tabs>
        <w:tab w:val="left" w:pos="2835"/>
      </w:tabs>
      <w:ind w:left="2835" w:hanging="2835"/>
    </w:pPr>
  </w:style>
  <w:style w:type="paragraph" w:customStyle="1" w:styleId="BodyTextnopadding">
    <w:name w:val="Body Text no padding"/>
    <w:basedOn w:val="BodyText"/>
    <w:qFormat/>
    <w:rsid w:val="001B112D"/>
    <w:pPr>
      <w:spacing w:before="0" w:after="0"/>
    </w:pPr>
  </w:style>
  <w:style w:type="paragraph" w:customStyle="1" w:styleId="BodyTextBold">
    <w:name w:val="Body Text Bold"/>
    <w:basedOn w:val="BodyText"/>
    <w:qFormat/>
    <w:rsid w:val="001B112D"/>
    <w:rPr>
      <w:b/>
    </w:rPr>
  </w:style>
  <w:style w:type="character" w:styleId="Hyperlink">
    <w:name w:val="Hyperlink"/>
    <w:basedOn w:val="DefaultParagraphFont"/>
    <w:uiPriority w:val="99"/>
    <w:unhideWhenUsed/>
    <w:rsid w:val="006132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1357</Words>
  <Characters>9108</Characters>
  <Application>Microsoft Office Word</Application>
  <DocSecurity>0</DocSecurity>
  <Lines>337</Lines>
  <Paragraphs>205</Paragraphs>
  <ScaleCrop>false</ScaleCrop>
  <Company>Author-it Software Corporation Ltd.</Company>
  <LinksUpToDate>false</LinksUpToDate>
  <CharactersWithSpaces>10260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UEGNSG306 Control gas processing, storage or regasification operations in an LNG storage facility</dc:title>
  <dc:subject>Approved</dc:subject>
  <dc:creator>Powering Skills Organisation</dc:creator>
  <cp:keywords>Release: 1</cp:keywords>
  <dc:description>Review Date: 12 April 2008</dc:description>
  <cp:lastModifiedBy>HSD_TPCMSd.prod</cp:lastModifiedBy>
  <cp:revision>3</cp:revision>
  <dcterms:created xsi:type="dcterms:W3CDTF">2025-03-02T00:42:00Z</dcterms:created>
  <dcterms:modified xsi:type="dcterms:W3CDTF">2025-03-02T00:42:00Z</dcterms:modified>
</cp:coreProperties>
</file>