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2AB5" w:rsidP="00272A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UEGNSG306 Control gas processing, storage or regasification operations in an LNG storage facility</w:t>
      </w:r>
      <w:r>
        <w:fldChar w:fldCharType="end"/>
      </w:r>
    </w:p>
    <w:p w:rsidR="00272AB5" w:rsidP="00272AB5">
      <w:pPr>
        <w:pStyle w:val="Version"/>
        <w:sectPr w:rsidSect="009B04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0416" w:rsidP="009B0416">
      <w:pPr>
        <w:pStyle w:val="SuperHeading"/>
      </w:pPr>
      <w:r w:rsidRPr="009B0416">
        <w:t>Assessment Requirements for UEGNSG306 Control gas processing, storage or regasification operations in an LNG storage facility</w:t>
      </w:r>
    </w:p>
    <w:p w:rsidR="00000000" w:rsidRPr="009B0416" w:rsidP="009B0416">
      <w:pPr>
        <w:pStyle w:val="Heading1"/>
      </w:pPr>
      <w:bookmarkStart w:id="1" w:name="O_1188216"/>
      <w:bookmarkEnd w:id="1"/>
      <w:r w:rsidRPr="009B041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04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416" w:rsidP="009B0416">
            <w:pPr>
              <w:pStyle w:val="BodyText"/>
            </w:pPr>
            <w:r w:rsidRPr="009B0416">
              <w:t>Release 1. This is the first release of this unit of competency in the UEG Gas Industry Training Package.</w:t>
            </w:r>
          </w:p>
        </w:tc>
      </w:tr>
    </w:tbl>
    <w:p w:rsidR="00000000" w:rsidRPr="009B0416" w:rsidP="009B0416">
      <w:pPr>
        <w:pStyle w:val="NoPaddingFontSize1"/>
      </w:pPr>
    </w:p>
    <w:p w:rsidR="00000000" w:rsidRPr="009B0416" w:rsidP="009B0416">
      <w:pPr>
        <w:pStyle w:val="AllowPageBreak"/>
      </w:pPr>
    </w:p>
    <w:p w:rsidR="00000000" w:rsidRPr="009B0416" w:rsidP="009B0416">
      <w:pPr>
        <w:pStyle w:val="Heading1"/>
      </w:pPr>
      <w:bookmarkStart w:id="2" w:name="O_1188217"/>
      <w:bookmarkEnd w:id="2"/>
      <w:r w:rsidRPr="009B041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04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416">
            <w:pPr>
              <w:pStyle w:val="BodyText"/>
              <w:rPr>
                <w:lang w:val="en-NZ"/>
              </w:rPr>
            </w:pPr>
            <w:r w:rsidRPr="009B0416">
              <w:t>Evidence required to demonstrate competence in this unit must be relevant to and satisfy all of the requirem</w:t>
            </w:r>
            <w:r w:rsidRPr="009B0416">
              <w:t xml:space="preserve">ents of the elements and performance criteria on at least two separate occasions and include: </w:t>
            </w:r>
          </w:p>
        </w:tc>
      </w:tr>
      <w:tr w:rsidTr="009B04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416" w:rsidP="009B0416">
            <w:pPr>
              <w:pStyle w:val="ListBullet"/>
            </w:pPr>
            <w:r w:rsidRPr="009B0416">
              <w:t>applying relevant fault-finding and troubleshooting techniques</w:t>
            </w:r>
          </w:p>
          <w:p w:rsidR="00000000" w:rsidRPr="009B0416" w:rsidP="009B0416">
            <w:pPr>
              <w:pStyle w:val="ListBullet"/>
            </w:pPr>
            <w:r w:rsidRPr="009B0416">
              <w:t>applying relevant industry standards, guidelines, codes of practice and regulations</w:t>
            </w:r>
          </w:p>
          <w:p w:rsidR="00000000" w:rsidRPr="009B0416" w:rsidP="009B0416">
            <w:pPr>
              <w:pStyle w:val="ListBullet"/>
            </w:pPr>
            <w:r w:rsidRPr="009B0416">
              <w:t>applying rel</w:t>
            </w:r>
            <w:r w:rsidRPr="009B0416">
              <w:t>evant work health and safety (WHS)/occupational health and safety (OHS) requirements, including:</w:t>
            </w:r>
          </w:p>
          <w:p w:rsidR="00000000" w:rsidRPr="009B0416" w:rsidP="009B0416">
            <w:pPr>
              <w:pStyle w:val="ListBullet2"/>
            </w:pPr>
            <w:r w:rsidRPr="009B0416">
              <w:t xml:space="preserve">emergency response procedures </w:t>
            </w:r>
          </w:p>
          <w:p w:rsidR="00000000" w:rsidRPr="009B0416" w:rsidP="009B0416">
            <w:pPr>
              <w:pStyle w:val="ListBullet2"/>
            </w:pPr>
            <w:r w:rsidRPr="009B0416">
              <w:t xml:space="preserve">sustainable energy and environmental principles and practices </w:t>
            </w:r>
          </w:p>
          <w:p w:rsidR="00000000" w:rsidRPr="009B0416" w:rsidP="009B0416">
            <w:pPr>
              <w:pStyle w:val="ListBullet2"/>
            </w:pPr>
            <w:r w:rsidRPr="009B0416">
              <w:t>hazard identification and reporting</w:t>
            </w:r>
          </w:p>
          <w:p w:rsidR="00000000" w:rsidRPr="009B0416" w:rsidP="009B0416">
            <w:pPr>
              <w:pStyle w:val="ListBullet2"/>
            </w:pPr>
            <w:r w:rsidRPr="009B0416">
              <w:t xml:space="preserve">implementing risk control measures </w:t>
            </w:r>
          </w:p>
          <w:p w:rsidR="00000000" w:rsidRPr="009B0416" w:rsidP="009B0416">
            <w:pPr>
              <w:pStyle w:val="ListBullet"/>
            </w:pPr>
            <w:r w:rsidRPr="009B0416">
              <w:t>communicating and coordinating with relevant stakeholders</w:t>
            </w:r>
          </w:p>
          <w:p w:rsidR="00000000" w:rsidRPr="009B0416" w:rsidP="009B0416">
            <w:pPr>
              <w:pStyle w:val="ListBullet"/>
            </w:pPr>
            <w:r w:rsidRPr="009B0416">
              <w:t>completing relevant reports and documentation</w:t>
            </w:r>
          </w:p>
          <w:p w:rsidR="00000000" w:rsidRPr="009B0416" w:rsidP="009B0416">
            <w:pPr>
              <w:pStyle w:val="ListBullet"/>
            </w:pPr>
            <w:r w:rsidRPr="009B0416">
              <w:t>controlling processing, storage or regasification operations</w:t>
            </w:r>
          </w:p>
          <w:p w:rsidR="00000000" w:rsidRPr="009B0416" w:rsidP="009B0416">
            <w:pPr>
              <w:pStyle w:val="ListBullet"/>
            </w:pPr>
            <w:r w:rsidRPr="009B0416">
              <w:t xml:space="preserve">dealing with unplanned events  </w:t>
            </w:r>
          </w:p>
          <w:p w:rsidR="00000000" w:rsidRPr="009B0416" w:rsidP="009B0416">
            <w:pPr>
              <w:pStyle w:val="ListBullet"/>
            </w:pPr>
            <w:r w:rsidRPr="009B0416">
              <w:t>following workplace pr</w:t>
            </w:r>
            <w:r w:rsidRPr="009B0416">
              <w:t>ocedures, including:</w:t>
            </w:r>
          </w:p>
          <w:p w:rsidR="00000000" w:rsidRPr="009B0416" w:rsidP="009B0416">
            <w:pPr>
              <w:pStyle w:val="ListBullet2"/>
            </w:pPr>
            <w:r w:rsidRPr="009B0416">
              <w:t>emergency shutdown procedures</w:t>
            </w:r>
          </w:p>
          <w:p w:rsidR="00000000" w:rsidRPr="009B0416" w:rsidP="009B0416">
            <w:pPr>
              <w:pStyle w:val="ListBullet2"/>
            </w:pPr>
            <w:r w:rsidRPr="009B0416">
              <w:t>reporting procedures</w:t>
            </w:r>
          </w:p>
          <w:p w:rsidR="00000000" w:rsidRPr="009B0416" w:rsidP="009B0416">
            <w:pPr>
              <w:pStyle w:val="ListBullet2"/>
            </w:pPr>
            <w:r w:rsidRPr="009B0416">
              <w:t>standard operating procedures</w:t>
            </w:r>
          </w:p>
          <w:p w:rsidR="00000000" w:rsidRPr="009B0416" w:rsidP="009B0416">
            <w:pPr>
              <w:pStyle w:val="ListBullet"/>
            </w:pPr>
            <w:r w:rsidRPr="009B0416">
              <w:t>interpreting relevant drawings, plans and material lists</w:t>
            </w:r>
          </w:p>
          <w:p w:rsidR="00000000" w:rsidRPr="009B0416" w:rsidP="009B0416">
            <w:pPr>
              <w:pStyle w:val="ListBullet"/>
            </w:pPr>
            <w:r w:rsidRPr="009B0416">
              <w:t>isolating systems</w:t>
            </w:r>
          </w:p>
          <w:p w:rsidR="00000000" w:rsidRPr="009B0416" w:rsidP="009B0416">
            <w:pPr>
              <w:pStyle w:val="ListBullet"/>
            </w:pPr>
            <w:r w:rsidRPr="009B0416">
              <w:t>obtaining and complying with relevant work permits</w:t>
            </w:r>
          </w:p>
          <w:p w:rsidR="00000000" w:rsidRPr="009B0416" w:rsidP="009B0416">
            <w:pPr>
              <w:pStyle w:val="ListBullet"/>
            </w:pPr>
            <w:r w:rsidRPr="009B0416">
              <w:t>operating relevant control systems</w:t>
            </w:r>
          </w:p>
          <w:p w:rsidR="00000000" w:rsidRPr="009B0416" w:rsidP="009B0416">
            <w:pPr>
              <w:pStyle w:val="ListBullet"/>
            </w:pPr>
            <w:r w:rsidRPr="009B0416">
              <w:t>performing quality and safety checks</w:t>
            </w:r>
          </w:p>
          <w:p w:rsidR="00000000" w:rsidRPr="009B0416" w:rsidP="009B0416">
            <w:pPr>
              <w:pStyle w:val="ListBullet"/>
            </w:pPr>
            <w:r w:rsidRPr="009B0416">
              <w:t>planning control of processing, storage or regasification operations</w:t>
            </w:r>
          </w:p>
          <w:p w:rsidR="00000000" w:rsidRPr="009B0416" w:rsidP="009B0416">
            <w:pPr>
              <w:pStyle w:val="ListBullet"/>
            </w:pPr>
            <w:r w:rsidRPr="009B0416">
              <w:t xml:space="preserve">recording relevant information </w:t>
            </w:r>
          </w:p>
          <w:p w:rsidR="00000000" w:rsidRPr="009B0416" w:rsidP="009B0416">
            <w:pPr>
              <w:pStyle w:val="ListBullet"/>
            </w:pPr>
            <w:r w:rsidRPr="009B0416">
              <w:t>shutting down operations.</w:t>
            </w:r>
          </w:p>
        </w:tc>
      </w:tr>
    </w:tbl>
    <w:p w:rsidR="00000000" w:rsidRPr="009B0416" w:rsidP="009B0416">
      <w:pPr>
        <w:pStyle w:val="NoPaddingFontSize1"/>
      </w:pPr>
    </w:p>
    <w:p w:rsidR="00000000" w:rsidRPr="009B0416" w:rsidP="009B0416">
      <w:pPr>
        <w:pStyle w:val="AllowPageBreak"/>
      </w:pPr>
    </w:p>
    <w:p w:rsidR="00000000" w:rsidRPr="009B0416" w:rsidP="009B0416">
      <w:pPr>
        <w:pStyle w:val="Heading1"/>
      </w:pPr>
      <w:bookmarkStart w:id="3" w:name="O_1188218"/>
      <w:bookmarkEnd w:id="3"/>
      <w:r w:rsidRPr="009B041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04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416">
            <w:pPr>
              <w:pStyle w:val="BodyText"/>
              <w:rPr>
                <w:lang w:val="en-NZ"/>
              </w:rPr>
            </w:pPr>
            <w:r w:rsidRPr="009B0416">
              <w:t>Evidence required</w:t>
            </w:r>
            <w:r w:rsidRPr="009B0416">
              <w:t xml:space="preserve"> to demonstrate competence in this unit must be relevant to and satisfy all of the requirements of the elements and performance criteria and include knowledge of: </w:t>
            </w:r>
          </w:p>
        </w:tc>
      </w:tr>
      <w:tr w:rsidTr="009B04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416" w:rsidP="009B0416">
            <w:pPr>
              <w:pStyle w:val="ListBullet"/>
            </w:pPr>
            <w:r w:rsidRPr="009B0416">
              <w:t>alarm codes and control logics</w:t>
            </w:r>
          </w:p>
          <w:p w:rsidR="00000000" w:rsidRPr="009B0416" w:rsidP="009B0416">
            <w:pPr>
              <w:pStyle w:val="ListBullet"/>
            </w:pPr>
            <w:r w:rsidRPr="009B0416">
              <w:t>communicating in an LNG storage facility</w:t>
            </w:r>
          </w:p>
          <w:p w:rsidR="00000000" w:rsidRPr="009B0416" w:rsidP="009B0416">
            <w:pPr>
              <w:pStyle w:val="ListBullet"/>
            </w:pPr>
            <w:r w:rsidRPr="009B0416">
              <w:t>emergency response</w:t>
            </w:r>
            <w:r w:rsidRPr="009B0416">
              <w:t xml:space="preserve"> procedures, including shutdown procedures</w:t>
            </w:r>
          </w:p>
          <w:p w:rsidR="00000000" w:rsidRPr="009B0416" w:rsidP="009B0416">
            <w:pPr>
              <w:pStyle w:val="ListBullet"/>
            </w:pPr>
            <w:r w:rsidRPr="009B0416">
              <w:t>gas industry Process and Instrumentation Diagrams, plans and material lists</w:t>
            </w:r>
          </w:p>
          <w:p w:rsidR="00000000" w:rsidRPr="009B0416" w:rsidP="009B0416">
            <w:pPr>
              <w:pStyle w:val="ListBullet"/>
            </w:pPr>
            <w:r w:rsidRPr="009B0416">
              <w:t>gas industry products, processes and characteristics</w:t>
            </w:r>
          </w:p>
          <w:p w:rsidR="00000000" w:rsidRPr="009B0416" w:rsidP="009B0416">
            <w:pPr>
              <w:pStyle w:val="ListBullet"/>
            </w:pPr>
            <w:r w:rsidRPr="009B0416">
              <w:t>plant and equipment in an LNG storage facility, including:</w:t>
            </w:r>
          </w:p>
          <w:p w:rsidR="00000000" w:rsidRPr="009B0416" w:rsidP="009B0416">
            <w:pPr>
              <w:pStyle w:val="ListBullet2"/>
            </w:pPr>
            <w:r w:rsidRPr="009B0416">
              <w:t>alarm and communication equipment</w:t>
            </w:r>
          </w:p>
          <w:p w:rsidR="00000000" w:rsidRPr="009B0416" w:rsidP="009B0416">
            <w:pPr>
              <w:pStyle w:val="ListBullet2"/>
            </w:pPr>
            <w:r w:rsidRPr="009B0416">
              <w:t>compressors or pumps</w:t>
            </w:r>
          </w:p>
          <w:p w:rsidR="00000000" w:rsidRPr="009B0416" w:rsidP="009B0416">
            <w:pPr>
              <w:pStyle w:val="ListBullet2"/>
            </w:pPr>
            <w:r w:rsidRPr="009B0416">
              <w:t>fittings</w:t>
            </w:r>
          </w:p>
          <w:p w:rsidR="00000000" w:rsidRPr="009B0416" w:rsidP="009B0416">
            <w:pPr>
              <w:pStyle w:val="ListBullet2"/>
            </w:pPr>
            <w:r w:rsidRPr="009B0416">
              <w:t>gas analysis equipment</w:t>
            </w:r>
          </w:p>
          <w:p w:rsidR="00000000" w:rsidRPr="009B0416" w:rsidP="009B0416">
            <w:pPr>
              <w:pStyle w:val="ListBullet2"/>
            </w:pPr>
            <w:r w:rsidRPr="009B0416">
              <w:t>hand tools</w:t>
            </w:r>
          </w:p>
          <w:p w:rsidR="00000000" w:rsidRPr="009B0416" w:rsidP="009B0416">
            <w:pPr>
              <w:pStyle w:val="ListBullet2"/>
            </w:pPr>
            <w:r w:rsidRPr="009B0416">
              <w:t>heat exchangers</w:t>
            </w:r>
          </w:p>
          <w:p w:rsidR="00000000" w:rsidRPr="009B0416" w:rsidP="009B0416">
            <w:pPr>
              <w:pStyle w:val="ListBullet2"/>
            </w:pPr>
            <w:r w:rsidRPr="009B0416">
              <w:t>leak detection equipment</w:t>
            </w:r>
          </w:p>
          <w:p w:rsidR="00000000" w:rsidRPr="009B0416" w:rsidP="009B0416">
            <w:pPr>
              <w:pStyle w:val="ListBullet2"/>
            </w:pPr>
            <w:r w:rsidRPr="009B0416">
              <w:t>personal protective equipment</w:t>
            </w:r>
          </w:p>
          <w:p w:rsidR="00000000" w:rsidRPr="009B0416" w:rsidP="009B0416">
            <w:pPr>
              <w:pStyle w:val="ListBullet2"/>
            </w:pPr>
            <w:r w:rsidRPr="009B0416">
              <w:t>pipes, fitting and hoses</w:t>
            </w:r>
          </w:p>
          <w:p w:rsidR="00000000" w:rsidRPr="009B0416" w:rsidP="009B0416">
            <w:pPr>
              <w:pStyle w:val="ListBullet2"/>
            </w:pPr>
            <w:r w:rsidRPr="009B0416">
              <w:t>testing equipment</w:t>
            </w:r>
          </w:p>
          <w:p w:rsidR="00000000" w:rsidRPr="009B0416" w:rsidP="009B0416">
            <w:pPr>
              <w:pStyle w:val="ListBullet"/>
            </w:pPr>
            <w:r w:rsidRPr="009B0416">
              <w:t>properties of LNG</w:t>
            </w:r>
          </w:p>
          <w:p w:rsidR="00000000" w:rsidRPr="009B0416" w:rsidP="009B0416">
            <w:pPr>
              <w:pStyle w:val="ListBullet"/>
            </w:pPr>
            <w:r w:rsidRPr="009B0416">
              <w:t>relevant manufacturer spe</w:t>
            </w:r>
            <w:r w:rsidRPr="009B0416">
              <w:t>cifications</w:t>
            </w:r>
          </w:p>
          <w:p w:rsidR="00000000" w:rsidRPr="009B0416" w:rsidP="009B0416">
            <w:pPr>
              <w:pStyle w:val="ListBullet"/>
            </w:pPr>
            <w:r w:rsidRPr="009B0416">
              <w:t>relevant permit to work systems</w:t>
            </w:r>
          </w:p>
          <w:p w:rsidR="00000000" w:rsidRPr="009B0416" w:rsidP="009B0416">
            <w:pPr>
              <w:pStyle w:val="ListBullet"/>
            </w:pPr>
            <w:r w:rsidRPr="009B0416">
              <w:t>relevant safe work method statements (SWMS)/job safety assessments or risk mitigation processes</w:t>
            </w:r>
          </w:p>
          <w:p w:rsidR="00000000" w:rsidRPr="009B0416" w:rsidP="009B0416">
            <w:pPr>
              <w:pStyle w:val="ListBullet"/>
            </w:pPr>
            <w:r w:rsidRPr="009B0416">
              <w:t>relevant stakeholders</w:t>
            </w:r>
          </w:p>
          <w:p w:rsidR="00000000" w:rsidRPr="009B0416" w:rsidP="009B0416">
            <w:pPr>
              <w:pStyle w:val="ListBullet"/>
            </w:pPr>
            <w:r w:rsidRPr="009B0416">
              <w:t>relevant technical drawings</w:t>
            </w:r>
          </w:p>
          <w:p w:rsidR="00000000" w:rsidRPr="009B0416" w:rsidP="009B0416">
            <w:pPr>
              <w:pStyle w:val="ListBullet"/>
            </w:pPr>
            <w:r w:rsidRPr="009B0416">
              <w:t xml:space="preserve">relevant WHS/OHS legislated requirements, including: </w:t>
            </w:r>
          </w:p>
          <w:p w:rsidR="00000000" w:rsidRPr="009B0416" w:rsidP="009B0416">
            <w:pPr>
              <w:pStyle w:val="ListBullet2"/>
            </w:pPr>
            <w:r w:rsidRPr="009B0416">
              <w:t>applicable emergency equipment and procedures</w:t>
            </w:r>
          </w:p>
          <w:p w:rsidR="00000000" w:rsidRPr="009B0416" w:rsidP="009B0416">
            <w:pPr>
              <w:pStyle w:val="ListBullet2"/>
            </w:pPr>
            <w:r w:rsidRPr="009B0416">
              <w:t>environmental and sustainable energy principles and practices</w:t>
            </w:r>
          </w:p>
          <w:p w:rsidR="00000000" w:rsidRPr="009B0416" w:rsidP="009B0416">
            <w:pPr>
              <w:pStyle w:val="ListBullet2"/>
            </w:pPr>
            <w:r w:rsidRPr="009B0416">
              <w:t>hazards, risk assessment and control measures</w:t>
            </w:r>
          </w:p>
          <w:p w:rsidR="00000000" w:rsidRPr="009B0416" w:rsidP="009B0416">
            <w:pPr>
              <w:pStyle w:val="ListBullet"/>
            </w:pPr>
            <w:r w:rsidRPr="009B0416">
              <w:t>relevant workplace documentation and schedules</w:t>
            </w:r>
          </w:p>
          <w:p w:rsidR="00000000" w:rsidRPr="009B0416" w:rsidP="009B0416">
            <w:pPr>
              <w:pStyle w:val="ListBullet"/>
            </w:pPr>
            <w:r w:rsidRPr="009B0416">
              <w:t xml:space="preserve">relevant workplace policies and procedures, including </w:t>
            </w:r>
            <w:r w:rsidRPr="009B0416">
              <w:t>re-gasification procedures.</w:t>
            </w:r>
          </w:p>
        </w:tc>
      </w:tr>
    </w:tbl>
    <w:p w:rsidR="00000000" w:rsidRPr="009B0416" w:rsidP="009B0416">
      <w:pPr>
        <w:pStyle w:val="NoPaddingFontSize1"/>
      </w:pPr>
    </w:p>
    <w:p w:rsidR="00000000" w:rsidRPr="009B0416" w:rsidP="009B0416">
      <w:pPr>
        <w:pStyle w:val="AllowPageBreak"/>
      </w:pPr>
    </w:p>
    <w:p w:rsidR="00000000" w:rsidRPr="009B0416" w:rsidP="009B0416">
      <w:pPr>
        <w:pStyle w:val="Heading1"/>
      </w:pPr>
      <w:bookmarkStart w:id="4" w:name="O_1188219"/>
      <w:bookmarkEnd w:id="4"/>
      <w:r w:rsidRPr="009B041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04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416" w:rsidP="009B0416">
            <w:pPr>
              <w:pStyle w:val="BodyText"/>
            </w:pPr>
            <w:r w:rsidRPr="009B0416">
              <w:t xml:space="preserve">Assessors must hold credentials specified within the Standards for Registered Training Organisations current at the time of assessment. </w:t>
            </w:r>
          </w:p>
          <w:p w:rsidR="00000000" w:rsidRPr="009B0416" w:rsidP="009B0416">
            <w:pPr>
              <w:pStyle w:val="BodyText"/>
            </w:pPr>
            <w:r w:rsidRPr="009B0416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B0416" w:rsidP="009B0416">
            <w:pPr>
              <w:pStyle w:val="BodyText"/>
            </w:pPr>
            <w:r w:rsidRPr="009B0416">
              <w:t>Assessment must occur in suitable workplace op</w:t>
            </w:r>
            <w:r w:rsidRPr="009B0416">
              <w:t>erational situations where it is appropriate to do so; where this is not appropriate, assessment must occur in suitable simulated workplace operational situations that replicate workplace conditions.</w:t>
            </w:r>
          </w:p>
          <w:p w:rsidR="00000000" w:rsidRPr="009B0416" w:rsidP="009B0416">
            <w:pPr>
              <w:pStyle w:val="BodyText"/>
            </w:pPr>
            <w:r w:rsidRPr="009B0416">
              <w:t xml:space="preserve">Assessment processes and techniques must be appropriate </w:t>
            </w:r>
            <w:r w:rsidRPr="009B0416">
              <w:t>to the language, literacy and numeracy requirements of the work being performed and the needs of the candidate.</w:t>
            </w:r>
          </w:p>
          <w:p w:rsidR="00000000" w:rsidRPr="009B0416" w:rsidP="009B0416">
            <w:pPr>
              <w:pStyle w:val="BodyText"/>
            </w:pPr>
            <w:r w:rsidRPr="009B0416">
              <w:t>Resources for assessment must include access to:</w:t>
            </w:r>
          </w:p>
          <w:p w:rsidR="00000000" w:rsidRPr="009B0416" w:rsidP="009B0416">
            <w:pPr>
              <w:pStyle w:val="ListBullet"/>
            </w:pPr>
            <w:r w:rsidRPr="009B0416">
              <w:t>a range of relevant exercises, case studies and/or simulations</w:t>
            </w:r>
          </w:p>
          <w:p w:rsidR="00000000" w:rsidRPr="009B0416" w:rsidP="009B0416">
            <w:pPr>
              <w:pStyle w:val="ListBullet"/>
            </w:pPr>
            <w:r w:rsidRPr="009B0416">
              <w:t>relevant and appropriate materi</w:t>
            </w:r>
            <w:r w:rsidRPr="009B0416">
              <w:t>als, tools, equipment and personal protective equipment (PPE) currently used in industry</w:t>
            </w:r>
          </w:p>
          <w:p w:rsidR="00000000" w:rsidRPr="009B0416" w:rsidP="009B0416">
            <w:pPr>
              <w:pStyle w:val="ListBullet"/>
            </w:pPr>
            <w:r w:rsidRPr="009B0416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9B0416" w:rsidP="009B0416">
      <w:pPr>
        <w:pStyle w:val="NoPaddingFontSize1"/>
      </w:pPr>
    </w:p>
    <w:p w:rsidR="00000000" w:rsidRPr="009B0416" w:rsidP="009B0416">
      <w:pPr>
        <w:pStyle w:val="AllowPageBreak"/>
      </w:pPr>
    </w:p>
    <w:p w:rsidR="00000000" w:rsidRPr="009B0416" w:rsidP="009B0416">
      <w:pPr>
        <w:pStyle w:val="Heading1"/>
      </w:pPr>
      <w:bookmarkStart w:id="5" w:name="O_1188222"/>
      <w:bookmarkEnd w:id="5"/>
      <w:r w:rsidRPr="009B0416">
        <w:t>Links</w:t>
      </w:r>
    </w:p>
    <w:p w:rsidR="00000000" w:rsidRPr="009B0416" w:rsidP="00272AB5">
      <w:pPr>
        <w:pStyle w:val="BodyText"/>
      </w:pPr>
      <w:r w:rsidRPr="009B04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825C34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9B0416" w:rsidP="009B0416"/>
    <w:sectPr w:rsidSect="009B04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4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416" w:rsidRPr="00272AB5" w:rsidP="00272A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4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AB5" w:rsidP="009B04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2AB5" w:rsidP="009B04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72AB5" w:rsidP="009B04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4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A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0416" w:rsidRPr="00272AB5" w:rsidP="00272A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4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AB5" w:rsidRPr="002D2AF8" w:rsidP="009B04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UEGNSG306 Control gas processing, storage or regasification operations in an LNG storage facility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272AB5" w:rsidP="009B04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3EE1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98E7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946B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4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04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04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04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04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04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04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04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04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04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04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0416"/>
  </w:style>
  <w:style w:type="character" w:customStyle="1" w:styleId="Heading1Char">
    <w:name w:val="Heading 1 Char"/>
    <w:basedOn w:val="DefaultParagraphFont"/>
    <w:link w:val="Heading1"/>
    <w:rsid w:val="009B04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04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04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041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04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04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04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B04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04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04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04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04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04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04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04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04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04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04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04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04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04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04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04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04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04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04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04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0416"/>
    <w:rPr>
      <w:b/>
      <w:spacing w:val="0"/>
    </w:rPr>
  </w:style>
  <w:style w:type="paragraph" w:customStyle="1" w:styleId="SuperTitle">
    <w:name w:val="SuperTitle"/>
    <w:basedOn w:val="Title"/>
    <w:rsid w:val="009B04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04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04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04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04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04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04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04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04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04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04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04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0416"/>
    <w:rPr>
      <w:i/>
    </w:rPr>
  </w:style>
  <w:style w:type="paragraph" w:styleId="Caption">
    <w:name w:val="caption"/>
    <w:basedOn w:val="BodyText"/>
    <w:next w:val="Normal"/>
    <w:qFormat/>
    <w:rsid w:val="009B04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04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04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0416"/>
  </w:style>
  <w:style w:type="paragraph" w:styleId="TableofFigures">
    <w:name w:val="table of figures"/>
    <w:basedOn w:val="Normal"/>
    <w:next w:val="Normal"/>
    <w:semiHidden/>
    <w:rsid w:val="009B04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04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0416"/>
    <w:rPr>
      <w:rFonts w:ascii="Wingdings" w:hAnsi="Wingdings"/>
    </w:rPr>
  </w:style>
  <w:style w:type="paragraph" w:customStyle="1" w:styleId="TableHeading">
    <w:name w:val="Table Heading"/>
    <w:basedOn w:val="HeadingBase"/>
    <w:rsid w:val="009B04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0416"/>
    <w:rPr>
      <w:color w:val="0033CC"/>
      <w:u w:val="none"/>
    </w:rPr>
  </w:style>
  <w:style w:type="paragraph" w:customStyle="1" w:styleId="BodyTextRight">
    <w:name w:val="Body Text Right"/>
    <w:basedOn w:val="BodyText"/>
    <w:rsid w:val="009B04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04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04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04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04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04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0416"/>
    <w:rPr>
      <w:sz w:val="32"/>
    </w:rPr>
  </w:style>
  <w:style w:type="paragraph" w:customStyle="1" w:styleId="HeadingProcedure">
    <w:name w:val="Heading Procedure"/>
    <w:basedOn w:val="HeadingBase"/>
    <w:next w:val="Normal"/>
    <w:rsid w:val="009B04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0416"/>
    <w:pPr>
      <w:spacing w:before="60" w:after="60"/>
    </w:pPr>
  </w:style>
  <w:style w:type="paragraph" w:styleId="ListContinue">
    <w:name w:val="List Continue"/>
    <w:basedOn w:val="List"/>
    <w:rsid w:val="009B0416"/>
    <w:pPr>
      <w:ind w:firstLine="0"/>
    </w:pPr>
  </w:style>
  <w:style w:type="paragraph" w:customStyle="1" w:styleId="ListNote">
    <w:name w:val="List Note"/>
    <w:basedOn w:val="List"/>
    <w:rsid w:val="009B04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04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04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0416"/>
    <w:rPr>
      <w:rFonts w:ascii="Courier New" w:hAnsi="Courier New"/>
    </w:rPr>
  </w:style>
  <w:style w:type="paragraph" w:customStyle="1" w:styleId="NoteBullet">
    <w:name w:val="Note Bullet"/>
    <w:basedOn w:val="Note"/>
    <w:rsid w:val="009B04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04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04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04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04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04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04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0416"/>
    <w:rPr>
      <w:b/>
      <w:smallCaps/>
    </w:rPr>
  </w:style>
  <w:style w:type="paragraph" w:customStyle="1" w:styleId="TableListNumber">
    <w:name w:val="Table List Number"/>
    <w:basedOn w:val="ListNumber"/>
    <w:rsid w:val="009B04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04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0416"/>
    <w:pPr>
      <w:numPr>
        <w:numId w:val="9"/>
      </w:numPr>
    </w:pPr>
  </w:style>
  <w:style w:type="paragraph" w:customStyle="1" w:styleId="ListAlpha2">
    <w:name w:val="List Alpha 2"/>
    <w:basedOn w:val="List2"/>
    <w:rsid w:val="009B0416"/>
    <w:pPr>
      <w:numPr>
        <w:numId w:val="8"/>
      </w:numPr>
    </w:pPr>
  </w:style>
  <w:style w:type="paragraph" w:styleId="List2">
    <w:name w:val="List 2"/>
    <w:basedOn w:val="BodyText"/>
    <w:rsid w:val="009B04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04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04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04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04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04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0416"/>
    <w:pPr>
      <w:numPr>
        <w:numId w:val="4"/>
      </w:numPr>
    </w:pPr>
  </w:style>
  <w:style w:type="paragraph" w:styleId="ListContinue2">
    <w:name w:val="List Continue 2"/>
    <w:basedOn w:val="List2"/>
    <w:rsid w:val="009B0416"/>
    <w:pPr>
      <w:ind w:firstLine="0"/>
    </w:pPr>
  </w:style>
  <w:style w:type="paragraph" w:styleId="ListContinue3">
    <w:name w:val="List Continue 3"/>
    <w:basedOn w:val="List3"/>
    <w:rsid w:val="009B0416"/>
    <w:pPr>
      <w:ind w:left="1021" w:firstLine="0"/>
    </w:pPr>
  </w:style>
  <w:style w:type="paragraph" w:styleId="ListContinue4">
    <w:name w:val="List Continue 4"/>
    <w:basedOn w:val="List4"/>
    <w:rsid w:val="009B0416"/>
    <w:pPr>
      <w:ind w:firstLine="0"/>
    </w:pPr>
  </w:style>
  <w:style w:type="paragraph" w:styleId="ListContinue5">
    <w:name w:val="List Continue 5"/>
    <w:basedOn w:val="List5"/>
    <w:rsid w:val="009B0416"/>
    <w:pPr>
      <w:ind w:firstLine="0"/>
    </w:pPr>
  </w:style>
  <w:style w:type="paragraph" w:styleId="ListNumber3">
    <w:name w:val="List Number 3"/>
    <w:basedOn w:val="List3"/>
    <w:rsid w:val="009B0416"/>
    <w:pPr>
      <w:numPr>
        <w:numId w:val="5"/>
      </w:numPr>
    </w:pPr>
  </w:style>
  <w:style w:type="paragraph" w:styleId="ListNumber4">
    <w:name w:val="List Number 4"/>
    <w:basedOn w:val="List4"/>
    <w:rsid w:val="009B0416"/>
    <w:pPr>
      <w:numPr>
        <w:numId w:val="6"/>
      </w:numPr>
    </w:pPr>
  </w:style>
  <w:style w:type="paragraph" w:styleId="ListNumber5">
    <w:name w:val="List Number 5"/>
    <w:basedOn w:val="List5"/>
    <w:rsid w:val="009B0416"/>
    <w:pPr>
      <w:numPr>
        <w:numId w:val="7"/>
      </w:numPr>
    </w:pPr>
  </w:style>
  <w:style w:type="paragraph" w:styleId="BlockText">
    <w:name w:val="Block Text"/>
    <w:basedOn w:val="Normal"/>
    <w:rsid w:val="009B04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04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0416"/>
    <w:rPr>
      <w:sz w:val="16"/>
      <w:vertAlign w:val="superscript"/>
    </w:rPr>
  </w:style>
  <w:style w:type="character" w:customStyle="1" w:styleId="Symbols">
    <w:name w:val="Symbols"/>
    <w:basedOn w:val="DefaultParagraphFont"/>
    <w:rsid w:val="009B0416"/>
    <w:rPr>
      <w:rFonts w:ascii="Symbol" w:hAnsi="Symbol"/>
    </w:rPr>
  </w:style>
  <w:style w:type="character" w:customStyle="1" w:styleId="MenuOptions">
    <w:name w:val="Menu Options"/>
    <w:basedOn w:val="DefaultParagraphFont"/>
    <w:rsid w:val="009B04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0416"/>
    <w:rPr>
      <w:b/>
    </w:rPr>
  </w:style>
  <w:style w:type="character" w:customStyle="1" w:styleId="Underlined">
    <w:name w:val="Underlined"/>
    <w:basedOn w:val="DefaultParagraphFont"/>
    <w:rsid w:val="009B0416"/>
    <w:rPr>
      <w:u w:val="single"/>
    </w:rPr>
  </w:style>
  <w:style w:type="paragraph" w:customStyle="1" w:styleId="TableBodyTextRight">
    <w:name w:val="Table Body Text Right"/>
    <w:basedOn w:val="TableBodyText"/>
    <w:rsid w:val="009B04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0416"/>
    <w:rPr>
      <w:sz w:val="18"/>
    </w:rPr>
  </w:style>
  <w:style w:type="paragraph" w:customStyle="1" w:styleId="BodySmallRight">
    <w:name w:val="Body Small Right"/>
    <w:basedOn w:val="BodyTextRight"/>
    <w:rsid w:val="009B0416"/>
    <w:rPr>
      <w:sz w:val="18"/>
      <w:szCs w:val="18"/>
    </w:rPr>
  </w:style>
  <w:style w:type="paragraph" w:customStyle="1" w:styleId="MarginEdition">
    <w:name w:val="Margin Edition"/>
    <w:basedOn w:val="MarginNote"/>
    <w:rsid w:val="009B04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0416"/>
    <w:rPr>
      <w:sz w:val="2"/>
      <w:szCs w:val="2"/>
    </w:rPr>
  </w:style>
  <w:style w:type="character" w:customStyle="1" w:styleId="Small">
    <w:name w:val="Small"/>
    <w:basedOn w:val="DefaultParagraphFont"/>
    <w:rsid w:val="009B0416"/>
    <w:rPr>
      <w:sz w:val="16"/>
    </w:rPr>
  </w:style>
  <w:style w:type="paragraph" w:customStyle="1" w:styleId="WideTable">
    <w:name w:val="Wide Table"/>
    <w:basedOn w:val="Normal"/>
    <w:rsid w:val="009B04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0416"/>
  </w:style>
  <w:style w:type="paragraph" w:styleId="Quote">
    <w:name w:val="Quote"/>
    <w:basedOn w:val="Heading1"/>
    <w:link w:val="QuoteChar"/>
    <w:qFormat/>
    <w:rsid w:val="009B04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04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0416"/>
    <w:pPr>
      <w:pageBreakBefore/>
    </w:pPr>
  </w:style>
  <w:style w:type="paragraph" w:customStyle="1" w:styleId="Border">
    <w:name w:val="Border"/>
    <w:basedOn w:val="Normal"/>
    <w:qFormat/>
    <w:rsid w:val="009B04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04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04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4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04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04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04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04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04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0416"/>
    <w:rPr>
      <w:u w:val="single"/>
    </w:rPr>
  </w:style>
  <w:style w:type="character" w:customStyle="1" w:styleId="BoldandItalics">
    <w:name w:val="Bold and Italics"/>
    <w:qFormat/>
    <w:rsid w:val="009B0416"/>
    <w:rPr>
      <w:b/>
      <w:i/>
      <w:u w:val="none"/>
    </w:rPr>
  </w:style>
  <w:style w:type="paragraph" w:styleId="BalloonText">
    <w:name w:val="Balloon Text"/>
    <w:basedOn w:val="Normal"/>
    <w:link w:val="BalloonTextChar"/>
    <w:rsid w:val="009B04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04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04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04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04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04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0416"/>
    <w:pPr>
      <w:spacing w:before="0" w:after="0"/>
    </w:pPr>
  </w:style>
  <w:style w:type="paragraph" w:customStyle="1" w:styleId="BodyTextBold">
    <w:name w:val="Body Text Bold"/>
    <w:basedOn w:val="BodyText"/>
    <w:qFormat/>
    <w:rsid w:val="009B0416"/>
    <w:rPr>
      <w:b/>
    </w:rPr>
  </w:style>
  <w:style w:type="character" w:styleId="Hyperlink">
    <w:name w:val="Hyperlink"/>
    <w:basedOn w:val="DefaultParagraphFont"/>
    <w:uiPriority w:val="99"/>
    <w:unhideWhenUsed/>
    <w:rsid w:val="00272A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3924</Characters>
  <Application>Microsoft Office Word</Application>
  <DocSecurity>0</DocSecurity>
  <Lines>103</Lines>
  <Paragraphs>82</Paragraphs>
  <ScaleCrop>false</ScaleCrop>
  <Company>Author-it Software Corporation Ltd.</Company>
  <LinksUpToDate>false</LinksUpToDate>
  <CharactersWithSpaces>4393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UEGNSG306 Control gas processing, storage or regasification operations in an LNG storage facility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2022-12-09T01:10:00Z</dcterms:created>
  <dcterms:modified xsi:type="dcterms:W3CDTF">2022-12-09T01:10:00Z</dcterms:modified>
</cp:coreProperties>
</file>