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851" w:rsidP="00826851">
      <w:pPr>
        <w:pStyle w:val="Title"/>
      </w:pPr>
      <w:r>
        <w:fldChar w:fldCharType="begin"/>
      </w:r>
      <w:r>
        <w:instrText xml:space="preserve"> TITLE   \* MERGEFORMAT </w:instrText>
      </w:r>
      <w:r>
        <w:fldChar w:fldCharType="separate"/>
      </w:r>
      <w:r>
        <w:t>Assessment Requirements for UEGNSG301 Conduct emergency site control on gas transmission assets</w:t>
      </w:r>
      <w:r>
        <w:fldChar w:fldCharType="end"/>
      </w:r>
    </w:p>
    <w:p w:rsidR="00826851" w:rsidP="00826851">
      <w:pPr>
        <w:pStyle w:val="Version"/>
        <w:sectPr w:rsidSect="007F01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1AB" w:rsidP="007F01AB">
      <w:pPr>
        <w:pStyle w:val="SuperHeading"/>
      </w:pPr>
      <w:r w:rsidRPr="007F01AB">
        <w:t>Assessment Requirements for UEGNSG301 Conduct emergency site control on gas transmission assets</w:t>
      </w:r>
    </w:p>
    <w:p w:rsidR="00000000" w:rsidRPr="007F01AB" w:rsidP="007F01AB">
      <w:pPr>
        <w:pStyle w:val="Heading1"/>
      </w:pPr>
      <w:bookmarkStart w:id="1" w:name="O_1126951"/>
      <w:bookmarkEnd w:id="1"/>
      <w:r w:rsidRPr="007F01AB">
        <w:t>Modification History</w:t>
      </w:r>
    </w:p>
    <w:tbl>
      <w:tblPr>
        <w:tblW w:w="9497" w:type="dxa"/>
        <w:tblLayout w:type="fixed"/>
        <w:tblCellMar>
          <w:left w:w="62" w:type="dxa"/>
          <w:right w:w="62" w:type="dxa"/>
        </w:tblCellMar>
        <w:tblLook w:val="0000"/>
      </w:tblPr>
      <w:tblGrid>
        <w:gridCol w:w="9497"/>
      </w:tblGrid>
      <w:tr w:rsidTr="007F0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1AB" w:rsidP="007F01AB">
            <w:pPr>
              <w:pStyle w:val="BodyText"/>
            </w:pPr>
            <w:r w:rsidRPr="007F01AB">
              <w:t>Release 1. This is the first release of this unit of competency in the UEG - Gas Industry Training Package.</w:t>
            </w:r>
          </w:p>
        </w:tc>
      </w:tr>
    </w:tbl>
    <w:p w:rsidR="00000000" w:rsidRPr="007F01AB" w:rsidP="007F01AB">
      <w:pPr>
        <w:pStyle w:val="NoPaddingFontSize1"/>
      </w:pPr>
    </w:p>
    <w:p w:rsidR="00000000" w:rsidRPr="007F01AB" w:rsidP="007F01AB">
      <w:pPr>
        <w:pStyle w:val="AllowPageBreak"/>
      </w:pPr>
    </w:p>
    <w:p w:rsidR="00000000" w:rsidRPr="007F01AB" w:rsidP="007F01AB">
      <w:pPr>
        <w:pStyle w:val="Heading1"/>
      </w:pPr>
      <w:bookmarkStart w:id="2" w:name="O_1126952"/>
      <w:bookmarkEnd w:id="2"/>
      <w:r w:rsidRPr="007F01AB">
        <w:t>Performance Evidence</w:t>
      </w:r>
    </w:p>
    <w:tbl>
      <w:tblPr>
        <w:tblW w:w="9497" w:type="dxa"/>
        <w:tblLayout w:type="fixed"/>
        <w:tblCellMar>
          <w:left w:w="62" w:type="dxa"/>
          <w:right w:w="62" w:type="dxa"/>
        </w:tblCellMar>
        <w:tblLook w:val="0000"/>
      </w:tblPr>
      <w:tblGrid>
        <w:gridCol w:w="9497"/>
      </w:tblGrid>
      <w:tr w:rsidTr="007F0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01AB">
            <w:pPr>
              <w:pStyle w:val="BodyText"/>
              <w:rPr>
                <w:lang w:val="en-NZ"/>
              </w:rPr>
            </w:pPr>
            <w:r w:rsidRPr="007F01AB">
              <w:t xml:space="preserve">Evidence required to demonstrate competence in this unit must be relevant to and satisfy all of the requirements of the elements and performance criteria on at least two separate incident scenarios and include: </w:t>
            </w:r>
          </w:p>
        </w:tc>
      </w:tr>
      <w:tr w:rsidTr="007F0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1AB" w:rsidP="007F01AB">
            <w:pPr>
              <w:pStyle w:val="ListBullet"/>
            </w:pPr>
            <w:r w:rsidRPr="007F01AB">
              <w:t>analysing an</w:t>
            </w:r>
            <w:r w:rsidRPr="007F01AB">
              <w:t>d assessing incident information</w:t>
            </w:r>
          </w:p>
          <w:p w:rsidR="00000000" w:rsidRPr="007F01AB" w:rsidP="007F01AB">
            <w:pPr>
              <w:pStyle w:val="ListBullet"/>
            </w:pPr>
            <w:r w:rsidRPr="007F01AB">
              <w:t>applying contingency plans</w:t>
            </w:r>
          </w:p>
          <w:p w:rsidR="00000000" w:rsidRPr="007F01AB" w:rsidP="007F01AB">
            <w:pPr>
              <w:pStyle w:val="ListBullet"/>
            </w:pPr>
            <w:r w:rsidRPr="007F01AB">
              <w:t xml:space="preserve">applying environmental and sustainable energy principles and practices </w:t>
            </w:r>
          </w:p>
          <w:p w:rsidR="00000000" w:rsidRPr="007F01AB" w:rsidP="007F01AB">
            <w:pPr>
              <w:pStyle w:val="ListBullet"/>
            </w:pPr>
            <w:r w:rsidRPr="007F01AB">
              <w:t>applying planning skills</w:t>
            </w:r>
          </w:p>
          <w:p w:rsidR="00000000" w:rsidRPr="007F01AB" w:rsidP="007F01AB">
            <w:pPr>
              <w:pStyle w:val="ListBullet"/>
            </w:pPr>
            <w:r w:rsidRPr="007F01AB">
              <w:t>applying relevant legislation, standards, regulations and codes of practice</w:t>
            </w:r>
          </w:p>
          <w:p w:rsidR="00000000" w:rsidRPr="007F01AB" w:rsidP="007F01AB">
            <w:pPr>
              <w:pStyle w:val="ListBullet"/>
            </w:pPr>
            <w:r w:rsidRPr="007F01AB">
              <w:t xml:space="preserve">applying relevant work </w:t>
            </w:r>
            <w:r w:rsidRPr="007F01AB">
              <w:t>health and safety (WHS)/occupational health and safety (OHS) requirements, including:</w:t>
            </w:r>
          </w:p>
          <w:p w:rsidR="00000000" w:rsidRPr="007F01AB" w:rsidP="007F01AB">
            <w:pPr>
              <w:pStyle w:val="ListBullet2"/>
            </w:pPr>
            <w:r w:rsidRPr="007F01AB">
              <w:t>emergency response procedures</w:t>
            </w:r>
          </w:p>
          <w:p w:rsidR="00000000" w:rsidRPr="007F01AB" w:rsidP="007F01AB">
            <w:pPr>
              <w:pStyle w:val="ListBullet2"/>
            </w:pPr>
            <w:r w:rsidRPr="007F01AB">
              <w:t>hazard identification and reporting</w:t>
            </w:r>
          </w:p>
          <w:p w:rsidR="00000000" w:rsidRPr="007F01AB" w:rsidP="007F01AB">
            <w:pPr>
              <w:pStyle w:val="ListBullet2"/>
            </w:pPr>
            <w:r w:rsidRPr="007F01AB">
              <w:t>implementing risk control measures</w:t>
            </w:r>
          </w:p>
          <w:p w:rsidR="00000000" w:rsidRPr="007F01AB" w:rsidP="007F01AB">
            <w:pPr>
              <w:pStyle w:val="ListBullet2"/>
            </w:pPr>
            <w:r w:rsidRPr="007F01AB">
              <w:t>maintaining a suitable exclusion zone</w:t>
            </w:r>
          </w:p>
          <w:p w:rsidR="00000000" w:rsidRPr="007F01AB" w:rsidP="007F01AB">
            <w:pPr>
              <w:pStyle w:val="ListBullet2"/>
            </w:pPr>
            <w:r w:rsidRPr="007F01AB">
              <w:t xml:space="preserve">selecting and using correct personal protective equipment (PPE) </w:t>
            </w:r>
          </w:p>
          <w:p w:rsidR="00000000" w:rsidRPr="007F01AB" w:rsidP="007F01AB">
            <w:pPr>
              <w:pStyle w:val="ListBullet2"/>
            </w:pPr>
            <w:r w:rsidRPr="007F01AB">
              <w:t>working safely with hazardous materials and equipment</w:t>
            </w:r>
          </w:p>
          <w:p w:rsidR="00000000" w:rsidRPr="007F01AB" w:rsidP="007F01AB">
            <w:pPr>
              <w:pStyle w:val="ListBullet"/>
            </w:pPr>
            <w:r w:rsidRPr="007F01AB">
              <w:t>communicating and coordinating activities with relevant stakeholders, including:</w:t>
            </w:r>
          </w:p>
          <w:p w:rsidR="00000000" w:rsidRPr="007F01AB" w:rsidP="007F01AB">
            <w:pPr>
              <w:pStyle w:val="ListBullet2"/>
            </w:pPr>
            <w:r w:rsidRPr="007F01AB">
              <w:t>asset owners, land owners and users</w:t>
            </w:r>
          </w:p>
          <w:p w:rsidR="00000000" w:rsidRPr="007F01AB" w:rsidP="007F01AB">
            <w:pPr>
              <w:pStyle w:val="ListBullet2"/>
            </w:pPr>
            <w:r w:rsidRPr="007F01AB">
              <w:t>emergency response</w:t>
            </w:r>
            <w:r w:rsidRPr="007F01AB">
              <w:t xml:space="preserve"> organisations</w:t>
            </w:r>
          </w:p>
          <w:p w:rsidR="00000000" w:rsidRPr="007F01AB" w:rsidP="007F01AB">
            <w:pPr>
              <w:pStyle w:val="ListBullet2"/>
            </w:pPr>
            <w:r w:rsidRPr="007F01AB">
              <w:t>emergency response personnel</w:t>
            </w:r>
          </w:p>
          <w:p w:rsidR="00000000" w:rsidRPr="007F01AB" w:rsidP="007F01AB">
            <w:pPr>
              <w:pStyle w:val="ListBullet2"/>
            </w:pPr>
            <w:r w:rsidRPr="007F01AB">
              <w:t xml:space="preserve">emergency service managers </w:t>
            </w:r>
          </w:p>
          <w:p w:rsidR="00000000" w:rsidRPr="007F01AB" w:rsidP="007F01AB">
            <w:pPr>
              <w:pStyle w:val="ListBullet2"/>
            </w:pPr>
            <w:r w:rsidRPr="007F01AB">
              <w:t>police and fire responders</w:t>
            </w:r>
          </w:p>
          <w:p w:rsidR="00000000" w:rsidRPr="007F01AB" w:rsidP="007F01AB">
            <w:pPr>
              <w:pStyle w:val="ListBullet2"/>
            </w:pPr>
            <w:r w:rsidRPr="007F01AB">
              <w:t>regulatory bodies</w:t>
            </w:r>
          </w:p>
          <w:p w:rsidR="00000000" w:rsidRPr="007F01AB" w:rsidP="007F01AB">
            <w:pPr>
              <w:pStyle w:val="ListBullet2"/>
            </w:pPr>
            <w:r w:rsidRPr="007F01AB">
              <w:t>relevant customers and suppliers</w:t>
            </w:r>
          </w:p>
          <w:p w:rsidR="00000000" w:rsidRPr="007F01AB" w:rsidP="007F01AB">
            <w:pPr>
              <w:pStyle w:val="ListBullet2"/>
            </w:pPr>
            <w:r w:rsidRPr="007F01AB">
              <w:t>repair crew</w:t>
            </w:r>
          </w:p>
          <w:p w:rsidR="00000000" w:rsidRPr="007F01AB" w:rsidP="007F01AB">
            <w:pPr>
              <w:pStyle w:val="ListBullet2"/>
            </w:pPr>
            <w:r w:rsidRPr="007F01AB">
              <w:t>the media</w:t>
            </w:r>
          </w:p>
          <w:p w:rsidR="00000000" w:rsidRPr="007F01AB" w:rsidP="007F01AB">
            <w:pPr>
              <w:pStyle w:val="ListBullet2"/>
            </w:pPr>
            <w:r w:rsidRPr="007F01AB">
              <w:t>workplace colleagues</w:t>
            </w:r>
          </w:p>
          <w:p w:rsidR="00000000" w:rsidRPr="007F01AB" w:rsidP="007F01AB">
            <w:pPr>
              <w:pStyle w:val="ListBullet2"/>
            </w:pPr>
            <w:r w:rsidRPr="007F01AB">
              <w:t>workplace managers</w:t>
            </w:r>
          </w:p>
          <w:p w:rsidR="00000000" w:rsidRPr="007F01AB" w:rsidP="007F01AB">
            <w:pPr>
              <w:pStyle w:val="ListBullet"/>
            </w:pPr>
            <w:r w:rsidRPr="007F01AB">
              <w:t>communicating effectively in the workplace</w:t>
            </w:r>
          </w:p>
          <w:p w:rsidR="00000000" w:rsidRPr="007F01AB" w:rsidP="007F01AB">
            <w:pPr>
              <w:pStyle w:val="ListBullet"/>
            </w:pPr>
            <w:r w:rsidRPr="007F01AB">
              <w:t>completing procedures for managing critical incidents</w:t>
            </w:r>
          </w:p>
          <w:p w:rsidR="00000000" w:rsidRPr="007F01AB" w:rsidP="007F01AB">
            <w:pPr>
              <w:pStyle w:val="ListBullet"/>
            </w:pPr>
            <w:r w:rsidRPr="007F01AB">
              <w:t>completing relevant workplace documentation, reports and records</w:t>
            </w:r>
          </w:p>
          <w:p w:rsidR="00000000" w:rsidRPr="007F01AB" w:rsidP="007F01AB">
            <w:pPr>
              <w:pStyle w:val="ListBullet"/>
            </w:pPr>
            <w:r w:rsidRPr="007F01AB">
              <w:t>coordinating the recommissioning gas transmission system to operational conditions and notifying relevant stakeholders of completion of w</w:t>
            </w:r>
            <w:r w:rsidRPr="007F01AB">
              <w:t>ork</w:t>
            </w:r>
          </w:p>
          <w:p w:rsidR="00000000" w:rsidRPr="007F01AB" w:rsidP="007F01AB">
            <w:pPr>
              <w:pStyle w:val="ListBullet"/>
            </w:pPr>
            <w:r w:rsidRPr="007F01AB">
              <w:t>dealing with unplanned events and situations in accordance with workplace procedures in a manner that minimises risk to personnel and equipment</w:t>
            </w:r>
          </w:p>
          <w:p w:rsidR="00000000" w:rsidRPr="007F01AB" w:rsidP="007F01AB">
            <w:pPr>
              <w:pStyle w:val="ListBullet"/>
            </w:pPr>
            <w:r w:rsidRPr="007F01AB">
              <w:t>evaluating, responding and reporting threats and incidents to gas transmission assets</w:t>
            </w:r>
          </w:p>
          <w:p w:rsidR="00000000" w:rsidRPr="007F01AB" w:rsidP="007F01AB">
            <w:pPr>
              <w:pStyle w:val="ListBullet"/>
            </w:pPr>
            <w:r w:rsidRPr="007F01AB">
              <w:t xml:space="preserve">implementing incident </w:t>
            </w:r>
            <w:r w:rsidRPr="007F01AB">
              <w:t>response strategies</w:t>
            </w:r>
          </w:p>
          <w:p w:rsidR="00000000" w:rsidRPr="007F01AB" w:rsidP="007F01AB">
            <w:pPr>
              <w:pStyle w:val="ListBullet"/>
            </w:pPr>
            <w:r w:rsidRPr="007F01AB">
              <w:t>minimising threats to the public, pipeline, assets, facilities and environment</w:t>
            </w:r>
          </w:p>
          <w:p w:rsidR="00000000" w:rsidRPr="007F01AB" w:rsidP="007F01AB">
            <w:pPr>
              <w:pStyle w:val="ListBullet"/>
            </w:pPr>
            <w:r w:rsidRPr="007F01AB">
              <w:t>monitoring and assessing incident for changes</w:t>
            </w:r>
          </w:p>
          <w:p w:rsidR="00000000" w:rsidRPr="007F01AB" w:rsidP="007F01AB">
            <w:pPr>
              <w:pStyle w:val="ListBullet"/>
            </w:pPr>
            <w:r w:rsidRPr="007F01AB">
              <w:t>monitoring field work</w:t>
            </w:r>
          </w:p>
          <w:p w:rsidR="00000000" w:rsidRPr="007F01AB" w:rsidP="007F01AB">
            <w:pPr>
              <w:pStyle w:val="ListBullet"/>
            </w:pPr>
            <w:r w:rsidRPr="007F01AB">
              <w:t>operating communications equipment</w:t>
            </w:r>
          </w:p>
          <w:p w:rsidR="00000000" w:rsidRPr="007F01AB" w:rsidP="007F01AB">
            <w:pPr>
              <w:pStyle w:val="ListBullet"/>
            </w:pPr>
            <w:r w:rsidRPr="007F01AB">
              <w:t>participating in debrief</w:t>
            </w:r>
          </w:p>
          <w:p w:rsidR="00000000" w:rsidRPr="007F01AB" w:rsidP="007F01AB">
            <w:pPr>
              <w:pStyle w:val="ListBullet"/>
            </w:pPr>
            <w:r w:rsidRPr="007F01AB">
              <w:t>preparing and planning for coordination of repairs and modifications of gas transmission assets</w:t>
            </w:r>
          </w:p>
          <w:p w:rsidR="00000000" w:rsidRPr="007F01AB" w:rsidP="007F01AB">
            <w:pPr>
              <w:pStyle w:val="ListBullet"/>
            </w:pPr>
            <w:r w:rsidRPr="007F01AB">
              <w:t>preparing to manage critical incidents</w:t>
            </w:r>
          </w:p>
          <w:p w:rsidR="00000000" w:rsidRPr="007F01AB" w:rsidP="007F01AB">
            <w:pPr>
              <w:pStyle w:val="ListBullet"/>
            </w:pPr>
            <w:r w:rsidRPr="007F01AB">
              <w:t>responding correctly to alarms</w:t>
            </w:r>
          </w:p>
          <w:p w:rsidR="00000000" w:rsidRPr="007F01AB" w:rsidP="007F01AB">
            <w:pPr>
              <w:pStyle w:val="ListBullet"/>
            </w:pPr>
            <w:r w:rsidRPr="007F01AB">
              <w:t>updating records and drawings to reflect repairs/modifications</w:t>
            </w:r>
          </w:p>
          <w:p w:rsidR="00000000" w:rsidRPr="007F01AB" w:rsidP="007F01AB">
            <w:pPr>
              <w:pStyle w:val="ListBullet"/>
            </w:pPr>
            <w:r w:rsidRPr="007F01AB">
              <w:t>using relevant field permit</w:t>
            </w:r>
            <w:r w:rsidRPr="007F01AB">
              <w:t xml:space="preserve"> to work systems.</w:t>
            </w:r>
          </w:p>
        </w:tc>
      </w:tr>
    </w:tbl>
    <w:p w:rsidR="00826851" w:rsidP="007F01AB">
      <w:pPr>
        <w:pStyle w:val="NoPaddingFontSize1"/>
      </w:pPr>
    </w:p>
    <w:p w:rsidR="00826851" w:rsidP="007F01AB">
      <w:pPr>
        <w:pStyle w:val="NoPaddingFontSize1"/>
      </w:pPr>
    </w:p>
    <w:p w:rsidR="00000000" w:rsidRPr="007F01AB" w:rsidP="007F01AB">
      <w:pPr>
        <w:pStyle w:val="Heading1"/>
      </w:pPr>
      <w:bookmarkStart w:id="3" w:name="O_1126953"/>
      <w:bookmarkEnd w:id="3"/>
      <w:r w:rsidRPr="007F01AB">
        <w:t>Knowledge Evidence</w:t>
      </w:r>
    </w:p>
    <w:tbl>
      <w:tblPr>
        <w:tblW w:w="9497" w:type="dxa"/>
        <w:tblLayout w:type="fixed"/>
        <w:tblCellMar>
          <w:left w:w="62" w:type="dxa"/>
          <w:right w:w="62" w:type="dxa"/>
        </w:tblCellMar>
        <w:tblLook w:val="0000"/>
      </w:tblPr>
      <w:tblGrid>
        <w:gridCol w:w="9497"/>
      </w:tblGrid>
      <w:tr w:rsidTr="007F0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01AB">
            <w:pPr>
              <w:pStyle w:val="BodyText"/>
              <w:rPr>
                <w:lang w:val="en-NZ"/>
              </w:rPr>
            </w:pPr>
            <w:r w:rsidRPr="007F01AB">
              <w:t xml:space="preserve">Evidence required to demonstrate competence in this unit must be relevant to and satisfy all of the requirements of the elements and performance criteria and include knowledge of: </w:t>
            </w:r>
          </w:p>
        </w:tc>
      </w:tr>
      <w:tr w:rsidTr="007F0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1AB" w:rsidP="007F01AB">
            <w:pPr>
              <w:pStyle w:val="ListBullet"/>
            </w:pPr>
            <w:r w:rsidRPr="007F01AB">
              <w:t>awareness of s</w:t>
            </w:r>
            <w:r w:rsidRPr="007F01AB">
              <w:t>teel anomaly assessment and criteria</w:t>
            </w:r>
          </w:p>
          <w:p w:rsidR="00000000" w:rsidRPr="007F01AB" w:rsidP="007F01AB">
            <w:pPr>
              <w:pStyle w:val="ListBullet"/>
            </w:pPr>
            <w:r w:rsidRPr="007F01AB">
              <w:t>communication techniques required in a supervisory role</w:t>
            </w:r>
          </w:p>
          <w:p w:rsidR="00000000" w:rsidRPr="007F01AB" w:rsidP="007F01AB">
            <w:pPr>
              <w:pStyle w:val="ListBullet"/>
            </w:pPr>
            <w:r w:rsidRPr="007F01AB">
              <w:t>comply with environmental and cultural issues requirements</w:t>
            </w:r>
          </w:p>
          <w:p w:rsidR="00000000" w:rsidRPr="007F01AB" w:rsidP="007F01AB">
            <w:pPr>
              <w:pStyle w:val="ListBullet"/>
            </w:pPr>
            <w:r w:rsidRPr="007F01AB">
              <w:t>consideration for pressure reduction in consu</w:t>
            </w:r>
            <w:r w:rsidRPr="007F01AB">
              <w:t>ltation with relevant stakeholders, including automatic pressure reduction triggers</w:t>
            </w:r>
          </w:p>
          <w:p w:rsidR="00000000" w:rsidRPr="007F01AB" w:rsidP="007F01AB">
            <w:pPr>
              <w:pStyle w:val="ListBullet"/>
            </w:pPr>
            <w:r w:rsidRPr="007F01AB">
              <w:t>contingency plans</w:t>
            </w:r>
          </w:p>
          <w:p w:rsidR="00000000" w:rsidRPr="007F01AB" w:rsidP="007F01AB">
            <w:pPr>
              <w:pStyle w:val="ListBullet"/>
            </w:pPr>
            <w:r w:rsidRPr="007F01AB">
              <w:t>debriefs</w:t>
            </w:r>
          </w:p>
          <w:p w:rsidR="00000000" w:rsidRPr="007F01AB" w:rsidP="007F01AB">
            <w:pPr>
              <w:pStyle w:val="ListBullet"/>
            </w:pPr>
            <w:r w:rsidRPr="007F01AB">
              <w:t>emergency and accident situations</w:t>
            </w:r>
          </w:p>
          <w:p w:rsidR="00000000" w:rsidRPr="007F01AB" w:rsidP="007F01AB">
            <w:pPr>
              <w:pStyle w:val="ListBullet"/>
            </w:pPr>
            <w:r w:rsidRPr="007F01AB">
              <w:t>emergency management in the gas sector</w:t>
            </w:r>
          </w:p>
          <w:p w:rsidR="00000000" w:rsidRPr="007F01AB" w:rsidP="007F01AB">
            <w:pPr>
              <w:pStyle w:val="ListBullet"/>
            </w:pPr>
            <w:r w:rsidRPr="007F01AB">
              <w:t>emergency/incident control procedures</w:t>
            </w:r>
          </w:p>
          <w:p w:rsidR="00000000" w:rsidRPr="007F01AB" w:rsidP="007F01AB">
            <w:pPr>
              <w:pStyle w:val="ListBullet"/>
            </w:pPr>
            <w:r w:rsidRPr="007F01AB">
              <w:t>gas industry products, processes a</w:t>
            </w:r>
            <w:r w:rsidRPr="007F01AB">
              <w:t>nd characteristics</w:t>
            </w:r>
          </w:p>
          <w:p w:rsidR="00000000" w:rsidRPr="007F01AB" w:rsidP="007F01AB">
            <w:pPr>
              <w:pStyle w:val="ListBullet"/>
            </w:pPr>
            <w:r w:rsidRPr="007F01AB">
              <w:t>gas industry reports and documentation</w:t>
            </w:r>
          </w:p>
          <w:p w:rsidR="00000000" w:rsidRPr="007F01AB" w:rsidP="007F01AB">
            <w:pPr>
              <w:pStyle w:val="ListBullet"/>
            </w:pPr>
            <w:r w:rsidRPr="007F01AB">
              <w:t>general principles associated with pipelines and other gas infrastructure</w:t>
            </w:r>
          </w:p>
          <w:p w:rsidR="00000000" w:rsidRPr="007F01AB" w:rsidP="007F01AB">
            <w:pPr>
              <w:pStyle w:val="ListBullet"/>
            </w:pPr>
            <w:r w:rsidRPr="007F01AB">
              <w:t>hazards, risk assessments and control measures</w:t>
            </w:r>
          </w:p>
          <w:p w:rsidR="00000000" w:rsidRPr="007F01AB" w:rsidP="007F01AB">
            <w:pPr>
              <w:pStyle w:val="ListBullet"/>
            </w:pPr>
            <w:r w:rsidRPr="007F01AB">
              <w:t>identification of relevant gas industry plant, equipment materials, including</w:t>
            </w:r>
            <w:r w:rsidRPr="007F01AB">
              <w:t xml:space="preserve"> abnormal operating conditions </w:t>
            </w:r>
          </w:p>
          <w:p w:rsidR="00000000" w:rsidRPr="007F01AB" w:rsidP="007F01AB">
            <w:pPr>
              <w:pStyle w:val="ListBullet"/>
            </w:pPr>
            <w:r w:rsidRPr="007F01AB">
              <w:t>incident response strategies</w:t>
            </w:r>
          </w:p>
          <w:p w:rsidR="00000000" w:rsidRPr="007F01AB" w:rsidP="007F01AB">
            <w:pPr>
              <w:pStyle w:val="ListBullet"/>
            </w:pPr>
            <w:r w:rsidRPr="007F01AB">
              <w:t>pipeline operational parameters</w:t>
            </w:r>
          </w:p>
          <w:p w:rsidR="00000000" w:rsidRPr="007F01AB" w:rsidP="007F01AB">
            <w:pPr>
              <w:pStyle w:val="ListBullet"/>
            </w:pPr>
            <w:r w:rsidRPr="007F01AB">
              <w:t>problem-solving techniques</w:t>
            </w:r>
          </w:p>
          <w:p w:rsidR="00000000" w:rsidRPr="007F01AB" w:rsidP="007F01AB">
            <w:pPr>
              <w:pStyle w:val="ListBullet"/>
            </w:pPr>
            <w:r w:rsidRPr="007F01AB">
              <w:t xml:space="preserve">procedure for escalating emergencies </w:t>
            </w:r>
          </w:p>
          <w:p w:rsidR="00000000" w:rsidRPr="007F01AB" w:rsidP="007F01AB">
            <w:pPr>
              <w:pStyle w:val="ListBullet"/>
            </w:pPr>
            <w:r w:rsidRPr="007F01AB">
              <w:t>relevant gas industry documents</w:t>
            </w:r>
          </w:p>
          <w:p w:rsidR="00000000" w:rsidRPr="007F01AB" w:rsidP="007F01AB">
            <w:pPr>
              <w:pStyle w:val="ListBullet"/>
            </w:pPr>
            <w:r w:rsidRPr="007F01AB">
              <w:t>relevant legislation, standards, regulations and codes of practice</w:t>
            </w:r>
            <w:r w:rsidRPr="007F01AB">
              <w:t>, including AS 2885 Pipelines - Gas and liquid petroleum</w:t>
            </w:r>
          </w:p>
          <w:p w:rsidR="00000000" w:rsidRPr="007F01AB" w:rsidP="007F01AB">
            <w:pPr>
              <w:pStyle w:val="ListBullet"/>
            </w:pPr>
            <w:r w:rsidRPr="007F01AB">
              <w:t>relevant manufacturer specifications</w:t>
            </w:r>
          </w:p>
          <w:p w:rsidR="00000000" w:rsidRPr="007F01AB" w:rsidP="007F01AB">
            <w:pPr>
              <w:pStyle w:val="ListBullet"/>
            </w:pPr>
            <w:r w:rsidRPr="007F01AB">
              <w:t>relevant permits and notifications required</w:t>
            </w:r>
          </w:p>
          <w:p w:rsidR="00000000" w:rsidRPr="007F01AB" w:rsidP="007F01AB">
            <w:pPr>
              <w:pStyle w:val="ListBullet"/>
            </w:pPr>
            <w:r w:rsidRPr="007F01AB">
              <w:t>relevant safe work method statements (SWMS), job safety assessments and risk mitigation processes</w:t>
            </w:r>
          </w:p>
          <w:p w:rsidR="00000000" w:rsidRPr="007F01AB" w:rsidP="007F01AB">
            <w:pPr>
              <w:pStyle w:val="ListBullet"/>
            </w:pPr>
            <w:r w:rsidRPr="007F01AB">
              <w:t>relevant sections of the pipeline and associated standards and legislation, including AS 2885 Pipelines - Gas and liquid petroleum</w:t>
            </w:r>
          </w:p>
          <w:p w:rsidR="00000000" w:rsidRPr="007F01AB" w:rsidP="007F01AB">
            <w:pPr>
              <w:pStyle w:val="ListBullet"/>
            </w:pPr>
            <w:r w:rsidRPr="007F01AB">
              <w:t>relevant stakeholders, including:</w:t>
            </w:r>
          </w:p>
          <w:p w:rsidR="00000000" w:rsidRPr="007F01AB" w:rsidP="007F01AB">
            <w:pPr>
              <w:pStyle w:val="ListBullet2"/>
            </w:pPr>
            <w:r w:rsidRPr="007F01AB">
              <w:t>asset owners, land owners and users</w:t>
            </w:r>
          </w:p>
          <w:p w:rsidR="00000000" w:rsidRPr="007F01AB" w:rsidP="007F01AB">
            <w:pPr>
              <w:pStyle w:val="ListBullet2"/>
            </w:pPr>
            <w:r w:rsidRPr="007F01AB">
              <w:t>emergency response organisations</w:t>
            </w:r>
          </w:p>
          <w:p w:rsidR="00000000" w:rsidRPr="007F01AB" w:rsidP="007F01AB">
            <w:pPr>
              <w:pStyle w:val="ListBullet2"/>
            </w:pPr>
            <w:r w:rsidRPr="007F01AB">
              <w:t>emergency response pe</w:t>
            </w:r>
            <w:r w:rsidRPr="007F01AB">
              <w:t>rsonnel</w:t>
            </w:r>
          </w:p>
          <w:p w:rsidR="00000000" w:rsidRPr="007F01AB" w:rsidP="007F01AB">
            <w:pPr>
              <w:pStyle w:val="ListBullet2"/>
            </w:pPr>
            <w:r w:rsidRPr="007F01AB">
              <w:t xml:space="preserve">emergency service managers </w:t>
            </w:r>
          </w:p>
          <w:p w:rsidR="00000000" w:rsidRPr="007F01AB" w:rsidP="007F01AB">
            <w:pPr>
              <w:pStyle w:val="ListBullet2"/>
            </w:pPr>
            <w:r w:rsidRPr="007F01AB">
              <w:t>police and fire responders</w:t>
            </w:r>
          </w:p>
          <w:p w:rsidR="00000000" w:rsidRPr="007F01AB" w:rsidP="007F01AB">
            <w:pPr>
              <w:pStyle w:val="ListBullet2"/>
            </w:pPr>
            <w:r w:rsidRPr="007F01AB">
              <w:t>regulatory bodies</w:t>
            </w:r>
          </w:p>
          <w:p w:rsidR="00000000" w:rsidRPr="007F01AB" w:rsidP="007F01AB">
            <w:pPr>
              <w:pStyle w:val="ListBullet2"/>
            </w:pPr>
            <w:r w:rsidRPr="007F01AB">
              <w:t>relevant customers and suppliers</w:t>
            </w:r>
          </w:p>
          <w:p w:rsidR="00000000" w:rsidRPr="007F01AB" w:rsidP="007F01AB">
            <w:pPr>
              <w:pStyle w:val="ListBullet2"/>
            </w:pPr>
            <w:r w:rsidRPr="007F01AB">
              <w:t>repair crew</w:t>
            </w:r>
          </w:p>
          <w:p w:rsidR="00000000" w:rsidRPr="007F01AB" w:rsidP="007F01AB">
            <w:pPr>
              <w:pStyle w:val="ListBullet2"/>
            </w:pPr>
            <w:r w:rsidRPr="007F01AB">
              <w:t>the media</w:t>
            </w:r>
          </w:p>
          <w:p w:rsidR="00000000" w:rsidRPr="007F01AB" w:rsidP="007F01AB">
            <w:pPr>
              <w:pStyle w:val="ListBullet2"/>
            </w:pPr>
            <w:r w:rsidRPr="007F01AB">
              <w:t>workplace colleagues</w:t>
            </w:r>
          </w:p>
          <w:p w:rsidR="00000000" w:rsidRPr="007F01AB" w:rsidP="007F01AB">
            <w:pPr>
              <w:pStyle w:val="ListBullet2"/>
            </w:pPr>
            <w:r w:rsidRPr="007F01AB">
              <w:t>workplace managers</w:t>
            </w:r>
          </w:p>
          <w:p w:rsidR="00000000" w:rsidRPr="007F01AB" w:rsidP="007F01AB">
            <w:pPr>
              <w:pStyle w:val="ListBullet"/>
            </w:pPr>
            <w:r w:rsidRPr="007F01AB">
              <w:t>relevant WHS/OHS regulations, policies and procedures</w:t>
            </w:r>
          </w:p>
          <w:p w:rsidR="00000000" w:rsidRPr="007F01AB" w:rsidP="007F01AB">
            <w:pPr>
              <w:pStyle w:val="ListBullet"/>
            </w:pPr>
            <w:r w:rsidRPr="007F01AB">
              <w:t>relevant workplace documentation</w:t>
            </w:r>
          </w:p>
          <w:p w:rsidR="00000000" w:rsidRPr="007F01AB" w:rsidP="007F01AB">
            <w:pPr>
              <w:pStyle w:val="ListBullet"/>
            </w:pPr>
            <w:r w:rsidRPr="007F01AB">
              <w:t>relevant workplace policies and procedures</w:t>
            </w:r>
          </w:p>
          <w:p w:rsidR="00000000" w:rsidRPr="007F01AB" w:rsidP="007F01AB">
            <w:pPr>
              <w:pStyle w:val="ListBullet"/>
            </w:pPr>
            <w:r w:rsidRPr="007F01AB">
              <w:t>safe working practices for managing emergencies and critical incidents for gas infrastructure and assets</w:t>
            </w:r>
          </w:p>
          <w:p w:rsidR="00000000" w:rsidRPr="007F01AB" w:rsidP="007F01AB">
            <w:pPr>
              <w:pStyle w:val="ListBullet"/>
            </w:pPr>
            <w:r w:rsidRPr="007F01AB">
              <w:t>security breach procedures</w:t>
            </w:r>
          </w:p>
          <w:p w:rsidR="00000000" w:rsidRPr="007F01AB" w:rsidP="007F01AB">
            <w:pPr>
              <w:pStyle w:val="ListBullet"/>
            </w:pPr>
            <w:r w:rsidRPr="007F01AB">
              <w:t>strategies for dealing with difficult situations</w:t>
            </w:r>
            <w:r w:rsidRPr="007F01AB">
              <w:t>.</w:t>
            </w:r>
          </w:p>
        </w:tc>
      </w:tr>
    </w:tbl>
    <w:p w:rsidR="00000000" w:rsidRPr="007F01AB" w:rsidP="007F01AB">
      <w:pPr>
        <w:pStyle w:val="NoPaddingFontSize1"/>
      </w:pPr>
    </w:p>
    <w:p w:rsidR="00000000" w:rsidRPr="007F01AB" w:rsidP="007F01AB">
      <w:pPr>
        <w:pStyle w:val="AllowPageBreak"/>
      </w:pPr>
    </w:p>
    <w:p w:rsidR="00000000" w:rsidRPr="007F01AB" w:rsidP="007F01AB">
      <w:pPr>
        <w:pStyle w:val="Heading1"/>
      </w:pPr>
      <w:bookmarkStart w:id="4" w:name="O_1126954"/>
      <w:bookmarkEnd w:id="4"/>
      <w:r w:rsidRPr="007F01AB">
        <w:t>Assessment Conditions</w:t>
      </w:r>
    </w:p>
    <w:tbl>
      <w:tblPr>
        <w:tblW w:w="9497" w:type="dxa"/>
        <w:tblLayout w:type="fixed"/>
        <w:tblCellMar>
          <w:left w:w="62" w:type="dxa"/>
          <w:right w:w="62" w:type="dxa"/>
        </w:tblCellMar>
        <w:tblLook w:val="0000"/>
      </w:tblPr>
      <w:tblGrid>
        <w:gridCol w:w="9497"/>
      </w:tblGrid>
      <w:tr w:rsidTr="007F0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01AB" w:rsidP="007F01AB">
            <w:pPr>
              <w:pStyle w:val="BodyText"/>
            </w:pPr>
            <w:r w:rsidRPr="007F01AB">
              <w:t xml:space="preserve">Assessors must hold credentials specified within the Standards for Registered Training Organisations current at the time of assessment. </w:t>
            </w:r>
          </w:p>
          <w:p w:rsidR="00000000" w:rsidRPr="007F01AB" w:rsidP="007F01AB">
            <w:pPr>
              <w:pStyle w:val="BodyText"/>
            </w:pPr>
            <w:r w:rsidRPr="007F01AB">
              <w:t>Assessment must satisfy the Principles of Assessment and Rules of Evidence</w:t>
            </w:r>
            <w:r w:rsidRPr="007F01AB">
              <w:t xml:space="preserve"> and all regulatory requirements included within the Standards for Registered Training Organisations current at the time of assessment.</w:t>
            </w:r>
          </w:p>
          <w:p w:rsidR="00000000" w:rsidRPr="007F01AB" w:rsidP="007F01AB">
            <w:pPr>
              <w:pStyle w:val="BodyText"/>
            </w:pPr>
            <w:r w:rsidRPr="007F01AB">
              <w:t>Assessment must occur in simulated workplace operational situations that replicate workplace conditions.</w:t>
            </w:r>
          </w:p>
          <w:p w:rsidR="00000000" w:rsidRPr="007F01AB" w:rsidP="007F01AB">
            <w:pPr>
              <w:pStyle w:val="BodyText"/>
            </w:pPr>
            <w:r w:rsidRPr="007F01AB">
              <w:t>Assessment proc</w:t>
            </w:r>
            <w:r w:rsidRPr="007F01AB">
              <w:t>esses and techniques must be appropriate to the language, literacy and numeracy requirements of the work being performed and the needs of the candidate.</w:t>
            </w:r>
          </w:p>
          <w:p w:rsidR="00000000" w:rsidRPr="007F01AB" w:rsidP="007F01AB">
            <w:pPr>
              <w:pStyle w:val="BodyText"/>
            </w:pPr>
            <w:r w:rsidRPr="007F01AB">
              <w:t>Resources for assessment must include access to:</w:t>
            </w:r>
          </w:p>
          <w:p w:rsidR="00000000" w:rsidRPr="007F01AB" w:rsidP="007F01AB">
            <w:pPr>
              <w:pStyle w:val="ListBullet"/>
            </w:pPr>
            <w:r w:rsidRPr="007F01AB">
              <w:t>a range of relevant exercises, case studies and/or ot</w:t>
            </w:r>
            <w:r w:rsidRPr="007F01AB">
              <w:t>her simulations</w:t>
            </w:r>
          </w:p>
          <w:p w:rsidR="00000000" w:rsidRPr="007F01AB" w:rsidP="007F01AB">
            <w:pPr>
              <w:pStyle w:val="ListBullet"/>
            </w:pPr>
            <w:r w:rsidRPr="007F01AB">
              <w:t xml:space="preserve">relevant and appropriate materials, tools, equipment and personal protective equipment (PPE) currently used in industry </w:t>
            </w:r>
          </w:p>
          <w:p w:rsidR="00000000" w:rsidRPr="007F01AB" w:rsidP="007F01AB">
            <w:pPr>
              <w:pStyle w:val="ListBullet"/>
            </w:pPr>
            <w:r w:rsidRPr="007F01AB">
              <w:t>applicable documen</w:t>
            </w:r>
            <w:r w:rsidRPr="007F01AB">
              <w:t>tation, including workplace procedures, equipment specifications, regulations, codes of practice and operation manuals.</w:t>
            </w:r>
          </w:p>
        </w:tc>
      </w:tr>
    </w:tbl>
    <w:p w:rsidR="00000000" w:rsidRPr="007F01AB" w:rsidP="007F01AB">
      <w:pPr>
        <w:pStyle w:val="NoPaddingFontSize1"/>
      </w:pPr>
    </w:p>
    <w:p w:rsidR="00000000" w:rsidRPr="007F01AB" w:rsidP="007F01AB">
      <w:pPr>
        <w:pStyle w:val="AllowPageBreak"/>
      </w:pPr>
    </w:p>
    <w:p w:rsidR="00000000" w:rsidRPr="007F01AB" w:rsidP="007F01AB">
      <w:pPr>
        <w:pStyle w:val="Heading1"/>
      </w:pPr>
      <w:bookmarkStart w:id="5" w:name="O_1126957"/>
      <w:bookmarkEnd w:id="5"/>
      <w:r w:rsidRPr="007F01AB">
        <w:t>Links</w:t>
      </w:r>
    </w:p>
    <w:p w:rsidR="00000000" w:rsidRPr="007F01AB" w:rsidP="00826851">
      <w:pPr>
        <w:pStyle w:val="BodyText"/>
      </w:pPr>
      <w:r w:rsidRPr="007F01A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81422">
        <w:rPr>
          <w:rStyle w:val="Hyperlink"/>
        </w:rPr>
        <w:t>https://vetnet.gov.au/Pages/TrainingDocs.aspx?q=6a6c032e-ffcb-4f3d-8063-415efbd261e8</w:t>
      </w:r>
      <w:r>
        <w:fldChar w:fldCharType="end"/>
      </w:r>
    </w:p>
    <w:p w:rsidR="00000000" w:rsidRPr="007F01AB" w:rsidP="007F01AB"/>
    <w:sectPr w:rsidSect="007F01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AB" w:rsidRPr="00826851" w:rsidP="00826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51" w:rsidP="007F0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851" w:rsidP="007F01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6851" w:rsidP="007F01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1AB" w:rsidRPr="00826851" w:rsidP="008268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51" w:rsidRPr="002D2AF8" w:rsidP="007F01AB">
    <w:pPr>
      <w:pStyle w:val="Header"/>
      <w:framePr w:wrap="around"/>
    </w:pPr>
    <w:r>
      <w:fldChar w:fldCharType="begin"/>
    </w:r>
    <w:r>
      <w:instrText xml:space="preserve"> TITLE   \* MERGEFORMAT </w:instrText>
    </w:r>
    <w:r>
      <w:fldChar w:fldCharType="separate"/>
    </w:r>
    <w:r>
      <w:t>Assessment Requirements for UEGNSG301 Conduct emergency site control on gas transmission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26851" w:rsidP="007F0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EF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24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CF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1AB"/>
    <w:pPr>
      <w:spacing w:before="360" w:after="60"/>
      <w:outlineLvl w:val="0"/>
    </w:pPr>
    <w:rPr>
      <w:sz w:val="32"/>
    </w:rPr>
  </w:style>
  <w:style w:type="paragraph" w:styleId="Heading2">
    <w:name w:val="heading 2"/>
    <w:basedOn w:val="HeadingBase"/>
    <w:next w:val="BodyText"/>
    <w:link w:val="Heading2Char"/>
    <w:qFormat/>
    <w:rsid w:val="007F01AB"/>
    <w:pPr>
      <w:keepLines/>
      <w:spacing w:before="240" w:after="120"/>
      <w:outlineLvl w:val="1"/>
    </w:pPr>
    <w:rPr>
      <w:sz w:val="28"/>
      <w:szCs w:val="40"/>
    </w:rPr>
  </w:style>
  <w:style w:type="paragraph" w:styleId="Heading3">
    <w:name w:val="heading 3"/>
    <w:basedOn w:val="HeadingBase"/>
    <w:next w:val="BodyText"/>
    <w:link w:val="Heading3Char"/>
    <w:qFormat/>
    <w:rsid w:val="007F01AB"/>
    <w:pPr>
      <w:spacing w:before="180" w:after="120"/>
      <w:outlineLvl w:val="2"/>
    </w:pPr>
    <w:rPr>
      <w:spacing w:val="-10"/>
      <w:kern w:val="32"/>
    </w:rPr>
  </w:style>
  <w:style w:type="paragraph" w:styleId="Heading4">
    <w:name w:val="heading 4"/>
    <w:basedOn w:val="HeadingBase"/>
    <w:next w:val="BodyText"/>
    <w:link w:val="Heading4Char"/>
    <w:qFormat/>
    <w:rsid w:val="007F01AB"/>
    <w:pPr>
      <w:spacing w:before="160" w:after="120"/>
      <w:outlineLvl w:val="3"/>
    </w:pPr>
    <w:rPr>
      <w:sz w:val="22"/>
    </w:rPr>
  </w:style>
  <w:style w:type="paragraph" w:styleId="Heading5">
    <w:name w:val="heading 5"/>
    <w:basedOn w:val="HeadingBase"/>
    <w:next w:val="Normal"/>
    <w:link w:val="Heading5Char"/>
    <w:qFormat/>
    <w:rsid w:val="007F01AB"/>
    <w:pPr>
      <w:spacing w:before="80"/>
      <w:outlineLvl w:val="4"/>
    </w:pPr>
    <w:rPr>
      <w:color w:val="918585"/>
      <w:sz w:val="20"/>
    </w:rPr>
  </w:style>
  <w:style w:type="paragraph" w:styleId="Heading6">
    <w:name w:val="heading 6"/>
    <w:basedOn w:val="HeadingBase"/>
    <w:next w:val="Normal"/>
    <w:link w:val="Heading6Char"/>
    <w:qFormat/>
    <w:rsid w:val="007F01AB"/>
    <w:pPr>
      <w:spacing w:before="60"/>
      <w:outlineLvl w:val="5"/>
    </w:pPr>
    <w:rPr>
      <w:color w:val="918585"/>
      <w:sz w:val="20"/>
    </w:rPr>
  </w:style>
  <w:style w:type="paragraph" w:styleId="Heading7">
    <w:name w:val="heading 7"/>
    <w:basedOn w:val="Normal"/>
    <w:next w:val="Normal"/>
    <w:link w:val="Heading7Char"/>
    <w:qFormat/>
    <w:rsid w:val="007F01AB"/>
    <w:pPr>
      <w:ind w:left="720"/>
      <w:outlineLvl w:val="6"/>
    </w:pPr>
    <w:rPr>
      <w:i/>
    </w:rPr>
  </w:style>
  <w:style w:type="paragraph" w:styleId="Heading8">
    <w:name w:val="heading 8"/>
    <w:basedOn w:val="Normal"/>
    <w:next w:val="Normal"/>
    <w:link w:val="Heading8Char"/>
    <w:qFormat/>
    <w:rsid w:val="007F01AB"/>
    <w:pPr>
      <w:ind w:left="720"/>
      <w:outlineLvl w:val="7"/>
    </w:pPr>
    <w:rPr>
      <w:i/>
    </w:rPr>
  </w:style>
  <w:style w:type="paragraph" w:styleId="Heading9">
    <w:name w:val="heading 9"/>
    <w:basedOn w:val="Normal"/>
    <w:next w:val="Normal"/>
    <w:link w:val="Heading9Char"/>
    <w:qFormat/>
    <w:rsid w:val="007F01AB"/>
    <w:pPr>
      <w:ind w:left="720"/>
      <w:outlineLvl w:val="8"/>
    </w:pPr>
    <w:rPr>
      <w:i/>
    </w:rPr>
  </w:style>
  <w:style w:type="character" w:default="1" w:styleId="DefaultParagraphFont">
    <w:name w:val="Default Paragraph Font"/>
    <w:uiPriority w:val="1"/>
    <w:unhideWhenUsed/>
    <w:rsid w:val="007F0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1AB"/>
  </w:style>
  <w:style w:type="character" w:customStyle="1" w:styleId="Heading1Char">
    <w:name w:val="Heading 1 Char"/>
    <w:basedOn w:val="DefaultParagraphFont"/>
    <w:link w:val="Heading1"/>
    <w:rsid w:val="007F01AB"/>
    <w:rPr>
      <w:rFonts w:ascii="Times New Roman" w:eastAsia="Times New Roman" w:hAnsi="Times New Roman" w:cs="Times New Roman"/>
      <w:b/>
      <w:sz w:val="32"/>
      <w:szCs w:val="20"/>
      <w:lang w:eastAsia="en-US"/>
    </w:rPr>
  </w:style>
  <w:style w:type="paragraph" w:styleId="BodyText">
    <w:name w:val="Body Text"/>
    <w:basedOn w:val="Normal"/>
    <w:link w:val="BodyTextChar"/>
    <w:rsid w:val="007F01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1AB"/>
    <w:rPr>
      <w:rFonts w:ascii="Times New Roman" w:eastAsia="Times New Roman" w:hAnsi="Times New Roman" w:cs="Times New Roman"/>
      <w:sz w:val="24"/>
      <w:lang w:eastAsia="en-US"/>
    </w:rPr>
  </w:style>
  <w:style w:type="paragraph" w:styleId="ListBullet">
    <w:name w:val="List Bullet"/>
    <w:basedOn w:val="List"/>
    <w:rsid w:val="007F01AB"/>
    <w:pPr>
      <w:numPr>
        <w:numId w:val="12"/>
      </w:numPr>
      <w:tabs>
        <w:tab w:val="clear" w:pos="340"/>
      </w:tabs>
      <w:spacing w:before="40" w:after="40"/>
    </w:pPr>
  </w:style>
  <w:style w:type="paragraph" w:styleId="ListBullet2">
    <w:name w:val="List Bullet 2"/>
    <w:basedOn w:val="List2"/>
    <w:rsid w:val="007F01AB"/>
    <w:pPr>
      <w:numPr>
        <w:numId w:val="13"/>
      </w:numPr>
      <w:tabs>
        <w:tab w:val="clear" w:pos="680"/>
      </w:tabs>
    </w:pPr>
  </w:style>
  <w:style w:type="paragraph" w:customStyle="1" w:styleId="SuperHeading">
    <w:name w:val="SuperHeading"/>
    <w:basedOn w:val="Normal"/>
    <w:rsid w:val="007F01AB"/>
    <w:pPr>
      <w:spacing w:before="240" w:after="120"/>
      <w:outlineLvl w:val="0"/>
    </w:pPr>
    <w:rPr>
      <w:rFonts w:ascii="Times New Roman" w:hAnsi="Times New Roman"/>
      <w:b/>
      <w:sz w:val="32"/>
    </w:rPr>
  </w:style>
  <w:style w:type="paragraph" w:customStyle="1" w:styleId="AllowPageBreak">
    <w:name w:val="AllowPageBreak"/>
    <w:rsid w:val="007F01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0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1AB"/>
    <w:rPr>
      <w:rFonts w:ascii="Courier New" w:eastAsia="Times New Roman" w:hAnsi="Courier New" w:cs="Times New Roman"/>
      <w:i/>
      <w:szCs w:val="20"/>
      <w:lang w:eastAsia="en-US"/>
    </w:rPr>
  </w:style>
  <w:style w:type="paragraph" w:customStyle="1" w:styleId="HeadingBase">
    <w:name w:val="Heading Base"/>
    <w:rsid w:val="007F0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1AB"/>
    <w:pPr>
      <w:tabs>
        <w:tab w:val="right" w:leader="dot" w:pos="9072"/>
      </w:tabs>
      <w:ind w:left="567"/>
    </w:pPr>
    <w:rPr>
      <w:szCs w:val="22"/>
    </w:rPr>
  </w:style>
  <w:style w:type="paragraph" w:customStyle="1" w:styleId="TOCBase">
    <w:name w:val="TOC Base"/>
    <w:rsid w:val="007F0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1AB"/>
    <w:pPr>
      <w:tabs>
        <w:tab w:val="right" w:leader="dot" w:pos="9072"/>
      </w:tabs>
      <w:spacing w:before="40" w:after="40"/>
      <w:ind w:left="284"/>
    </w:pPr>
    <w:rPr>
      <w:rFonts w:ascii="Times New Roman" w:hAnsi="Times New Roman"/>
    </w:rPr>
  </w:style>
  <w:style w:type="paragraph" w:styleId="TOC1">
    <w:name w:val="toc 1"/>
    <w:basedOn w:val="TOCBase"/>
    <w:next w:val="Normal"/>
    <w:rsid w:val="007F01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1AB"/>
    <w:rPr>
      <w:rFonts w:ascii="Times New Roman" w:eastAsia="Times New Roman" w:hAnsi="Times New Roman" w:cs="Times New Roman"/>
      <w:sz w:val="16"/>
      <w:lang w:eastAsia="en-US"/>
    </w:rPr>
  </w:style>
  <w:style w:type="paragraph" w:styleId="Title">
    <w:name w:val="Title"/>
    <w:basedOn w:val="HeadingBase"/>
    <w:link w:val="TitleChar"/>
    <w:qFormat/>
    <w:rsid w:val="007F01AB"/>
    <w:pPr>
      <w:spacing w:before="5040"/>
      <w:jc w:val="center"/>
    </w:pPr>
    <w:rPr>
      <w:sz w:val="48"/>
      <w:szCs w:val="72"/>
      <w:lang w:val="en-US"/>
    </w:rPr>
  </w:style>
  <w:style w:type="character" w:customStyle="1" w:styleId="TitleChar">
    <w:name w:val="Title Char"/>
    <w:basedOn w:val="DefaultParagraphFont"/>
    <w:link w:val="Title"/>
    <w:rsid w:val="007F0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1AB"/>
    <w:pPr>
      <w:tabs>
        <w:tab w:val="left" w:pos="3600"/>
        <w:tab w:val="left" w:pos="3958"/>
      </w:tabs>
    </w:pPr>
  </w:style>
  <w:style w:type="paragraph" w:styleId="List">
    <w:name w:val="List"/>
    <w:basedOn w:val="BodyText"/>
    <w:next w:val="BodyText"/>
    <w:rsid w:val="007F01AB"/>
    <w:pPr>
      <w:tabs>
        <w:tab w:val="left" w:pos="340"/>
      </w:tabs>
      <w:spacing w:before="60" w:after="60"/>
      <w:ind w:left="340" w:hanging="340"/>
    </w:pPr>
  </w:style>
  <w:style w:type="paragraph" w:customStyle="1" w:styleId="Note">
    <w:name w:val="Note"/>
    <w:basedOn w:val="BodyText"/>
    <w:rsid w:val="007F01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01AB"/>
    <w:rPr>
      <w:b/>
      <w:spacing w:val="0"/>
    </w:rPr>
  </w:style>
  <w:style w:type="paragraph" w:customStyle="1" w:styleId="SuperTitle">
    <w:name w:val="SuperTitle"/>
    <w:basedOn w:val="Title"/>
    <w:rsid w:val="007F01AB"/>
    <w:pPr>
      <w:framePr w:wrap="auto" w:hAnchor="text" w:y="6049"/>
    </w:pPr>
    <w:rPr>
      <w:color w:val="000000"/>
      <w:sz w:val="40"/>
    </w:rPr>
  </w:style>
  <w:style w:type="paragraph" w:customStyle="1" w:styleId="TOCTitle">
    <w:name w:val="TOCTitle"/>
    <w:basedOn w:val="Heading1"/>
    <w:rsid w:val="007F01AB"/>
    <w:pPr>
      <w:spacing w:after="240"/>
      <w:jc w:val="center"/>
      <w:outlineLvl w:val="9"/>
    </w:pPr>
    <w:rPr>
      <w:caps/>
    </w:rPr>
  </w:style>
  <w:style w:type="paragraph" w:customStyle="1" w:styleId="Version">
    <w:name w:val="Version"/>
    <w:rsid w:val="007F01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1AB"/>
    <w:pPr>
      <w:keepNext w:val="0"/>
      <w:tabs>
        <w:tab w:val="right" w:pos="4176"/>
      </w:tabs>
      <w:ind w:left="198" w:hanging="198"/>
    </w:pPr>
    <w:rPr>
      <w:rFonts w:ascii="Garamond" w:hAnsi="Garamond"/>
    </w:rPr>
  </w:style>
  <w:style w:type="paragraph" w:styleId="IndexHeading">
    <w:name w:val="index heading"/>
    <w:basedOn w:val="Normal"/>
    <w:next w:val="Index1"/>
    <w:semiHidden/>
    <w:rsid w:val="007F01AB"/>
    <w:pPr>
      <w:spacing w:before="120" w:after="120"/>
    </w:pPr>
    <w:rPr>
      <w:rFonts w:ascii="Arial" w:hAnsi="Arial"/>
      <w:b/>
      <w:color w:val="918585"/>
      <w:sz w:val="24"/>
    </w:rPr>
  </w:style>
  <w:style w:type="paragraph" w:styleId="Header">
    <w:name w:val="header"/>
    <w:basedOn w:val="Normal"/>
    <w:link w:val="HeaderChar"/>
    <w:rsid w:val="007F0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1AB"/>
    <w:rPr>
      <w:rFonts w:ascii="Times New Roman" w:eastAsia="Times New Roman" w:hAnsi="Times New Roman" w:cs="Times New Roman"/>
      <w:sz w:val="16"/>
      <w:szCs w:val="20"/>
      <w:lang w:val="en-GB" w:eastAsia="en-US"/>
    </w:rPr>
  </w:style>
  <w:style w:type="paragraph" w:customStyle="1" w:styleId="Chapter">
    <w:name w:val="Chapter"/>
    <w:basedOn w:val="Normal"/>
    <w:rsid w:val="007F01AB"/>
    <w:pPr>
      <w:spacing w:before="240"/>
    </w:pPr>
    <w:rPr>
      <w:rFonts w:ascii="Times New Roman" w:hAnsi="Times New Roman"/>
      <w:smallCaps/>
      <w:spacing w:val="80"/>
      <w:sz w:val="28"/>
    </w:rPr>
  </w:style>
  <w:style w:type="paragraph" w:customStyle="1" w:styleId="InChapter">
    <w:name w:val="InChapter"/>
    <w:basedOn w:val="Heading3"/>
    <w:rsid w:val="007F01AB"/>
    <w:pPr>
      <w:spacing w:after="240"/>
      <w:outlineLvl w:val="9"/>
    </w:pPr>
    <w:rPr>
      <w:noProof/>
    </w:rPr>
  </w:style>
  <w:style w:type="paragraph" w:styleId="Index2">
    <w:name w:val="index 2"/>
    <w:basedOn w:val="Normal"/>
    <w:next w:val="Normal"/>
    <w:semiHidden/>
    <w:rsid w:val="007F01AB"/>
    <w:pPr>
      <w:tabs>
        <w:tab w:val="right" w:pos="4176"/>
      </w:tabs>
      <w:ind w:left="568" w:hanging="284"/>
    </w:pPr>
    <w:rPr>
      <w:rFonts w:ascii="Garamond" w:hAnsi="Garamond"/>
    </w:rPr>
  </w:style>
  <w:style w:type="paragraph" w:customStyle="1" w:styleId="Byline">
    <w:name w:val="Byline"/>
    <w:rsid w:val="007F0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1AB"/>
    <w:pPr>
      <w:tabs>
        <w:tab w:val="clear" w:pos="3600"/>
        <w:tab w:val="clear" w:pos="3958"/>
      </w:tabs>
      <w:jc w:val="right"/>
    </w:pPr>
  </w:style>
  <w:style w:type="character" w:styleId="Emphasis">
    <w:name w:val="Emphasis"/>
    <w:basedOn w:val="DefaultParagraphFont"/>
    <w:qFormat/>
    <w:rsid w:val="007F01AB"/>
    <w:rPr>
      <w:i/>
    </w:rPr>
  </w:style>
  <w:style w:type="paragraph" w:styleId="Caption">
    <w:name w:val="caption"/>
    <w:basedOn w:val="BodyText"/>
    <w:next w:val="Normal"/>
    <w:qFormat/>
    <w:rsid w:val="007F01AB"/>
    <w:pPr>
      <w:framePr w:w="2268" w:hSpace="181" w:vSpace="181" w:wrap="around" w:vAnchor="text" w:hAnchor="page" w:x="1135" w:y="285" w:anchorLock="1"/>
    </w:pPr>
    <w:rPr>
      <w:i/>
    </w:rPr>
  </w:style>
  <w:style w:type="paragraph" w:customStyle="1" w:styleId="MiniTOCTitle">
    <w:name w:val="MiniTOCTitle"/>
    <w:basedOn w:val="Heading4"/>
    <w:rsid w:val="007F01AB"/>
    <w:pPr>
      <w:spacing w:before="240"/>
      <w:outlineLvl w:val="9"/>
    </w:pPr>
    <w:rPr>
      <w:noProof/>
      <w:sz w:val="24"/>
    </w:rPr>
  </w:style>
  <w:style w:type="paragraph" w:customStyle="1" w:styleId="MiniTOCItem">
    <w:name w:val="MiniTOCItem"/>
    <w:basedOn w:val="ListBullet"/>
    <w:rsid w:val="007F01AB"/>
    <w:pPr>
      <w:numPr>
        <w:numId w:val="0"/>
      </w:numPr>
      <w:tabs>
        <w:tab w:val="right" w:leader="dot" w:pos="6521"/>
      </w:tabs>
      <w:spacing w:before="0" w:after="0"/>
    </w:pPr>
  </w:style>
  <w:style w:type="paragraph" w:customStyle="1" w:styleId="TOFTitle">
    <w:name w:val="TOFTitle"/>
    <w:basedOn w:val="TOCTitle"/>
    <w:rsid w:val="007F01AB"/>
  </w:style>
  <w:style w:type="paragraph" w:styleId="TableofFigures">
    <w:name w:val="table of figures"/>
    <w:basedOn w:val="Normal"/>
    <w:next w:val="Normal"/>
    <w:semiHidden/>
    <w:rsid w:val="007F01AB"/>
    <w:pPr>
      <w:tabs>
        <w:tab w:val="right" w:leader="dot" w:pos="9072"/>
      </w:tabs>
      <w:ind w:left="970" w:hanging="403"/>
    </w:pPr>
    <w:rPr>
      <w:rFonts w:ascii="Times New Roman" w:hAnsi="Times New Roman"/>
      <w:b/>
    </w:rPr>
  </w:style>
  <w:style w:type="paragraph" w:styleId="ListNumber">
    <w:name w:val="List Number"/>
    <w:basedOn w:val="List"/>
    <w:rsid w:val="007F01AB"/>
    <w:pPr>
      <w:numPr>
        <w:numId w:val="15"/>
      </w:numPr>
      <w:tabs>
        <w:tab w:val="clear" w:pos="340"/>
      </w:tabs>
    </w:pPr>
  </w:style>
  <w:style w:type="character" w:customStyle="1" w:styleId="WingdingSymbols">
    <w:name w:val="Wingding Symbols"/>
    <w:rsid w:val="007F01AB"/>
    <w:rPr>
      <w:rFonts w:ascii="Wingdings" w:hAnsi="Wingdings"/>
    </w:rPr>
  </w:style>
  <w:style w:type="paragraph" w:customStyle="1" w:styleId="TableHeading">
    <w:name w:val="Table Heading"/>
    <w:basedOn w:val="HeadingBase"/>
    <w:rsid w:val="007F01AB"/>
    <w:pPr>
      <w:keepLines/>
      <w:pBdr>
        <w:bottom w:val="single" w:sz="6" w:space="1" w:color="918585"/>
      </w:pBdr>
      <w:spacing w:before="240"/>
    </w:pPr>
  </w:style>
  <w:style w:type="character" w:customStyle="1" w:styleId="HotSpot">
    <w:name w:val="HotSpot"/>
    <w:rsid w:val="007F01AB"/>
    <w:rPr>
      <w:color w:val="0033CC"/>
      <w:u w:val="none"/>
    </w:rPr>
  </w:style>
  <w:style w:type="paragraph" w:customStyle="1" w:styleId="BodyTextRight">
    <w:name w:val="Body Text Right"/>
    <w:basedOn w:val="BodyText"/>
    <w:rsid w:val="007F01AB"/>
    <w:pPr>
      <w:spacing w:before="0" w:after="0"/>
      <w:jc w:val="right"/>
    </w:pPr>
  </w:style>
  <w:style w:type="paragraph" w:styleId="Index3">
    <w:name w:val="index 3"/>
    <w:basedOn w:val="ListNumber2"/>
    <w:next w:val="Normal"/>
    <w:semiHidden/>
    <w:rsid w:val="007F01AB"/>
    <w:pPr>
      <w:numPr>
        <w:numId w:val="0"/>
      </w:numPr>
      <w:tabs>
        <w:tab w:val="right" w:leader="dot" w:pos="4176"/>
      </w:tabs>
    </w:pPr>
  </w:style>
  <w:style w:type="paragraph" w:styleId="ListNumber2">
    <w:name w:val="List Number 2"/>
    <w:basedOn w:val="List2"/>
    <w:rsid w:val="007F01AB"/>
    <w:pPr>
      <w:numPr>
        <w:numId w:val="10"/>
      </w:numPr>
      <w:tabs>
        <w:tab w:val="clear" w:pos="1060"/>
      </w:tabs>
    </w:pPr>
  </w:style>
  <w:style w:type="paragraph" w:customStyle="1" w:styleId="MarginNote">
    <w:name w:val="Margin Note"/>
    <w:basedOn w:val="BodyText"/>
    <w:rsid w:val="007F0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1AB"/>
    <w:rPr>
      <w:sz w:val="32"/>
    </w:rPr>
  </w:style>
  <w:style w:type="paragraph" w:customStyle="1" w:styleId="HeadingProcedure">
    <w:name w:val="Heading Procedure"/>
    <w:basedOn w:val="HeadingBase"/>
    <w:next w:val="Normal"/>
    <w:rsid w:val="007F01AB"/>
    <w:pPr>
      <w:tabs>
        <w:tab w:val="left" w:pos="0"/>
      </w:tabs>
      <w:spacing w:before="120" w:after="60"/>
    </w:pPr>
    <w:rPr>
      <w:i/>
      <w:color w:val="918585"/>
      <w:sz w:val="22"/>
    </w:rPr>
  </w:style>
  <w:style w:type="paragraph" w:customStyle="1" w:styleId="TableBodyText">
    <w:name w:val="Table Body Text"/>
    <w:basedOn w:val="BodyText"/>
    <w:rsid w:val="007F01AB"/>
    <w:pPr>
      <w:spacing w:before="60" w:after="60"/>
    </w:pPr>
  </w:style>
  <w:style w:type="paragraph" w:styleId="ListContinue">
    <w:name w:val="List Continue"/>
    <w:basedOn w:val="List"/>
    <w:rsid w:val="007F01AB"/>
    <w:pPr>
      <w:ind w:firstLine="0"/>
    </w:pPr>
  </w:style>
  <w:style w:type="paragraph" w:customStyle="1" w:styleId="ListNote">
    <w:name w:val="List Note"/>
    <w:basedOn w:val="List"/>
    <w:rsid w:val="007F01AB"/>
    <w:pPr>
      <w:pBdr>
        <w:top w:val="single" w:sz="6" w:space="2" w:color="918585"/>
        <w:bottom w:val="single" w:sz="6" w:space="2" w:color="918585"/>
      </w:pBdr>
      <w:tabs>
        <w:tab w:val="left" w:pos="1021"/>
      </w:tabs>
      <w:ind w:firstLine="0"/>
    </w:pPr>
  </w:style>
  <w:style w:type="paragraph" w:customStyle="1" w:styleId="Warning">
    <w:name w:val="Warning"/>
    <w:basedOn w:val="BodyText"/>
    <w:rsid w:val="007F01AB"/>
    <w:pPr>
      <w:shd w:val="clear" w:color="auto" w:fill="D9D9D9"/>
      <w:tabs>
        <w:tab w:val="left" w:pos="992"/>
      </w:tabs>
      <w:ind w:left="119" w:right="119"/>
    </w:pPr>
    <w:rPr>
      <w:sz w:val="20"/>
    </w:rPr>
  </w:style>
  <w:style w:type="paragraph" w:customStyle="1" w:styleId="MarginIcons">
    <w:name w:val="Margin Icons"/>
    <w:basedOn w:val="BodyText"/>
    <w:rsid w:val="007F0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1AB"/>
    <w:rPr>
      <w:rFonts w:ascii="Courier New" w:hAnsi="Courier New"/>
    </w:rPr>
  </w:style>
  <w:style w:type="paragraph" w:customStyle="1" w:styleId="NoteBullet">
    <w:name w:val="Note Bullet"/>
    <w:basedOn w:val="Note"/>
    <w:rsid w:val="007F01AB"/>
    <w:pPr>
      <w:tabs>
        <w:tab w:val="clear" w:pos="680"/>
      </w:tabs>
      <w:spacing w:before="60" w:after="60"/>
    </w:pPr>
  </w:style>
  <w:style w:type="paragraph" w:customStyle="1" w:styleId="SubHeading2">
    <w:name w:val="SubHeading2"/>
    <w:basedOn w:val="HeadingBase"/>
    <w:rsid w:val="007F01AB"/>
    <w:pPr>
      <w:spacing w:before="240" w:after="60"/>
    </w:pPr>
    <w:rPr>
      <w:sz w:val="20"/>
    </w:rPr>
  </w:style>
  <w:style w:type="paragraph" w:customStyle="1" w:styleId="SubHeading1">
    <w:name w:val="SubHeading1"/>
    <w:basedOn w:val="HeadingBase"/>
    <w:rsid w:val="007F01AB"/>
    <w:pPr>
      <w:spacing w:before="240" w:after="60"/>
    </w:pPr>
    <w:rPr>
      <w:color w:val="918585"/>
      <w:sz w:val="22"/>
    </w:rPr>
  </w:style>
  <w:style w:type="paragraph" w:customStyle="1" w:styleId="SideHeading">
    <w:name w:val="Side Heading"/>
    <w:basedOn w:val="HeadingBase"/>
    <w:rsid w:val="007F0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1AB"/>
    <w:pPr>
      <w:tabs>
        <w:tab w:val="num" w:pos="360"/>
      </w:tabs>
    </w:pPr>
  </w:style>
  <w:style w:type="paragraph" w:styleId="PlainText">
    <w:name w:val="Plain Text"/>
    <w:basedOn w:val="Normal"/>
    <w:link w:val="PlainTextChar"/>
    <w:rsid w:val="007F01AB"/>
    <w:rPr>
      <w:sz w:val="20"/>
    </w:rPr>
  </w:style>
  <w:style w:type="character" w:customStyle="1" w:styleId="PlainTextChar">
    <w:name w:val="Plain Text Char"/>
    <w:basedOn w:val="DefaultParagraphFont"/>
    <w:link w:val="PlainText"/>
    <w:rsid w:val="007F01AB"/>
    <w:rPr>
      <w:rFonts w:ascii="Courier New" w:eastAsia="Times New Roman" w:hAnsi="Courier New" w:cs="Times New Roman"/>
      <w:sz w:val="20"/>
      <w:szCs w:val="20"/>
      <w:lang w:eastAsia="en-US"/>
    </w:rPr>
  </w:style>
  <w:style w:type="character" w:customStyle="1" w:styleId="MenuOption">
    <w:name w:val="Menu Option"/>
    <w:basedOn w:val="DefaultParagraphFont"/>
    <w:rsid w:val="007F01AB"/>
    <w:rPr>
      <w:b/>
      <w:smallCaps/>
    </w:rPr>
  </w:style>
  <w:style w:type="paragraph" w:customStyle="1" w:styleId="TableListNumber">
    <w:name w:val="Table List Number"/>
    <w:basedOn w:val="ListNumber"/>
    <w:rsid w:val="007F01AB"/>
    <w:pPr>
      <w:numPr>
        <w:numId w:val="0"/>
      </w:numPr>
    </w:pPr>
  </w:style>
  <w:style w:type="paragraph" w:styleId="TOC4">
    <w:name w:val="toc 4"/>
    <w:basedOn w:val="TOCBase"/>
    <w:next w:val="Normal"/>
    <w:semiHidden/>
    <w:rsid w:val="007F01AB"/>
    <w:pPr>
      <w:tabs>
        <w:tab w:val="right" w:leader="dot" w:pos="9071"/>
      </w:tabs>
      <w:ind w:left="1701"/>
    </w:pPr>
  </w:style>
  <w:style w:type="paragraph" w:customStyle="1" w:styleId="ListAlpha">
    <w:name w:val="List Alpha"/>
    <w:basedOn w:val="List"/>
    <w:rsid w:val="007F01AB"/>
    <w:pPr>
      <w:numPr>
        <w:numId w:val="9"/>
      </w:numPr>
    </w:pPr>
  </w:style>
  <w:style w:type="paragraph" w:customStyle="1" w:styleId="ListAlpha2">
    <w:name w:val="List Alpha 2"/>
    <w:basedOn w:val="List2"/>
    <w:rsid w:val="007F01AB"/>
    <w:pPr>
      <w:numPr>
        <w:numId w:val="8"/>
      </w:numPr>
    </w:pPr>
  </w:style>
  <w:style w:type="paragraph" w:styleId="List2">
    <w:name w:val="List 2"/>
    <w:basedOn w:val="BodyText"/>
    <w:rsid w:val="007F01AB"/>
    <w:pPr>
      <w:tabs>
        <w:tab w:val="left" w:pos="680"/>
      </w:tabs>
      <w:spacing w:before="60" w:after="60"/>
      <w:ind w:left="680" w:hanging="340"/>
    </w:pPr>
  </w:style>
  <w:style w:type="paragraph" w:styleId="List3">
    <w:name w:val="List 3"/>
    <w:basedOn w:val="BodyText"/>
    <w:rsid w:val="007F01AB"/>
    <w:pPr>
      <w:tabs>
        <w:tab w:val="left" w:pos="1021"/>
      </w:tabs>
      <w:spacing w:before="60" w:after="60"/>
      <w:ind w:left="1020" w:hanging="340"/>
    </w:pPr>
  </w:style>
  <w:style w:type="paragraph" w:styleId="List4">
    <w:name w:val="List 4"/>
    <w:basedOn w:val="BodyText"/>
    <w:rsid w:val="007F01AB"/>
    <w:pPr>
      <w:tabs>
        <w:tab w:val="left" w:pos="1361"/>
      </w:tabs>
      <w:spacing w:before="60" w:after="60"/>
      <w:ind w:left="1361" w:hanging="340"/>
    </w:pPr>
  </w:style>
  <w:style w:type="paragraph" w:styleId="List5">
    <w:name w:val="List 5"/>
    <w:basedOn w:val="BodyText"/>
    <w:rsid w:val="007F01AB"/>
    <w:pPr>
      <w:tabs>
        <w:tab w:val="left" w:pos="1701"/>
      </w:tabs>
      <w:spacing w:before="60" w:after="60"/>
      <w:ind w:left="1701" w:hanging="340"/>
    </w:pPr>
  </w:style>
  <w:style w:type="paragraph" w:styleId="ListBullet3">
    <w:name w:val="List Bullet 3"/>
    <w:basedOn w:val="List3"/>
    <w:rsid w:val="007F01AB"/>
    <w:pPr>
      <w:numPr>
        <w:numId w:val="14"/>
      </w:numPr>
      <w:tabs>
        <w:tab w:val="clear" w:pos="1021"/>
      </w:tabs>
      <w:ind w:left="1037" w:hanging="357"/>
    </w:pPr>
  </w:style>
  <w:style w:type="paragraph" w:styleId="ListBullet4">
    <w:name w:val="List Bullet 4"/>
    <w:basedOn w:val="List4"/>
    <w:rsid w:val="007F01AB"/>
    <w:pPr>
      <w:numPr>
        <w:numId w:val="3"/>
      </w:numPr>
      <w:tabs>
        <w:tab w:val="clear" w:pos="1361"/>
      </w:tabs>
    </w:pPr>
  </w:style>
  <w:style w:type="paragraph" w:styleId="ListBullet5">
    <w:name w:val="List Bullet 5"/>
    <w:basedOn w:val="List5"/>
    <w:rsid w:val="007F01AB"/>
    <w:pPr>
      <w:numPr>
        <w:numId w:val="4"/>
      </w:numPr>
    </w:pPr>
  </w:style>
  <w:style w:type="paragraph" w:styleId="ListContinue2">
    <w:name w:val="List Continue 2"/>
    <w:basedOn w:val="List2"/>
    <w:rsid w:val="007F01AB"/>
    <w:pPr>
      <w:ind w:firstLine="0"/>
    </w:pPr>
  </w:style>
  <w:style w:type="paragraph" w:styleId="ListContinue3">
    <w:name w:val="List Continue 3"/>
    <w:basedOn w:val="List3"/>
    <w:rsid w:val="007F01AB"/>
    <w:pPr>
      <w:ind w:left="1021" w:firstLine="0"/>
    </w:pPr>
  </w:style>
  <w:style w:type="paragraph" w:styleId="ListContinue4">
    <w:name w:val="List Continue 4"/>
    <w:basedOn w:val="List4"/>
    <w:rsid w:val="007F01AB"/>
    <w:pPr>
      <w:ind w:firstLine="0"/>
    </w:pPr>
  </w:style>
  <w:style w:type="paragraph" w:styleId="ListContinue5">
    <w:name w:val="List Continue 5"/>
    <w:basedOn w:val="List5"/>
    <w:rsid w:val="007F01AB"/>
    <w:pPr>
      <w:ind w:firstLine="0"/>
    </w:pPr>
  </w:style>
  <w:style w:type="paragraph" w:styleId="ListNumber3">
    <w:name w:val="List Number 3"/>
    <w:basedOn w:val="List3"/>
    <w:rsid w:val="007F01AB"/>
    <w:pPr>
      <w:numPr>
        <w:numId w:val="5"/>
      </w:numPr>
    </w:pPr>
  </w:style>
  <w:style w:type="paragraph" w:styleId="ListNumber4">
    <w:name w:val="List Number 4"/>
    <w:basedOn w:val="List4"/>
    <w:rsid w:val="007F01AB"/>
    <w:pPr>
      <w:numPr>
        <w:numId w:val="6"/>
      </w:numPr>
    </w:pPr>
  </w:style>
  <w:style w:type="paragraph" w:styleId="ListNumber5">
    <w:name w:val="List Number 5"/>
    <w:basedOn w:val="List5"/>
    <w:rsid w:val="007F01AB"/>
    <w:pPr>
      <w:numPr>
        <w:numId w:val="7"/>
      </w:numPr>
    </w:pPr>
  </w:style>
  <w:style w:type="paragraph" w:styleId="BlockText">
    <w:name w:val="Block Text"/>
    <w:basedOn w:val="Normal"/>
    <w:rsid w:val="007F01AB"/>
    <w:pPr>
      <w:spacing w:after="120"/>
      <w:ind w:left="1440" w:right="1440"/>
    </w:pPr>
  </w:style>
  <w:style w:type="character" w:customStyle="1" w:styleId="Subscript">
    <w:name w:val="Subscript"/>
    <w:basedOn w:val="DefaultParagraphFont"/>
    <w:rsid w:val="007F01AB"/>
    <w:rPr>
      <w:sz w:val="16"/>
      <w:vertAlign w:val="subscript"/>
    </w:rPr>
  </w:style>
  <w:style w:type="character" w:customStyle="1" w:styleId="Superscript">
    <w:name w:val="Superscript"/>
    <w:basedOn w:val="DefaultParagraphFont"/>
    <w:rsid w:val="007F01AB"/>
    <w:rPr>
      <w:sz w:val="16"/>
      <w:vertAlign w:val="superscript"/>
    </w:rPr>
  </w:style>
  <w:style w:type="character" w:customStyle="1" w:styleId="Symbols">
    <w:name w:val="Symbols"/>
    <w:basedOn w:val="DefaultParagraphFont"/>
    <w:rsid w:val="007F01AB"/>
    <w:rPr>
      <w:rFonts w:ascii="Symbol" w:hAnsi="Symbol"/>
    </w:rPr>
  </w:style>
  <w:style w:type="character" w:customStyle="1" w:styleId="MenuOptions">
    <w:name w:val="Menu Options"/>
    <w:basedOn w:val="DefaultParagraphFont"/>
    <w:rsid w:val="007F01AB"/>
    <w:rPr>
      <w:rFonts w:ascii="Arial Narrow" w:hAnsi="Arial Narrow"/>
      <w:smallCaps/>
    </w:rPr>
  </w:style>
  <w:style w:type="character" w:customStyle="1" w:styleId="Buttons">
    <w:name w:val="Buttons"/>
    <w:basedOn w:val="DefaultParagraphFont"/>
    <w:rsid w:val="007F01AB"/>
    <w:rPr>
      <w:b/>
    </w:rPr>
  </w:style>
  <w:style w:type="character" w:customStyle="1" w:styleId="Underlined">
    <w:name w:val="Underlined"/>
    <w:basedOn w:val="DefaultParagraphFont"/>
    <w:rsid w:val="007F01AB"/>
    <w:rPr>
      <w:u w:val="single"/>
    </w:rPr>
  </w:style>
  <w:style w:type="paragraph" w:customStyle="1" w:styleId="TableBodyTextRight">
    <w:name w:val="Table Body Text Right"/>
    <w:basedOn w:val="TableBodyText"/>
    <w:rsid w:val="007F01AB"/>
    <w:pPr>
      <w:widowControl w:val="0"/>
      <w:autoSpaceDE w:val="0"/>
      <w:autoSpaceDN w:val="0"/>
      <w:adjustRightInd w:val="0"/>
      <w:jc w:val="right"/>
    </w:pPr>
    <w:rPr>
      <w:rFonts w:cs="Arial"/>
      <w:szCs w:val="18"/>
    </w:rPr>
  </w:style>
  <w:style w:type="paragraph" w:customStyle="1" w:styleId="CopyrightText">
    <w:name w:val="Copyright Text"/>
    <w:basedOn w:val="BodyText"/>
    <w:rsid w:val="007F01AB"/>
    <w:rPr>
      <w:sz w:val="18"/>
    </w:rPr>
  </w:style>
  <w:style w:type="paragraph" w:customStyle="1" w:styleId="BodySmallRight">
    <w:name w:val="Body Small Right"/>
    <w:basedOn w:val="BodyTextRight"/>
    <w:rsid w:val="007F01AB"/>
    <w:rPr>
      <w:sz w:val="18"/>
      <w:szCs w:val="18"/>
    </w:rPr>
  </w:style>
  <w:style w:type="paragraph" w:customStyle="1" w:styleId="MarginEdition">
    <w:name w:val="Margin Edition"/>
    <w:basedOn w:val="MarginNote"/>
    <w:rsid w:val="007F01AB"/>
    <w:pPr>
      <w:spacing w:before="0" w:after="0"/>
    </w:pPr>
    <w:rPr>
      <w:rFonts w:ascii="Times New Roman" w:hAnsi="Times New Roman"/>
      <w:color w:val="999999"/>
    </w:rPr>
  </w:style>
  <w:style w:type="paragraph" w:customStyle="1" w:styleId="Spacer">
    <w:name w:val="Spacer"/>
    <w:basedOn w:val="Normal"/>
    <w:rsid w:val="007F01AB"/>
    <w:rPr>
      <w:sz w:val="2"/>
      <w:szCs w:val="2"/>
    </w:rPr>
  </w:style>
  <w:style w:type="character" w:customStyle="1" w:styleId="Small">
    <w:name w:val="Small"/>
    <w:basedOn w:val="DefaultParagraphFont"/>
    <w:rsid w:val="007F01AB"/>
    <w:rPr>
      <w:sz w:val="16"/>
    </w:rPr>
  </w:style>
  <w:style w:type="paragraph" w:customStyle="1" w:styleId="WideTable">
    <w:name w:val="Wide Table"/>
    <w:basedOn w:val="Normal"/>
    <w:rsid w:val="007F01AB"/>
    <w:pPr>
      <w:ind w:left="-1418"/>
    </w:pPr>
    <w:rPr>
      <w:sz w:val="2"/>
      <w:szCs w:val="2"/>
    </w:rPr>
  </w:style>
  <w:style w:type="character" w:styleId="PageNumber">
    <w:name w:val="page number"/>
    <w:basedOn w:val="DefaultParagraphFont"/>
    <w:rsid w:val="007F01AB"/>
  </w:style>
  <w:style w:type="paragraph" w:styleId="Quote">
    <w:name w:val="Quote"/>
    <w:basedOn w:val="Heading1"/>
    <w:link w:val="QuoteChar"/>
    <w:qFormat/>
    <w:rsid w:val="007F01AB"/>
    <w:rPr>
      <w:b w:val="0"/>
      <w:sz w:val="72"/>
      <w:szCs w:val="72"/>
      <w:lang w:val="en-NZ"/>
    </w:rPr>
  </w:style>
  <w:style w:type="character" w:customStyle="1" w:styleId="QuoteChar">
    <w:name w:val="Quote Char"/>
    <w:basedOn w:val="DefaultParagraphFont"/>
    <w:link w:val="Quote"/>
    <w:rsid w:val="007F0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1AB"/>
    <w:pPr>
      <w:pageBreakBefore/>
    </w:pPr>
  </w:style>
  <w:style w:type="paragraph" w:customStyle="1" w:styleId="Border">
    <w:name w:val="Border"/>
    <w:basedOn w:val="Normal"/>
    <w:qFormat/>
    <w:rsid w:val="007F0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1AB"/>
    <w:rPr>
      <w:b/>
      <w:bCs/>
      <w:i/>
      <w:iCs/>
      <w:color w:val="auto"/>
    </w:rPr>
  </w:style>
  <w:style w:type="paragraph" w:styleId="IntenseQuote">
    <w:name w:val="Intense Quote"/>
    <w:basedOn w:val="Normal"/>
    <w:next w:val="Normal"/>
    <w:link w:val="IntenseQuoteChar"/>
    <w:uiPriority w:val="30"/>
    <w:qFormat/>
    <w:rsid w:val="007F0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1AB"/>
    <w:rPr>
      <w:smallCaps/>
      <w:color w:val="auto"/>
      <w:u w:val="single"/>
    </w:rPr>
  </w:style>
  <w:style w:type="character" w:styleId="IntenseReference">
    <w:name w:val="Intense Reference"/>
    <w:basedOn w:val="DefaultParagraphFont"/>
    <w:uiPriority w:val="32"/>
    <w:qFormat/>
    <w:rsid w:val="007F01AB"/>
    <w:rPr>
      <w:b/>
      <w:bCs/>
      <w:smallCaps/>
      <w:color w:val="auto"/>
      <w:spacing w:val="5"/>
      <w:u w:val="single"/>
    </w:rPr>
  </w:style>
  <w:style w:type="paragraph" w:customStyle="1" w:styleId="2ColumnHeading">
    <w:name w:val="2Column Heading"/>
    <w:basedOn w:val="BodyText"/>
    <w:qFormat/>
    <w:rsid w:val="007F01AB"/>
    <w:pPr>
      <w:spacing w:after="60"/>
      <w:ind w:left="-2268"/>
    </w:pPr>
    <w:rPr>
      <w:b/>
    </w:rPr>
  </w:style>
  <w:style w:type="paragraph" w:customStyle="1" w:styleId="Heading1TOC">
    <w:name w:val="Heading1 TOC"/>
    <w:basedOn w:val="Normal"/>
    <w:qFormat/>
    <w:rsid w:val="007F01AB"/>
    <w:pPr>
      <w:spacing w:before="240" w:after="120"/>
    </w:pPr>
    <w:rPr>
      <w:rFonts w:ascii="Times New Roman" w:hAnsi="Times New Roman"/>
      <w:b/>
      <w:sz w:val="32"/>
    </w:rPr>
  </w:style>
  <w:style w:type="paragraph" w:customStyle="1" w:styleId="Heading2TOC">
    <w:name w:val="Heading2 TOC"/>
    <w:basedOn w:val="Normal"/>
    <w:qFormat/>
    <w:rsid w:val="007F01AB"/>
    <w:pPr>
      <w:spacing w:before="240" w:after="60"/>
    </w:pPr>
    <w:rPr>
      <w:rFonts w:ascii="Times New Roman" w:hAnsi="Times New Roman"/>
      <w:b/>
      <w:sz w:val="28"/>
    </w:rPr>
  </w:style>
  <w:style w:type="character" w:customStyle="1" w:styleId="Underline">
    <w:name w:val="Underline"/>
    <w:basedOn w:val="DefaultParagraphFont"/>
    <w:qFormat/>
    <w:rsid w:val="007F01AB"/>
    <w:rPr>
      <w:u w:val="single"/>
    </w:rPr>
  </w:style>
  <w:style w:type="character" w:customStyle="1" w:styleId="BoldandItalics">
    <w:name w:val="Bold and Italics"/>
    <w:qFormat/>
    <w:rsid w:val="007F01AB"/>
    <w:rPr>
      <w:b/>
      <w:i/>
      <w:u w:val="none"/>
    </w:rPr>
  </w:style>
  <w:style w:type="paragraph" w:styleId="BalloonText">
    <w:name w:val="Balloon Text"/>
    <w:basedOn w:val="Normal"/>
    <w:link w:val="BalloonTextChar"/>
    <w:rsid w:val="007F01AB"/>
    <w:rPr>
      <w:rFonts w:ascii="Tahoma" w:hAnsi="Tahoma" w:cs="Tahoma"/>
      <w:sz w:val="16"/>
      <w:szCs w:val="16"/>
    </w:rPr>
  </w:style>
  <w:style w:type="character" w:customStyle="1" w:styleId="BalloonTextChar">
    <w:name w:val="Balloon Text Char"/>
    <w:basedOn w:val="DefaultParagraphFont"/>
    <w:link w:val="BalloonText"/>
    <w:rsid w:val="007F0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1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1AB"/>
    <w:rPr>
      <w:b/>
      <w:color w:val="660033"/>
      <w:spacing w:val="0"/>
    </w:rPr>
  </w:style>
  <w:style w:type="paragraph" w:customStyle="1" w:styleId="Nameditemlist">
    <w:name w:val="Named item list"/>
    <w:basedOn w:val="BodyText"/>
    <w:qFormat/>
    <w:rsid w:val="007F01AB"/>
    <w:pPr>
      <w:tabs>
        <w:tab w:val="left" w:pos="2835"/>
      </w:tabs>
      <w:ind w:left="2835" w:hanging="2835"/>
    </w:pPr>
  </w:style>
  <w:style w:type="paragraph" w:customStyle="1" w:styleId="BodyTextnopadding">
    <w:name w:val="Body Text no padding"/>
    <w:basedOn w:val="BodyText"/>
    <w:qFormat/>
    <w:rsid w:val="007F01AB"/>
    <w:pPr>
      <w:spacing w:before="0" w:after="0"/>
    </w:pPr>
  </w:style>
  <w:style w:type="paragraph" w:customStyle="1" w:styleId="BodyTextBold">
    <w:name w:val="Body Text Bold"/>
    <w:basedOn w:val="BodyText"/>
    <w:qFormat/>
    <w:rsid w:val="007F01AB"/>
    <w:rPr>
      <w:b/>
    </w:rPr>
  </w:style>
  <w:style w:type="character" w:styleId="Hyperlink">
    <w:name w:val="Hyperlink"/>
    <w:basedOn w:val="DefaultParagraphFont"/>
    <w:uiPriority w:val="99"/>
    <w:unhideWhenUsed/>
    <w:rsid w:val="008268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5345</Characters>
  <Application>Microsoft Office Word</Application>
  <DocSecurity>0</DocSecurity>
  <Lines>140</Lines>
  <Paragraphs>119</Paragraphs>
  <ScaleCrop>false</ScaleCrop>
  <Company>Author-it Software Corporation Ltd.</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UEGNSG301 Conduct emergency site control on gas transmission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