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D12" w:rsidP="00FC7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UEGNSG219 Conduct excavations in the utilities industry</w:t>
      </w:r>
      <w:r>
        <w:fldChar w:fldCharType="end"/>
      </w:r>
    </w:p>
    <w:p w:rsidR="00FC7D12" w:rsidP="00FC7D12">
      <w:pPr>
        <w:pStyle w:val="Version"/>
        <w:sectPr w:rsidSect="00E40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163" w:rsidP="00E40163">
      <w:pPr>
        <w:pStyle w:val="SuperHeading"/>
      </w:pPr>
      <w:r w:rsidRPr="00E40163">
        <w:t>UEGNSG219 Conduct excavations in the utilities industry</w:t>
      </w:r>
    </w:p>
    <w:p w:rsidR="00000000" w:rsidRPr="00E40163" w:rsidP="00E40163">
      <w:pPr>
        <w:pStyle w:val="Heading1"/>
      </w:pPr>
      <w:bookmarkStart w:id="1" w:name="O_966661"/>
      <w:bookmarkEnd w:id="1"/>
      <w:r w:rsidRPr="00E401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Release 1. This is the first release of this unit of competency in the UEG Gas Industry Training Package.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2" w:name="O_966662"/>
      <w:bookmarkEnd w:id="2"/>
      <w:r w:rsidRPr="00E401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This unit involves the skills and knowledge required to prepare, conduct and compl</w:t>
            </w:r>
            <w:r w:rsidRPr="00E40163">
              <w:t>ete excavation work and relevant documentation in the utilities industry.</w:t>
            </w:r>
          </w:p>
          <w:p w:rsidR="00000000" w:rsidRPr="00E40163" w:rsidP="00E40163">
            <w:pPr>
              <w:pStyle w:val="BodyText"/>
            </w:pPr>
            <w:r w:rsidRPr="00E40163">
              <w:t>It includes site preparation and planning, including traffic control, and excavation and back filling work in accordance with relevant legislation, industry standards, codes of pract</w:t>
            </w:r>
            <w:r w:rsidRPr="00E40163">
              <w:t>ice and workplace procedures.</w:t>
            </w:r>
          </w:p>
          <w:p w:rsidR="00000000" w:rsidRPr="00E40163" w:rsidP="00E40163">
            <w:pPr>
              <w:pStyle w:val="BodyText"/>
            </w:pPr>
            <w:r w:rsidRPr="00E40163">
              <w:t>No licensing, legislative or certification requirements apply to this unit at the time of publication.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3" w:name="O_966663"/>
      <w:bookmarkEnd w:id="3"/>
      <w:r w:rsidRPr="00E401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Not applicable.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4" w:name="O_966664"/>
      <w:bookmarkEnd w:id="4"/>
      <w:r w:rsidRPr="00E401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 xml:space="preserve">Transmission and Distribution 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5" w:name="O_966665"/>
      <w:bookmarkEnd w:id="5"/>
      <w:r w:rsidRPr="00E401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Gas Industry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6" w:name="O_966666"/>
      <w:bookmarkEnd w:id="6"/>
      <w:r w:rsidRPr="00E4016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PERFORMANCE CRITERIA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Performance criteria describe the performance needed to demonstrate achievement of the element.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>Prepare to conduct excavation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Work health and safety (</w:t>
            </w:r>
            <w:r w:rsidRPr="00E40163">
              <w:t>WHS)/occupational health and safety (OHS) and environmental measures for the site are identified, obtained and applied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Job requirements and workplace procedures for the site are discussed with relevant person/</w:t>
            </w:r>
            <w:r w:rsidRPr="00E40163">
              <w:t xml:space="preserve">s to confirm the work </w:t>
            </w:r>
            <w:r w:rsidRPr="00E40163">
              <w:t>schedule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Hazards are identified and reported to the supervisor to assess risks and control measures implemented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Scope of responsibility under the relevant work permit and/or relevant authorisation is obtained and confirmed with relevant person/s in accordance with job requirements and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Equipment, tools, excavation machinery and personal pr</w:t>
            </w:r>
            <w:r w:rsidRPr="00E40163">
              <w:t xml:space="preserve">otective equipment (PPE) required for the excavation work are identified, obtained and checked for correct operation and safety in accordance with manufacturer instructions and workplace procedures 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Materials, plans, diagrams, maps, drawings and res</w:t>
            </w:r>
            <w:r w:rsidRPr="00E40163">
              <w:t>ources required for the excavation are obtained and confirmed with relevant person/s and against job requirements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Responsibilities for safety and emergency procedures for an incident at the work site are check</w:t>
            </w:r>
            <w:r w:rsidRPr="00E40163">
              <w:t>ed and confirmed with relevant person/s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Client issues are referred to relevant person/s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Location of other utility services, site preparation and work schedule are confirmed against job requirements and relevant maps, diagrams and plans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Traffic management signs, barriers and warning devices are c</w:t>
            </w:r>
            <w:r w:rsidRPr="00E40163">
              <w:t>onfirmed as correctly positioned with relevant person/s in accordance with job requirements, traffic management plans and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>Conduct excavation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WHS/OHS risk control measures, schedule of work and workplace procedures for carrying out work are followed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 xml:space="preserve">Materials, tools, plant and equipment for the excavation work are selected and used safely in accordance with manufacturer instructions and </w:t>
            </w:r>
            <w:r w:rsidRPr="00E40163">
              <w:t>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 xml:space="preserve">Hazardous activities associated with excavation work are conducted in accordance with job instructions, safety </w:t>
            </w:r>
            <w:r w:rsidRPr="00E40163">
              <w:t>requirements and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Excavation work, shoring and trenching, is carried out to industry stand</w:t>
            </w:r>
            <w:r w:rsidRPr="00E40163">
              <w:t>ards, without waste of materials or damage to apparatus, equipment, and the surrounding environment or services using sustainable energy principles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WHS/OHS risks, incidents and unplanned events are reported to authorised person/s for directions in a</w:t>
            </w:r>
            <w:r w:rsidRPr="00E40163">
              <w:t>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Quality and safety checks are carried out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rPr>
                <w:rStyle w:val="SpecialBold"/>
              </w:rPr>
              <w:t>Complete excavation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 xml:space="preserve">WHS/OHS risk control </w:t>
            </w:r>
            <w:r w:rsidRPr="00E40163">
              <w:t>measures for work completion are reviewed, monitored and followed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Backfilling is performed, work site rehabilitated, tidied, made safe and markers installed or re-instated in accordance with work schedule and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Tools, plant</w:t>
            </w:r>
            <w:r w:rsidRPr="00E40163">
              <w:t>, equipment and any surplus resources and materials are cleaned, checked and securely stored in accordance with workplace procedures.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t>Relevant person/s are notified of work completion in accordance with workplace procedures</w:t>
            </w:r>
          </w:p>
        </w:tc>
      </w:tr>
      <w:tr w:rsidTr="00E40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163">
            <w:pPr>
              <w:pStyle w:val="BodyText"/>
              <w:rPr>
                <w:lang w:val="en-NZ"/>
              </w:rPr>
            </w:pPr>
            <w:r w:rsidRPr="00E4016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Documentation is completed and provided to relevant person/s in accordance with workplace procedures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7" w:name="O_966667"/>
      <w:bookmarkEnd w:id="7"/>
      <w:r w:rsidRPr="00E401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Foundation skills essential to performance are explicit in the performance criteria of this unit of competency.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8" w:name="O_966668"/>
      <w:bookmarkEnd w:id="8"/>
      <w:r w:rsidRPr="00E401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Range is restricted to essential operating conditions and any other variables essential to the work environment.</w:t>
            </w:r>
          </w:p>
          <w:p w:rsidR="00000000" w:rsidRPr="00E40163" w:rsidP="00E40163">
            <w:pPr>
              <w:pStyle w:val="BodyText"/>
            </w:pPr>
            <w:r w:rsidRPr="00E40163">
              <w:t>Non-essential conditions may be found in the UEG Gas Industry Training Package Companion Volume Implementation</w:t>
            </w:r>
            <w:r w:rsidRPr="00E40163">
              <w:t xml:space="preserve"> Guide.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9" w:name="O_966669"/>
      <w:bookmarkEnd w:id="9"/>
      <w:r w:rsidRPr="00E401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163" w:rsidP="00E40163">
            <w:pPr>
              <w:pStyle w:val="BodyText"/>
            </w:pPr>
            <w:r w:rsidRPr="00E40163">
              <w:t>This unit replaces and is equivalent to UEGNSG219A Conduct excavations in the utilities industry.</w:t>
            </w:r>
          </w:p>
        </w:tc>
      </w:tr>
    </w:tbl>
    <w:p w:rsidR="00000000" w:rsidRPr="00E40163" w:rsidP="00E40163">
      <w:pPr>
        <w:pStyle w:val="NoPaddingFontSize1"/>
      </w:pPr>
    </w:p>
    <w:p w:rsidR="00000000" w:rsidRPr="00E40163" w:rsidP="00E40163">
      <w:pPr>
        <w:pStyle w:val="AllowPageBreak"/>
      </w:pPr>
    </w:p>
    <w:p w:rsidR="00000000" w:rsidRPr="00E40163" w:rsidP="00E40163">
      <w:pPr>
        <w:pStyle w:val="Heading1"/>
      </w:pPr>
      <w:bookmarkStart w:id="10" w:name="O_966676"/>
      <w:bookmarkEnd w:id="10"/>
      <w:r w:rsidRPr="00E40163">
        <w:t>Links</w:t>
      </w:r>
    </w:p>
    <w:p w:rsidR="00000000" w:rsidRPr="00E40163" w:rsidP="00FC7D12">
      <w:pPr>
        <w:pStyle w:val="BodyText"/>
      </w:pPr>
      <w:r w:rsidRPr="00E401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E196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40163" w:rsidP="00E40163"/>
    <w:sectPr w:rsidSect="00E401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3" w:rsidRPr="00FC7D12" w:rsidP="00FC7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12" w:rsidP="00E40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D12" w:rsidP="00E40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7D12" w:rsidP="00E40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163" w:rsidRPr="00FC7D12" w:rsidP="00FC7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12" w:rsidRPr="002D2AF8" w:rsidP="00E40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UEGNSG219 Conduct excavations in the utilities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FC7D12" w:rsidP="00E40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163"/>
  </w:style>
  <w:style w:type="character" w:customStyle="1" w:styleId="Heading1Char">
    <w:name w:val="Heading 1 Char"/>
    <w:basedOn w:val="DefaultParagraphFont"/>
    <w:link w:val="Heading1"/>
    <w:rsid w:val="00E40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1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0163"/>
    <w:rPr>
      <w:b/>
      <w:spacing w:val="0"/>
    </w:rPr>
  </w:style>
  <w:style w:type="paragraph" w:customStyle="1" w:styleId="SuperHeading">
    <w:name w:val="SuperHeading"/>
    <w:basedOn w:val="Normal"/>
    <w:rsid w:val="00E40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0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1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1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0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1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163"/>
    <w:rPr>
      <w:i/>
    </w:rPr>
  </w:style>
  <w:style w:type="paragraph" w:styleId="Caption">
    <w:name w:val="caption"/>
    <w:basedOn w:val="BodyText"/>
    <w:next w:val="Normal"/>
    <w:qFormat/>
    <w:rsid w:val="00E40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163"/>
  </w:style>
  <w:style w:type="paragraph" w:styleId="TableofFigures">
    <w:name w:val="table of figures"/>
    <w:basedOn w:val="Normal"/>
    <w:next w:val="Normal"/>
    <w:semiHidden/>
    <w:rsid w:val="00E40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1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0163"/>
    <w:rPr>
      <w:rFonts w:ascii="Wingdings" w:hAnsi="Wingdings"/>
    </w:rPr>
  </w:style>
  <w:style w:type="paragraph" w:customStyle="1" w:styleId="TableHeading">
    <w:name w:val="Table Heading"/>
    <w:basedOn w:val="HeadingBase"/>
    <w:rsid w:val="00E40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163"/>
    <w:rPr>
      <w:color w:val="0033CC"/>
      <w:u w:val="none"/>
    </w:rPr>
  </w:style>
  <w:style w:type="paragraph" w:customStyle="1" w:styleId="BodyTextRight">
    <w:name w:val="Body Text Right"/>
    <w:basedOn w:val="BodyText"/>
    <w:rsid w:val="00E40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1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163"/>
    <w:rPr>
      <w:sz w:val="32"/>
    </w:rPr>
  </w:style>
  <w:style w:type="paragraph" w:customStyle="1" w:styleId="HeadingProcedure">
    <w:name w:val="Heading Procedure"/>
    <w:basedOn w:val="HeadingBase"/>
    <w:next w:val="Normal"/>
    <w:rsid w:val="00E40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163"/>
    <w:pPr>
      <w:spacing w:before="60" w:after="60"/>
    </w:pPr>
  </w:style>
  <w:style w:type="paragraph" w:styleId="ListContinue">
    <w:name w:val="List Continue"/>
    <w:basedOn w:val="List"/>
    <w:rsid w:val="00E40163"/>
    <w:pPr>
      <w:ind w:firstLine="0"/>
    </w:pPr>
  </w:style>
  <w:style w:type="paragraph" w:customStyle="1" w:styleId="ListNote">
    <w:name w:val="List Note"/>
    <w:basedOn w:val="List"/>
    <w:rsid w:val="00E40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163"/>
    <w:rPr>
      <w:rFonts w:ascii="Courier New" w:hAnsi="Courier New"/>
    </w:rPr>
  </w:style>
  <w:style w:type="paragraph" w:customStyle="1" w:styleId="NoteBullet">
    <w:name w:val="Note Bullet"/>
    <w:basedOn w:val="Note"/>
    <w:rsid w:val="00E40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1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0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163"/>
    <w:rPr>
      <w:b/>
      <w:smallCaps/>
    </w:rPr>
  </w:style>
  <w:style w:type="paragraph" w:customStyle="1" w:styleId="TableListNumber">
    <w:name w:val="Table List Number"/>
    <w:basedOn w:val="ListNumber"/>
    <w:rsid w:val="00E40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163"/>
    <w:pPr>
      <w:numPr>
        <w:numId w:val="7"/>
      </w:numPr>
    </w:pPr>
  </w:style>
  <w:style w:type="paragraph" w:customStyle="1" w:styleId="ListAlpha2">
    <w:name w:val="List Alpha 2"/>
    <w:basedOn w:val="List2"/>
    <w:rsid w:val="00E40163"/>
    <w:pPr>
      <w:numPr>
        <w:numId w:val="6"/>
      </w:numPr>
    </w:pPr>
  </w:style>
  <w:style w:type="paragraph" w:styleId="List2">
    <w:name w:val="List 2"/>
    <w:basedOn w:val="BodyText"/>
    <w:rsid w:val="00E40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1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1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0163"/>
    <w:pPr>
      <w:numPr>
        <w:numId w:val="2"/>
      </w:numPr>
    </w:pPr>
  </w:style>
  <w:style w:type="paragraph" w:styleId="ListContinue2">
    <w:name w:val="List Continue 2"/>
    <w:basedOn w:val="List2"/>
    <w:rsid w:val="00E40163"/>
    <w:pPr>
      <w:ind w:firstLine="0"/>
    </w:pPr>
  </w:style>
  <w:style w:type="paragraph" w:styleId="ListContinue3">
    <w:name w:val="List Continue 3"/>
    <w:basedOn w:val="List3"/>
    <w:rsid w:val="00E40163"/>
    <w:pPr>
      <w:ind w:left="1021" w:firstLine="0"/>
    </w:pPr>
  </w:style>
  <w:style w:type="paragraph" w:styleId="ListContinue4">
    <w:name w:val="List Continue 4"/>
    <w:basedOn w:val="List4"/>
    <w:rsid w:val="00E40163"/>
    <w:pPr>
      <w:ind w:firstLine="0"/>
    </w:pPr>
  </w:style>
  <w:style w:type="paragraph" w:styleId="ListContinue5">
    <w:name w:val="List Continue 5"/>
    <w:basedOn w:val="List5"/>
    <w:rsid w:val="00E40163"/>
    <w:pPr>
      <w:ind w:firstLine="0"/>
    </w:pPr>
  </w:style>
  <w:style w:type="paragraph" w:styleId="ListNumber3">
    <w:name w:val="List Number 3"/>
    <w:basedOn w:val="List3"/>
    <w:rsid w:val="00E40163"/>
    <w:pPr>
      <w:numPr>
        <w:numId w:val="3"/>
      </w:numPr>
    </w:pPr>
  </w:style>
  <w:style w:type="paragraph" w:styleId="ListNumber4">
    <w:name w:val="List Number 4"/>
    <w:basedOn w:val="List4"/>
    <w:rsid w:val="00E40163"/>
    <w:pPr>
      <w:numPr>
        <w:numId w:val="4"/>
      </w:numPr>
    </w:pPr>
  </w:style>
  <w:style w:type="paragraph" w:styleId="ListNumber5">
    <w:name w:val="List Number 5"/>
    <w:basedOn w:val="List5"/>
    <w:rsid w:val="00E40163"/>
    <w:pPr>
      <w:numPr>
        <w:numId w:val="5"/>
      </w:numPr>
    </w:pPr>
  </w:style>
  <w:style w:type="paragraph" w:styleId="BlockText">
    <w:name w:val="Block Text"/>
    <w:basedOn w:val="Normal"/>
    <w:rsid w:val="00E40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163"/>
    <w:rPr>
      <w:sz w:val="16"/>
      <w:vertAlign w:val="superscript"/>
    </w:rPr>
  </w:style>
  <w:style w:type="character" w:customStyle="1" w:styleId="Symbols">
    <w:name w:val="Symbols"/>
    <w:basedOn w:val="DefaultParagraphFont"/>
    <w:rsid w:val="00E40163"/>
    <w:rPr>
      <w:rFonts w:ascii="Symbol" w:hAnsi="Symbol"/>
    </w:rPr>
  </w:style>
  <w:style w:type="character" w:customStyle="1" w:styleId="MenuOptions">
    <w:name w:val="Menu Options"/>
    <w:basedOn w:val="DefaultParagraphFont"/>
    <w:rsid w:val="00E40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163"/>
    <w:rPr>
      <w:b/>
    </w:rPr>
  </w:style>
  <w:style w:type="character" w:customStyle="1" w:styleId="Underlined">
    <w:name w:val="Underlined"/>
    <w:basedOn w:val="DefaultParagraphFont"/>
    <w:rsid w:val="00E40163"/>
    <w:rPr>
      <w:u w:val="single"/>
    </w:rPr>
  </w:style>
  <w:style w:type="paragraph" w:customStyle="1" w:styleId="TableBodyTextRight">
    <w:name w:val="Table Body Text Right"/>
    <w:basedOn w:val="TableBodyText"/>
    <w:rsid w:val="00E40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163"/>
    <w:rPr>
      <w:sz w:val="18"/>
    </w:rPr>
  </w:style>
  <w:style w:type="paragraph" w:customStyle="1" w:styleId="BodySmallRight">
    <w:name w:val="Body Small Right"/>
    <w:basedOn w:val="BodyTextRight"/>
    <w:rsid w:val="00E40163"/>
    <w:rPr>
      <w:sz w:val="18"/>
      <w:szCs w:val="18"/>
    </w:rPr>
  </w:style>
  <w:style w:type="paragraph" w:customStyle="1" w:styleId="MarginEdition">
    <w:name w:val="Margin Edition"/>
    <w:basedOn w:val="MarginNote"/>
    <w:rsid w:val="00E40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163"/>
    <w:rPr>
      <w:sz w:val="2"/>
      <w:szCs w:val="2"/>
    </w:rPr>
  </w:style>
  <w:style w:type="character" w:customStyle="1" w:styleId="Small">
    <w:name w:val="Small"/>
    <w:basedOn w:val="DefaultParagraphFont"/>
    <w:rsid w:val="00E40163"/>
    <w:rPr>
      <w:sz w:val="16"/>
    </w:rPr>
  </w:style>
  <w:style w:type="paragraph" w:customStyle="1" w:styleId="WideTable">
    <w:name w:val="Wide Table"/>
    <w:basedOn w:val="Normal"/>
    <w:rsid w:val="00E40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163"/>
  </w:style>
  <w:style w:type="paragraph" w:styleId="Quote">
    <w:name w:val="Quote"/>
    <w:basedOn w:val="Heading1"/>
    <w:link w:val="QuoteChar"/>
    <w:qFormat/>
    <w:rsid w:val="00E40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163"/>
    <w:pPr>
      <w:pageBreakBefore/>
    </w:pPr>
  </w:style>
  <w:style w:type="paragraph" w:customStyle="1" w:styleId="Border">
    <w:name w:val="Border"/>
    <w:basedOn w:val="Normal"/>
    <w:qFormat/>
    <w:rsid w:val="00E40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163"/>
    <w:rPr>
      <w:u w:val="single"/>
    </w:rPr>
  </w:style>
  <w:style w:type="character" w:customStyle="1" w:styleId="BoldandItalics">
    <w:name w:val="Bold and Italics"/>
    <w:qFormat/>
    <w:rsid w:val="00E40163"/>
    <w:rPr>
      <w:b/>
      <w:i/>
      <w:u w:val="none"/>
    </w:rPr>
  </w:style>
  <w:style w:type="paragraph" w:styleId="BalloonText">
    <w:name w:val="Balloon Text"/>
    <w:basedOn w:val="Normal"/>
    <w:link w:val="BalloonTextChar"/>
    <w:rsid w:val="00E40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163"/>
    <w:pPr>
      <w:spacing w:before="0" w:after="0"/>
    </w:pPr>
  </w:style>
  <w:style w:type="paragraph" w:customStyle="1" w:styleId="BodyTextBold">
    <w:name w:val="Body Text Bold"/>
    <w:basedOn w:val="BodyText"/>
    <w:qFormat/>
    <w:rsid w:val="00E40163"/>
    <w:rPr>
      <w:b/>
    </w:rPr>
  </w:style>
  <w:style w:type="character" w:styleId="Hyperlink">
    <w:name w:val="Hyperlink"/>
    <w:basedOn w:val="DefaultParagraphFont"/>
    <w:uiPriority w:val="99"/>
    <w:unhideWhenUsed/>
    <w:rsid w:val="00FC7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4595</Characters>
  <Application>Microsoft Office Word</Application>
  <DocSecurity>0</DocSecurity>
  <Lines>208</Lines>
  <Paragraphs>93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UEGNSG219 Conduct excavations in the utilities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2021-11-23T02:38:00Z</dcterms:created>
  <dcterms:modified xsi:type="dcterms:W3CDTF">2021-11-23T02:38:00Z</dcterms:modified>
</cp:coreProperties>
</file>