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D31" w:rsidP="003C2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UEGNSG120 Manage gas system environmental compliance</w:t>
      </w:r>
      <w:r>
        <w:fldChar w:fldCharType="end"/>
      </w:r>
    </w:p>
    <w:p w:rsidR="003C2D31" w:rsidP="003C2D31">
      <w:pPr>
        <w:pStyle w:val="Version"/>
        <w:sectPr w:rsidSect="00CE6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476" w:rsidP="00CE6476">
      <w:pPr>
        <w:pStyle w:val="SuperHeading"/>
      </w:pPr>
      <w:r w:rsidRPr="00CE6476">
        <w:t>UEGNSG120 Manage gas system environmental compliance</w:t>
      </w:r>
    </w:p>
    <w:p w:rsidR="00000000" w:rsidRPr="00CE6476" w:rsidP="00CE6476">
      <w:pPr>
        <w:pStyle w:val="Heading1"/>
      </w:pPr>
      <w:bookmarkStart w:id="1" w:name="O_966205"/>
      <w:bookmarkEnd w:id="1"/>
      <w:r w:rsidRPr="00CE64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t>Release 1. This is the first release of this unit of competency in the UEG Gas Industry Training Package.</w:t>
            </w:r>
          </w:p>
        </w:tc>
      </w:tr>
    </w:tbl>
    <w:p w:rsidR="00000000" w:rsidRPr="00CE6476" w:rsidP="00CE6476">
      <w:pPr>
        <w:pStyle w:val="NoPaddingFontSize1"/>
      </w:pPr>
    </w:p>
    <w:p w:rsidR="00000000" w:rsidRPr="00CE6476" w:rsidP="00CE6476">
      <w:pPr>
        <w:pStyle w:val="AllowPageBreak"/>
      </w:pPr>
    </w:p>
    <w:p w:rsidR="00000000" w:rsidRPr="00CE6476" w:rsidP="00CE6476">
      <w:pPr>
        <w:pStyle w:val="Heading1"/>
      </w:pPr>
      <w:bookmarkStart w:id="2" w:name="O_966206"/>
      <w:bookmarkEnd w:id="2"/>
      <w:r w:rsidRPr="00CE647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t>This unit involves the skills and knowledge required to manage gas system environmental co</w:t>
            </w:r>
            <w:r w:rsidRPr="00CE6476">
              <w:t>mpliance.</w:t>
            </w:r>
          </w:p>
          <w:p w:rsidR="00000000" w:rsidRPr="00CE6476" w:rsidP="00CE6476">
            <w:pPr>
              <w:pStyle w:val="BodyText"/>
            </w:pPr>
            <w:r w:rsidRPr="00CE6476">
              <w:t>It includes identifying, reviewing and documenting environmental and work health and safety (WHS)/occupational health and safety (OHS) management plan issues for a proposed gas system. It also includes facilitating negotiations for compliance wit</w:t>
            </w:r>
            <w:r w:rsidRPr="00CE6476">
              <w:t>h regulations, relevant industry standards and codes of practice.</w:t>
            </w:r>
          </w:p>
          <w:p w:rsidR="00000000" w:rsidRPr="00CE6476" w:rsidP="00CE6476">
            <w:pPr>
              <w:pStyle w:val="BodyText"/>
            </w:pPr>
            <w:r w:rsidRPr="00CE6476">
              <w:t>This unit applies to any safe work site where gas industry operations occur. It could also apply, where applicable, to other workplaces in the electricity supply industry (transmission and d</w:t>
            </w:r>
            <w:r w:rsidRPr="00CE6476">
              <w:t>istribution and generation), the electrotechnology industry and the water industry, subject to WHS/ OHS and duty of care requirements being met for the workplace.</w:t>
            </w:r>
          </w:p>
          <w:p w:rsidR="00000000" w:rsidRPr="00CE6476" w:rsidP="00CE6476">
            <w:pPr>
              <w:pStyle w:val="BodyText"/>
            </w:pPr>
            <w:r w:rsidRPr="00CE6476">
              <w:t>No licensing, legislative or certification requirements apply to this unit at the time of pub</w:t>
            </w:r>
            <w:r w:rsidRPr="00CE6476">
              <w:t>lication.</w:t>
            </w:r>
          </w:p>
        </w:tc>
      </w:tr>
    </w:tbl>
    <w:p w:rsidR="00000000" w:rsidRPr="00CE6476" w:rsidP="00CE6476">
      <w:pPr>
        <w:pStyle w:val="NoPaddingFontSize1"/>
      </w:pPr>
    </w:p>
    <w:p w:rsidR="00000000" w:rsidRPr="00CE6476" w:rsidP="00CE6476">
      <w:pPr>
        <w:pStyle w:val="AllowPageBreak"/>
      </w:pPr>
    </w:p>
    <w:p w:rsidR="00000000" w:rsidRPr="00CE6476" w:rsidP="00CE6476">
      <w:pPr>
        <w:pStyle w:val="Heading1"/>
      </w:pPr>
      <w:bookmarkStart w:id="3" w:name="O_966207"/>
      <w:bookmarkEnd w:id="3"/>
      <w:r w:rsidRPr="00CE647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t>Not applicable.</w:t>
            </w:r>
          </w:p>
        </w:tc>
      </w:tr>
    </w:tbl>
    <w:p w:rsidR="00000000" w:rsidRPr="00CE6476" w:rsidP="00CE6476">
      <w:pPr>
        <w:pStyle w:val="NoPaddingFontSize1"/>
      </w:pPr>
    </w:p>
    <w:p w:rsidR="00000000" w:rsidRPr="00CE6476" w:rsidP="00CE6476">
      <w:pPr>
        <w:pStyle w:val="AllowPageBreak"/>
      </w:pPr>
    </w:p>
    <w:p w:rsidR="00000000" w:rsidRPr="00CE6476" w:rsidP="00CE6476">
      <w:pPr>
        <w:pStyle w:val="Heading1"/>
      </w:pPr>
      <w:bookmarkStart w:id="4" w:name="O_966208"/>
      <w:bookmarkEnd w:id="4"/>
      <w:r w:rsidRPr="00CE647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t>Cross Discipline Units</w:t>
            </w:r>
          </w:p>
        </w:tc>
      </w:tr>
    </w:tbl>
    <w:p w:rsidR="00000000" w:rsidRPr="00CE6476" w:rsidP="00CE6476">
      <w:pPr>
        <w:pStyle w:val="NoPaddingFontSize1"/>
      </w:pPr>
    </w:p>
    <w:p w:rsidR="00000000" w:rsidRPr="00CE6476" w:rsidP="00CE6476">
      <w:pPr>
        <w:pStyle w:val="AllowPageBreak"/>
      </w:pPr>
    </w:p>
    <w:p w:rsidR="00000000" w:rsidRPr="00CE6476" w:rsidP="00CE6476">
      <w:pPr>
        <w:pStyle w:val="Heading1"/>
      </w:pPr>
      <w:bookmarkStart w:id="5" w:name="O_966209"/>
      <w:bookmarkEnd w:id="5"/>
      <w:r w:rsidRPr="00CE647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t>Gas Industry</w:t>
            </w:r>
          </w:p>
        </w:tc>
      </w:tr>
    </w:tbl>
    <w:p w:rsidR="00000000" w:rsidRPr="00CE6476" w:rsidP="00CE6476">
      <w:pPr>
        <w:pStyle w:val="NoPaddingFontSize1"/>
      </w:pPr>
    </w:p>
    <w:p w:rsidR="00000000" w:rsidRPr="00CE6476" w:rsidP="00CE6476">
      <w:pPr>
        <w:pStyle w:val="AllowPageBreak"/>
      </w:pPr>
    </w:p>
    <w:p w:rsidR="00000000" w:rsidRPr="00CE6476" w:rsidP="00CE6476">
      <w:pPr>
        <w:pStyle w:val="Heading1"/>
      </w:pPr>
      <w:bookmarkStart w:id="6" w:name="O_966210"/>
      <w:bookmarkEnd w:id="6"/>
      <w:r w:rsidRPr="00CE647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PERFORMANCE CRITERIA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Performance criteria describe the performance needed to demonstrate achievement of the element.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rPr>
                <w:rStyle w:val="SpecialBold"/>
              </w:rPr>
              <w:t xml:space="preserve">Identify and document </w:t>
            </w:r>
            <w:r w:rsidRPr="00CE6476">
              <w:rPr>
                <w:rStyle w:val="SpecialBold"/>
              </w:rPr>
              <w:t>environmental issues for proposed gas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WHS/OHS principles and practi</w:t>
            </w:r>
            <w:r w:rsidRPr="00CE6476">
              <w:t xml:space="preserve">ces and environmental </w:t>
            </w:r>
            <w:r w:rsidRPr="00CE6476">
              <w:t>and sustainable energy workplace procedures which may influence the system are reviewed and determined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Legislative requirements are identified and impact assessments are organised, as required, in accordance with workplace proc</w:t>
            </w:r>
            <w:r w:rsidRPr="00CE6476">
              <w:t>edures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Organisational procedures on policies and specifications for the environmental work are obtained or determined with appropriate personnel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Testing parameters are determined from organisational workplace procedures on policies and specifications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Testing procedures are discussed with appropriate personnel to determine environmental project brief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Equipment, tools and personal prote</w:t>
            </w:r>
            <w:r w:rsidRPr="00CE6476">
              <w:t>ctive equipment (PPE) are selected and coordinated based on specified workplace requirements and procedures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Work roles and tasks are allocated in accordance with workplace requirements and person/s competency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Work is prioritised and sequenced for effective outcome, completed within an acceptable timeframe to industry quality standard and in accordance with workplace procedures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 xml:space="preserve">Liaison and communication with authorised personnel, authorities, clients and </w:t>
            </w:r>
            <w:r w:rsidRPr="00CE6476">
              <w:t>land owners are undertaken to resolve environmental issues and coordinate work activities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Risk control measures are identified, prioritised and evaluated against the work schedule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Relevant work permits are secured to coordinate the performa</w:t>
            </w:r>
            <w:r w:rsidRPr="00CE6476">
              <w:t>nce of work in accordance with workplace requirements and procedures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rPr>
                <w:rStyle w:val="SpecialBold"/>
              </w:rPr>
              <w:t>Facilitate negotiations for environmental compliance with regulations, industry standards and codes of practice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Internal and external stakeholders are identified and relevant qualified persons are consulted on compliance needs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Practicable negotiated decisions are made on the basis of safety and environmental compliance and effective outcomes in accordance wit</w:t>
            </w:r>
            <w:r w:rsidRPr="00CE6476">
              <w:t xml:space="preserve">h workplace requirements </w:t>
            </w:r>
            <w:r w:rsidRPr="00CE6476">
              <w:t>and procedures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Technical advice is obtained regarding hazards, assessed risks and reasonably practicable risk control measures so that monitoring can be undertaken and appropriate authorities consulted, as required, in accor</w:t>
            </w:r>
            <w:r w:rsidRPr="00CE6476">
              <w:t>dance with workplace requirements and procedures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Specific data is analysed and compared with compliance specifications to ensure completion of the project within an agreed timeframe in accordance with workplace requirements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Work teams are arr</w:t>
            </w:r>
            <w:r w:rsidRPr="00CE6476">
              <w:t>anged to ensure planned goals are met in accordance with workplace procedures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Solutions to unplanned events are responded to in accordance with workplace procedures, in a manner that minimises risk to personnel and equipment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Quality of work is monitored against performance agreement and workplace, organisational and industry standards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Environmental strategic plan is developed incorporating organisation initiatives in accordance with workplace procedures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rPr>
                <w:rStyle w:val="SpecialBold"/>
              </w:rPr>
              <w:t>Review enviro</w:t>
            </w:r>
            <w:r w:rsidRPr="00CE6476">
              <w:rPr>
                <w:rStyle w:val="SpecialBold"/>
              </w:rPr>
              <w:t>nmental and WHS/OHS management plan for a gas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Environmental and WHS/OHS risks and their likely impacts for a gas system on the installation assets and to communities are identified and analysed to determine reasonably practicable control options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Options for addressing potential environmental impacts are identified, determined and costed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 xml:space="preserve">Requisite environmental and WHS/OHS management strategies are determined and recommendations made in accordance with workplace policies, procedures </w:t>
            </w:r>
            <w:r w:rsidRPr="00CE6476">
              <w:t>and processes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Inspections of the gas system work are undertaken to ensure compliance with requirements, specifications and documentations needed to complete the environmental project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Persons are notified of management plan for a gas system co</w:t>
            </w:r>
            <w:r w:rsidRPr="00CE6476">
              <w:t>mpletion and reports and completion documents are finalised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Management plan reports and completion documents are submitted to relevant personnel and organisations for approval and as required, statutory or regulatory approval</w:t>
            </w:r>
          </w:p>
        </w:tc>
      </w:tr>
      <w:tr w:rsidTr="00CE64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t>Approved copies of documents are issued and records are updated in accordance with workplace procedures</w:t>
            </w:r>
          </w:p>
        </w:tc>
      </w:tr>
    </w:tbl>
    <w:p w:rsidR="00000000" w:rsidRPr="00CE6476" w:rsidP="00CE6476">
      <w:pPr>
        <w:pStyle w:val="NoPaddingFontSize1"/>
      </w:pPr>
    </w:p>
    <w:p w:rsidR="00000000" w:rsidRPr="00CE6476" w:rsidP="00CE6476">
      <w:pPr>
        <w:pStyle w:val="AllowPageBreak"/>
      </w:pPr>
    </w:p>
    <w:p w:rsidR="00000000" w:rsidRPr="00CE6476" w:rsidP="00CE6476">
      <w:pPr>
        <w:pStyle w:val="Heading1"/>
      </w:pPr>
      <w:bookmarkStart w:id="7" w:name="O_966211"/>
      <w:bookmarkEnd w:id="7"/>
      <w:r w:rsidRPr="00CE647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t>Foundation skills essential to performance are explicit in the performance criteria of this unit of competency.</w:t>
            </w:r>
          </w:p>
        </w:tc>
      </w:tr>
    </w:tbl>
    <w:p w:rsidR="00000000" w:rsidRPr="00CE6476" w:rsidP="00CE6476">
      <w:pPr>
        <w:pStyle w:val="NoPaddingFontSize1"/>
      </w:pPr>
    </w:p>
    <w:p w:rsidR="00000000" w:rsidRPr="00CE6476" w:rsidP="00CE6476">
      <w:pPr>
        <w:pStyle w:val="AllowPageBreak"/>
      </w:pPr>
    </w:p>
    <w:p w:rsidR="00000000" w:rsidRPr="00CE6476" w:rsidP="00CE6476">
      <w:pPr>
        <w:pStyle w:val="Heading1"/>
      </w:pPr>
      <w:bookmarkStart w:id="8" w:name="O_966212"/>
      <w:bookmarkEnd w:id="8"/>
      <w:r w:rsidRPr="00CE647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t>Range is restricted to essential operating conditions and any other variables essential to the work environment.</w:t>
            </w:r>
          </w:p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Non-essential conditions may be found in the UEG Gas Industry Training Package Companion Volume Implementat</w:t>
            </w:r>
            <w:r w:rsidRPr="00CE6476">
              <w:t>ion Guide.</w:t>
            </w:r>
          </w:p>
        </w:tc>
      </w:tr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t>constants and variables must include the following:</w:t>
            </w:r>
          </w:p>
          <w:p w:rsidR="00000000" w:rsidP="00CE6476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ListBullet"/>
            </w:pPr>
            <w:r w:rsidRPr="00CE6476">
              <w:t>gas systems</w:t>
            </w:r>
          </w:p>
          <w:p w:rsidR="00000000" w:rsidRPr="00CE6476" w:rsidP="00CE6476">
            <w:pPr>
              <w:pStyle w:val="ListBullet"/>
            </w:pPr>
            <w:r w:rsidRPr="00CE6476">
              <w:t>legislative compliance</w:t>
            </w:r>
          </w:p>
          <w:p w:rsidR="00000000" w:rsidRPr="00CE6476" w:rsidP="00CE6476">
            <w:pPr>
              <w:pStyle w:val="ListBullet"/>
            </w:pPr>
            <w:r w:rsidRPr="00CE6476">
              <w:t>environmental issues</w:t>
            </w:r>
          </w:p>
          <w:p w:rsidR="00000000" w:rsidRPr="00CE6476" w:rsidP="00CE6476">
            <w:pPr>
              <w:pStyle w:val="ListBullet"/>
            </w:pPr>
            <w:r w:rsidRPr="00CE6476">
              <w:t>safety issues</w:t>
            </w:r>
          </w:p>
          <w:p w:rsidR="00000000" w:rsidP="00CE6476">
            <w:pPr>
              <w:pStyle w:val="ListBullet"/>
              <w:rPr>
                <w:lang w:val="en-NZ"/>
              </w:rPr>
            </w:pPr>
            <w:r w:rsidRPr="00CE6476">
              <w:t>relevant personnel</w:t>
            </w:r>
          </w:p>
        </w:tc>
      </w:tr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gas system must include one (1)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ListBullet"/>
            </w:pPr>
            <w:r w:rsidRPr="00CE6476">
              <w:t>natural gas transmission, di</w:t>
            </w:r>
            <w:r w:rsidRPr="00CE6476">
              <w:t>stribution and storage</w:t>
            </w:r>
          </w:p>
          <w:p w:rsidR="00000000" w:rsidRPr="00CE6476" w:rsidP="00CE6476">
            <w:pPr>
              <w:pStyle w:val="ListBullet"/>
            </w:pPr>
            <w:r w:rsidRPr="00CE6476">
              <w:t>liquefied petroleum gas (LPG) tanker and ship transport</w:t>
            </w:r>
          </w:p>
          <w:p w:rsidR="00000000" w:rsidP="00CE6476">
            <w:pPr>
              <w:pStyle w:val="ListBullet"/>
              <w:rPr>
                <w:lang w:val="en-NZ"/>
              </w:rPr>
            </w:pPr>
            <w:r w:rsidRPr="00CE6476">
              <w:t>storage and processing terminals and distribution systems</w:t>
            </w:r>
          </w:p>
        </w:tc>
      </w:tr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legislative compliance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ListBullet"/>
            </w:pPr>
            <w:r w:rsidRPr="00CE6476">
              <w:t>WHS/OHS legislation</w:t>
            </w:r>
          </w:p>
          <w:p w:rsidR="00000000" w:rsidRPr="00CE6476" w:rsidP="00CE6476">
            <w:pPr>
              <w:pStyle w:val="ListBullet"/>
            </w:pPr>
            <w:r w:rsidRPr="00CE6476">
              <w:t>relevant government acts, regulations and code</w:t>
            </w:r>
            <w:r w:rsidRPr="00CE6476">
              <w:t>s of practice</w:t>
            </w:r>
          </w:p>
          <w:p w:rsidR="00000000" w:rsidRPr="00CE6476" w:rsidP="00CE6476">
            <w:pPr>
              <w:pStyle w:val="ListBullet"/>
            </w:pPr>
            <w:r w:rsidRPr="00CE6476">
              <w:t>relevant industry standards and codes of practice</w:t>
            </w:r>
          </w:p>
          <w:p w:rsidR="00000000" w:rsidP="00CE6476">
            <w:pPr>
              <w:pStyle w:val="ListBullet"/>
              <w:rPr>
                <w:lang w:val="en-NZ"/>
              </w:rPr>
            </w:pPr>
            <w:r w:rsidRPr="00CE6476">
              <w:t>environmental legislative requirements</w:t>
            </w:r>
          </w:p>
        </w:tc>
      </w:tr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environmental issues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ListBullet"/>
            </w:pPr>
            <w:r w:rsidRPr="00CE6476">
              <w:t>political</w:t>
            </w:r>
          </w:p>
          <w:p w:rsidR="00000000" w:rsidRPr="00CE6476" w:rsidP="00CE6476">
            <w:pPr>
              <w:pStyle w:val="ListBullet"/>
            </w:pPr>
            <w:r w:rsidRPr="00CE6476">
              <w:t>legal</w:t>
            </w:r>
          </w:p>
          <w:p w:rsidR="00000000" w:rsidP="00CE6476">
            <w:pPr>
              <w:pStyle w:val="ListBullet"/>
              <w:rPr>
                <w:lang w:val="en-NZ"/>
              </w:rPr>
            </w:pPr>
            <w:r w:rsidRPr="00CE6476">
              <w:t>community and aesthetic impact of installations</w:t>
            </w:r>
          </w:p>
        </w:tc>
      </w:tr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safety issues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ListBullet"/>
            </w:pPr>
            <w:r w:rsidRPr="00CE6476">
              <w:t>WHS/OHS operatives</w:t>
            </w:r>
          </w:p>
          <w:p w:rsidR="00000000" w:rsidRPr="00CE6476" w:rsidP="00CE6476">
            <w:pPr>
              <w:pStyle w:val="ListBullet"/>
            </w:pPr>
            <w:r w:rsidRPr="00CE6476">
              <w:t>ongoing maintenance of facilities</w:t>
            </w:r>
          </w:p>
          <w:p w:rsidR="00000000" w:rsidRPr="00CE6476" w:rsidP="00CE6476">
            <w:pPr>
              <w:pStyle w:val="ListBullet"/>
            </w:pPr>
            <w:r w:rsidRPr="00CE6476">
              <w:t>emergency response plans</w:t>
            </w:r>
          </w:p>
          <w:p w:rsidR="00000000" w:rsidP="00CE6476">
            <w:pPr>
              <w:pStyle w:val="ListBullet"/>
              <w:rPr>
                <w:lang w:val="en-NZ"/>
              </w:rPr>
            </w:pPr>
            <w:r w:rsidRPr="00CE6476">
              <w:t>safety cases and environmental impact assessments for major hazardous facilities (MHFs)</w:t>
            </w:r>
          </w:p>
        </w:tc>
      </w:tr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relevant personnel must include at least six (</w:t>
            </w:r>
            <w:r w:rsidRPr="00CE6476">
              <w:t>6)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ListBullet"/>
            </w:pPr>
            <w:r w:rsidRPr="00CE6476">
              <w:t>managers</w:t>
            </w:r>
          </w:p>
          <w:p w:rsidR="00000000" w:rsidRPr="00CE6476" w:rsidP="00CE6476">
            <w:pPr>
              <w:pStyle w:val="ListBullet"/>
            </w:pPr>
            <w:r w:rsidRPr="00CE6476">
              <w:t>other supervisors</w:t>
            </w:r>
          </w:p>
          <w:p w:rsidR="00000000" w:rsidRPr="00CE6476" w:rsidP="00CE6476">
            <w:pPr>
              <w:pStyle w:val="ListBullet"/>
            </w:pPr>
            <w:r w:rsidRPr="00CE6476">
              <w:t>inter-company departments</w:t>
            </w:r>
          </w:p>
          <w:p w:rsidR="00000000" w:rsidRPr="00CE6476" w:rsidP="00CE6476">
            <w:pPr>
              <w:pStyle w:val="ListBullet"/>
            </w:pPr>
            <w:r w:rsidRPr="00CE6476">
              <w:t>other utilities</w:t>
            </w:r>
          </w:p>
          <w:p w:rsidR="00000000" w:rsidRPr="00CE6476" w:rsidP="00CE6476">
            <w:pPr>
              <w:pStyle w:val="ListBullet"/>
            </w:pPr>
            <w:r w:rsidRPr="00CE6476">
              <w:t>council representatives</w:t>
            </w:r>
          </w:p>
          <w:p w:rsidR="00000000" w:rsidRPr="00CE6476" w:rsidP="00CE6476">
            <w:pPr>
              <w:pStyle w:val="ListBullet"/>
            </w:pPr>
            <w:r w:rsidRPr="00CE6476">
              <w:t>producers, transporters/shippers</w:t>
            </w:r>
          </w:p>
          <w:p w:rsidR="00000000" w:rsidRPr="00CE6476" w:rsidP="00CE6476">
            <w:pPr>
              <w:pStyle w:val="ListBullet"/>
            </w:pPr>
            <w:r w:rsidRPr="00CE6476">
              <w:t>consultants</w:t>
            </w:r>
          </w:p>
          <w:p w:rsidR="00000000" w:rsidRPr="00CE6476" w:rsidP="00CE6476">
            <w:pPr>
              <w:pStyle w:val="ListBullet"/>
            </w:pPr>
            <w:r w:rsidRPr="00CE6476">
              <w:t>government bodies/agencies</w:t>
            </w:r>
          </w:p>
          <w:p w:rsidR="00000000" w:rsidRPr="00CE6476" w:rsidP="00CE6476">
            <w:pPr>
              <w:pStyle w:val="ListBullet"/>
            </w:pPr>
            <w:r w:rsidRPr="00CE6476">
              <w:t>refinery personnel</w:t>
            </w:r>
          </w:p>
          <w:p w:rsidR="00000000" w:rsidRPr="00CE6476" w:rsidP="00CE6476">
            <w:pPr>
              <w:pStyle w:val="ListBullet"/>
            </w:pPr>
            <w:r w:rsidRPr="00CE6476">
              <w:t>customers</w:t>
            </w:r>
          </w:p>
          <w:p w:rsidR="00000000" w:rsidP="00CE6476">
            <w:pPr>
              <w:pStyle w:val="ListBullet"/>
              <w:rPr>
                <w:lang w:val="en-NZ"/>
              </w:rPr>
            </w:pPr>
            <w:r w:rsidRPr="00CE6476">
              <w:t>land owners/traditional land owners</w:t>
            </w:r>
          </w:p>
        </w:tc>
      </w:tr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76">
            <w:pPr>
              <w:pStyle w:val="BodyText"/>
              <w:rPr>
                <w:lang w:val="en-NZ"/>
              </w:rPr>
            </w:pPr>
            <w:r w:rsidRPr="00CE6476">
              <w:t>relevant authorities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ListBullet"/>
            </w:pPr>
            <w:r w:rsidRPr="00CE6476">
              <w:t>government authorities</w:t>
            </w:r>
          </w:p>
          <w:p w:rsidR="00000000" w:rsidRPr="00CE6476" w:rsidP="00CE6476">
            <w:pPr>
              <w:pStyle w:val="ListBullet"/>
            </w:pPr>
            <w:r w:rsidRPr="00CE6476">
              <w:t>land owners both current and traditional</w:t>
            </w:r>
          </w:p>
          <w:p w:rsidR="00000000" w:rsidRPr="00CE6476" w:rsidP="00CE6476">
            <w:pPr>
              <w:pStyle w:val="ListBullet"/>
            </w:pPr>
            <w:r w:rsidRPr="00CE6476">
              <w:t>local councils</w:t>
            </w:r>
          </w:p>
          <w:p w:rsidR="00000000" w:rsidRPr="00CE6476" w:rsidP="00CE6476">
            <w:pPr>
              <w:pStyle w:val="ListBullet"/>
            </w:pPr>
            <w:r w:rsidRPr="00CE6476">
              <w:t>land management groups</w:t>
            </w:r>
          </w:p>
          <w:p w:rsidR="00000000" w:rsidRPr="00CE6476" w:rsidP="00CE6476">
            <w:pPr>
              <w:pStyle w:val="ListBullet"/>
            </w:pPr>
            <w:r w:rsidRPr="00CE6476">
              <w:t>other utilities</w:t>
            </w:r>
          </w:p>
          <w:p w:rsidR="00000000" w:rsidRPr="00CE6476" w:rsidP="00CE6476">
            <w:pPr>
              <w:pStyle w:val="ListBullet"/>
            </w:pPr>
            <w:r w:rsidRPr="00CE6476">
              <w:t>in-house quality control groups and management</w:t>
            </w:r>
          </w:p>
        </w:tc>
      </w:tr>
    </w:tbl>
    <w:p w:rsidR="00000000" w:rsidRPr="00CE6476" w:rsidP="00CE6476">
      <w:pPr>
        <w:pStyle w:val="NoPaddingFontSize1"/>
      </w:pPr>
    </w:p>
    <w:p w:rsidR="00000000" w:rsidRPr="00CE6476" w:rsidP="00CE6476">
      <w:pPr>
        <w:pStyle w:val="AllowPageBreak"/>
      </w:pPr>
    </w:p>
    <w:p w:rsidR="00000000" w:rsidRPr="00CE6476" w:rsidP="00CE6476">
      <w:pPr>
        <w:pStyle w:val="Heading1"/>
      </w:pPr>
      <w:bookmarkStart w:id="9" w:name="O_966213"/>
      <w:bookmarkEnd w:id="9"/>
      <w:r w:rsidRPr="00CE6476">
        <w:t>Unit Mapping Informati</w:t>
      </w:r>
      <w:r w:rsidRPr="00CE6476">
        <w:t>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76" w:rsidP="00CE6476">
            <w:pPr>
              <w:pStyle w:val="BodyText"/>
            </w:pPr>
            <w:r w:rsidRPr="00CE6476">
              <w:t>This unit replaces and is equivalent to UEGNSG120B Manage gas system environmental compliance.</w:t>
            </w:r>
          </w:p>
        </w:tc>
      </w:tr>
    </w:tbl>
    <w:p w:rsidR="00000000" w:rsidRPr="00CE6476" w:rsidP="00CE6476">
      <w:pPr>
        <w:pStyle w:val="NoPaddingFontSize1"/>
      </w:pPr>
    </w:p>
    <w:p w:rsidR="00000000" w:rsidRPr="00CE6476" w:rsidP="00CE6476">
      <w:pPr>
        <w:pStyle w:val="AllowPageBreak"/>
      </w:pPr>
    </w:p>
    <w:p w:rsidR="00000000" w:rsidRPr="00CE6476" w:rsidP="00CE6476">
      <w:pPr>
        <w:pStyle w:val="Heading1"/>
      </w:pPr>
      <w:bookmarkStart w:id="10" w:name="O_966220"/>
      <w:bookmarkEnd w:id="10"/>
      <w:r w:rsidRPr="00CE6476">
        <w:t>Links</w:t>
      </w:r>
    </w:p>
    <w:p w:rsidR="00000000" w:rsidRPr="00CE6476" w:rsidP="003C2D31">
      <w:pPr>
        <w:pStyle w:val="BodyText"/>
      </w:pPr>
      <w:r w:rsidRPr="00CE64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34A4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E6476" w:rsidP="00CE6476"/>
    <w:sectPr w:rsidSect="00CE64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76" w:rsidRPr="003C2D31" w:rsidP="003C2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31" w:rsidP="00CE6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2D31" w:rsidP="00CE6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2D31" w:rsidP="00CE6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476" w:rsidRPr="003C2D31" w:rsidP="003C2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31" w:rsidRPr="002D2AF8" w:rsidP="00CE6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UEGNSG120 Manage gas system environmental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3C2D31" w:rsidP="00CE6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10F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E6F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476"/>
  </w:style>
  <w:style w:type="character" w:customStyle="1" w:styleId="Heading1Char">
    <w:name w:val="Heading 1 Char"/>
    <w:basedOn w:val="DefaultParagraphFont"/>
    <w:link w:val="Heading1"/>
    <w:rsid w:val="00CE6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64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6476"/>
    <w:rPr>
      <w:b/>
      <w:spacing w:val="0"/>
    </w:rPr>
  </w:style>
  <w:style w:type="paragraph" w:customStyle="1" w:styleId="SuperHeading">
    <w:name w:val="SuperHeading"/>
    <w:basedOn w:val="Normal"/>
    <w:rsid w:val="00CE6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6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6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4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4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476"/>
    <w:rPr>
      <w:i/>
    </w:rPr>
  </w:style>
  <w:style w:type="paragraph" w:styleId="Caption">
    <w:name w:val="caption"/>
    <w:basedOn w:val="BodyText"/>
    <w:next w:val="Normal"/>
    <w:qFormat/>
    <w:rsid w:val="00CE6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476"/>
  </w:style>
  <w:style w:type="paragraph" w:styleId="TableofFigures">
    <w:name w:val="table of figures"/>
    <w:basedOn w:val="Normal"/>
    <w:next w:val="Normal"/>
    <w:semiHidden/>
    <w:rsid w:val="00CE6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4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6476"/>
    <w:rPr>
      <w:rFonts w:ascii="Wingdings" w:hAnsi="Wingdings"/>
    </w:rPr>
  </w:style>
  <w:style w:type="paragraph" w:customStyle="1" w:styleId="TableHeading">
    <w:name w:val="Table Heading"/>
    <w:basedOn w:val="HeadingBase"/>
    <w:rsid w:val="00CE6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476"/>
    <w:rPr>
      <w:color w:val="0033CC"/>
      <w:u w:val="none"/>
    </w:rPr>
  </w:style>
  <w:style w:type="paragraph" w:customStyle="1" w:styleId="BodyTextRight">
    <w:name w:val="Body Text Right"/>
    <w:basedOn w:val="BodyText"/>
    <w:rsid w:val="00CE6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4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476"/>
    <w:rPr>
      <w:sz w:val="32"/>
    </w:rPr>
  </w:style>
  <w:style w:type="paragraph" w:customStyle="1" w:styleId="HeadingProcedure">
    <w:name w:val="Heading Procedure"/>
    <w:basedOn w:val="HeadingBase"/>
    <w:next w:val="Normal"/>
    <w:rsid w:val="00CE6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476"/>
    <w:pPr>
      <w:spacing w:before="60" w:after="60"/>
    </w:pPr>
  </w:style>
  <w:style w:type="paragraph" w:styleId="ListContinue">
    <w:name w:val="List Continue"/>
    <w:basedOn w:val="List"/>
    <w:rsid w:val="00CE6476"/>
    <w:pPr>
      <w:ind w:firstLine="0"/>
    </w:pPr>
  </w:style>
  <w:style w:type="paragraph" w:customStyle="1" w:styleId="ListNote">
    <w:name w:val="List Note"/>
    <w:basedOn w:val="List"/>
    <w:rsid w:val="00CE6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476"/>
    <w:rPr>
      <w:rFonts w:ascii="Courier New" w:hAnsi="Courier New"/>
    </w:rPr>
  </w:style>
  <w:style w:type="paragraph" w:customStyle="1" w:styleId="NoteBullet">
    <w:name w:val="Note Bullet"/>
    <w:basedOn w:val="Note"/>
    <w:rsid w:val="00CE6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4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6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476"/>
    <w:rPr>
      <w:b/>
      <w:smallCaps/>
    </w:rPr>
  </w:style>
  <w:style w:type="paragraph" w:customStyle="1" w:styleId="TableListNumber">
    <w:name w:val="Table List Number"/>
    <w:basedOn w:val="ListNumber"/>
    <w:rsid w:val="00CE6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476"/>
    <w:pPr>
      <w:numPr>
        <w:numId w:val="8"/>
      </w:numPr>
    </w:pPr>
  </w:style>
  <w:style w:type="paragraph" w:customStyle="1" w:styleId="ListAlpha2">
    <w:name w:val="List Alpha 2"/>
    <w:basedOn w:val="List2"/>
    <w:rsid w:val="00CE6476"/>
    <w:pPr>
      <w:numPr>
        <w:numId w:val="7"/>
      </w:numPr>
    </w:pPr>
  </w:style>
  <w:style w:type="paragraph" w:styleId="List2">
    <w:name w:val="List 2"/>
    <w:basedOn w:val="BodyText"/>
    <w:rsid w:val="00CE6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4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4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6476"/>
    <w:pPr>
      <w:numPr>
        <w:numId w:val="3"/>
      </w:numPr>
    </w:pPr>
  </w:style>
  <w:style w:type="paragraph" w:styleId="ListContinue2">
    <w:name w:val="List Continue 2"/>
    <w:basedOn w:val="List2"/>
    <w:rsid w:val="00CE6476"/>
    <w:pPr>
      <w:ind w:firstLine="0"/>
    </w:pPr>
  </w:style>
  <w:style w:type="paragraph" w:styleId="ListContinue3">
    <w:name w:val="List Continue 3"/>
    <w:basedOn w:val="List3"/>
    <w:rsid w:val="00CE6476"/>
    <w:pPr>
      <w:ind w:left="1021" w:firstLine="0"/>
    </w:pPr>
  </w:style>
  <w:style w:type="paragraph" w:styleId="ListContinue4">
    <w:name w:val="List Continue 4"/>
    <w:basedOn w:val="List4"/>
    <w:rsid w:val="00CE6476"/>
    <w:pPr>
      <w:ind w:firstLine="0"/>
    </w:pPr>
  </w:style>
  <w:style w:type="paragraph" w:styleId="ListContinue5">
    <w:name w:val="List Continue 5"/>
    <w:basedOn w:val="List5"/>
    <w:rsid w:val="00CE6476"/>
    <w:pPr>
      <w:ind w:firstLine="0"/>
    </w:pPr>
  </w:style>
  <w:style w:type="paragraph" w:styleId="ListNumber3">
    <w:name w:val="List Number 3"/>
    <w:basedOn w:val="List3"/>
    <w:rsid w:val="00CE6476"/>
    <w:pPr>
      <w:numPr>
        <w:numId w:val="4"/>
      </w:numPr>
    </w:pPr>
  </w:style>
  <w:style w:type="paragraph" w:styleId="ListNumber4">
    <w:name w:val="List Number 4"/>
    <w:basedOn w:val="List4"/>
    <w:rsid w:val="00CE6476"/>
    <w:pPr>
      <w:numPr>
        <w:numId w:val="5"/>
      </w:numPr>
    </w:pPr>
  </w:style>
  <w:style w:type="paragraph" w:styleId="ListNumber5">
    <w:name w:val="List Number 5"/>
    <w:basedOn w:val="List5"/>
    <w:rsid w:val="00CE6476"/>
    <w:pPr>
      <w:numPr>
        <w:numId w:val="6"/>
      </w:numPr>
    </w:pPr>
  </w:style>
  <w:style w:type="paragraph" w:styleId="BlockText">
    <w:name w:val="Block Text"/>
    <w:basedOn w:val="Normal"/>
    <w:rsid w:val="00CE6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476"/>
    <w:rPr>
      <w:sz w:val="16"/>
      <w:vertAlign w:val="superscript"/>
    </w:rPr>
  </w:style>
  <w:style w:type="character" w:customStyle="1" w:styleId="Symbols">
    <w:name w:val="Symbols"/>
    <w:basedOn w:val="DefaultParagraphFont"/>
    <w:rsid w:val="00CE6476"/>
    <w:rPr>
      <w:rFonts w:ascii="Symbol" w:hAnsi="Symbol"/>
    </w:rPr>
  </w:style>
  <w:style w:type="character" w:customStyle="1" w:styleId="MenuOptions">
    <w:name w:val="Menu Options"/>
    <w:basedOn w:val="DefaultParagraphFont"/>
    <w:rsid w:val="00CE6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476"/>
    <w:rPr>
      <w:b/>
    </w:rPr>
  </w:style>
  <w:style w:type="character" w:customStyle="1" w:styleId="Underlined">
    <w:name w:val="Underlined"/>
    <w:basedOn w:val="DefaultParagraphFont"/>
    <w:rsid w:val="00CE6476"/>
    <w:rPr>
      <w:u w:val="single"/>
    </w:rPr>
  </w:style>
  <w:style w:type="paragraph" w:customStyle="1" w:styleId="TableBodyTextRight">
    <w:name w:val="Table Body Text Right"/>
    <w:basedOn w:val="TableBodyText"/>
    <w:rsid w:val="00CE6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476"/>
    <w:rPr>
      <w:sz w:val="18"/>
    </w:rPr>
  </w:style>
  <w:style w:type="paragraph" w:customStyle="1" w:styleId="BodySmallRight">
    <w:name w:val="Body Small Right"/>
    <w:basedOn w:val="BodyTextRight"/>
    <w:rsid w:val="00CE6476"/>
    <w:rPr>
      <w:sz w:val="18"/>
      <w:szCs w:val="18"/>
    </w:rPr>
  </w:style>
  <w:style w:type="paragraph" w:customStyle="1" w:styleId="MarginEdition">
    <w:name w:val="Margin Edition"/>
    <w:basedOn w:val="MarginNote"/>
    <w:rsid w:val="00CE6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476"/>
    <w:rPr>
      <w:sz w:val="2"/>
      <w:szCs w:val="2"/>
    </w:rPr>
  </w:style>
  <w:style w:type="character" w:customStyle="1" w:styleId="Small">
    <w:name w:val="Small"/>
    <w:basedOn w:val="DefaultParagraphFont"/>
    <w:rsid w:val="00CE6476"/>
    <w:rPr>
      <w:sz w:val="16"/>
    </w:rPr>
  </w:style>
  <w:style w:type="paragraph" w:customStyle="1" w:styleId="WideTable">
    <w:name w:val="Wide Table"/>
    <w:basedOn w:val="Normal"/>
    <w:rsid w:val="00CE6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476"/>
  </w:style>
  <w:style w:type="paragraph" w:styleId="Quote">
    <w:name w:val="Quote"/>
    <w:basedOn w:val="Heading1"/>
    <w:link w:val="QuoteChar"/>
    <w:qFormat/>
    <w:rsid w:val="00CE6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476"/>
    <w:pPr>
      <w:pageBreakBefore/>
    </w:pPr>
  </w:style>
  <w:style w:type="paragraph" w:customStyle="1" w:styleId="Border">
    <w:name w:val="Border"/>
    <w:basedOn w:val="Normal"/>
    <w:qFormat/>
    <w:rsid w:val="00CE6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476"/>
    <w:rPr>
      <w:u w:val="single"/>
    </w:rPr>
  </w:style>
  <w:style w:type="character" w:customStyle="1" w:styleId="BoldandItalics">
    <w:name w:val="Bold and Italics"/>
    <w:qFormat/>
    <w:rsid w:val="00CE6476"/>
    <w:rPr>
      <w:b/>
      <w:i/>
      <w:u w:val="none"/>
    </w:rPr>
  </w:style>
  <w:style w:type="paragraph" w:styleId="BalloonText">
    <w:name w:val="Balloon Text"/>
    <w:basedOn w:val="Normal"/>
    <w:link w:val="BalloonTextChar"/>
    <w:rsid w:val="00CE6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476"/>
    <w:pPr>
      <w:spacing w:before="0" w:after="0"/>
    </w:pPr>
  </w:style>
  <w:style w:type="paragraph" w:customStyle="1" w:styleId="BodyTextBold">
    <w:name w:val="Body Text Bold"/>
    <w:basedOn w:val="BodyText"/>
    <w:qFormat/>
    <w:rsid w:val="00CE6476"/>
    <w:rPr>
      <w:b/>
    </w:rPr>
  </w:style>
  <w:style w:type="character" w:styleId="Hyperlink">
    <w:name w:val="Hyperlink"/>
    <w:basedOn w:val="DefaultParagraphFont"/>
    <w:uiPriority w:val="99"/>
    <w:unhideWhenUsed/>
    <w:rsid w:val="003C2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6748</Characters>
  <Application>Microsoft Office Word</Application>
  <DocSecurity>0</DocSecurity>
  <Lines>306</Lines>
  <Paragraphs>155</Paragraphs>
  <ScaleCrop>false</ScaleCrop>
  <Company>Author-it Software Corporation Ltd.</Company>
  <LinksUpToDate>false</LinksUpToDate>
  <CharactersWithSpaces>7612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UEGNSG120 Manage gas system environmental compliance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2021-11-23T02:54:00Z</dcterms:created>
  <dcterms:modified xsi:type="dcterms:W3CDTF">2021-11-23T02:54:00Z</dcterms:modified>
</cp:coreProperties>
</file>