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77D" w:rsidP="0032077D">
      <w:pPr>
        <w:pStyle w:val="Title"/>
      </w:pPr>
      <w:r>
        <w:fldChar w:fldCharType="begin"/>
      </w:r>
      <w:r>
        <w:instrText xml:space="preserve"> TITLE   \* MERGEFORMAT </w:instrText>
      </w:r>
      <w:r>
        <w:fldChar w:fldCharType="separate"/>
      </w:r>
      <w:r>
        <w:t>UEGNSG120 Manage gas system environmental compliance</w:t>
      </w:r>
      <w:r>
        <w:fldChar w:fldCharType="end"/>
      </w:r>
    </w:p>
    <w:p w:rsidR="0032077D" w:rsidP="0032077D">
      <w:pPr>
        <w:pStyle w:val="Version"/>
        <w:sectPr w:rsidSect="00021B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B36" w:rsidP="00021B36">
      <w:pPr>
        <w:pStyle w:val="SuperHeading"/>
      </w:pPr>
      <w:r w:rsidRPr="00021B36">
        <w:t>UEGNSG120 Manage gas system environmental compliance</w:t>
      </w:r>
    </w:p>
    <w:p w:rsidR="00000000" w:rsidRPr="00021B36" w:rsidP="00021B36">
      <w:pPr>
        <w:pStyle w:val="Heading1"/>
      </w:pPr>
      <w:bookmarkStart w:id="1" w:name="O_966205"/>
      <w:bookmarkEnd w:id="1"/>
      <w:r w:rsidRPr="00021B36">
        <w:t>Modification History</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Release 1. This is the first release of this unit of competency in the UEG Gas Industry Training Package.</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2" w:name="O_966206"/>
      <w:bookmarkEnd w:id="2"/>
      <w:r w:rsidRPr="00021B36">
        <w:t>Application</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This unit involves the skills and knowledge required to manage gas system environmental co</w:t>
            </w:r>
            <w:r w:rsidRPr="00021B36">
              <w:t>mpliance.</w:t>
            </w:r>
          </w:p>
          <w:p w:rsidR="00000000" w:rsidRPr="00021B36" w:rsidP="00021B36">
            <w:pPr>
              <w:pStyle w:val="BodyText"/>
            </w:pPr>
            <w:r w:rsidRPr="00021B36">
              <w:t>It includes identifying, reviewing and documenting environmental and work health and safety (WHS)/occupational health and safety (OHS) management plan issues for a proposed gas system. It also includes facilitating negotiations for compliance wit</w:t>
            </w:r>
            <w:r w:rsidRPr="00021B36">
              <w:t>h regulations, relevant industry standards and codes of practice.</w:t>
            </w:r>
          </w:p>
          <w:p w:rsidR="00000000" w:rsidRPr="00021B36" w:rsidP="00021B36">
            <w:pPr>
              <w:pStyle w:val="BodyText"/>
            </w:pPr>
            <w:r w:rsidRPr="00021B36">
              <w:t>This unit applies to any safe work site where gas industry operations occur. It could also apply, where applicable, to other workplaces in the electricity supply industry (transmission and d</w:t>
            </w:r>
            <w:r w:rsidRPr="00021B36">
              <w:t>istribution and generation), the electrotechnology industry and the water industry, subject to WHS/ OHS and duty of care requirements being met for the workplace.</w:t>
            </w:r>
          </w:p>
          <w:p w:rsidR="00000000" w:rsidRPr="00021B36" w:rsidP="00021B36">
            <w:pPr>
              <w:pStyle w:val="BodyText"/>
            </w:pPr>
            <w:r w:rsidRPr="00021B36">
              <w:t>No licensing, legislative or certification requirements apply to this unit at the time of pub</w:t>
            </w:r>
            <w:r w:rsidRPr="00021B36">
              <w:t>lication.</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3" w:name="O_966207"/>
      <w:bookmarkEnd w:id="3"/>
      <w:r w:rsidRPr="00021B36">
        <w:t>Pre-requisite Unit</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Not applicable.</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4" w:name="O_966208"/>
      <w:bookmarkEnd w:id="4"/>
      <w:r w:rsidRPr="00021B36">
        <w:t>Competency Field</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Cross Discipline Units</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5" w:name="O_966209"/>
      <w:bookmarkEnd w:id="5"/>
      <w:r w:rsidRPr="00021B36">
        <w:t>Unit Sector</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Gas Industry</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6" w:name="O_966210"/>
      <w:bookmarkEnd w:id="6"/>
      <w:r w:rsidRPr="00021B3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21B3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PERFORMANCE CRITERIA</w:t>
            </w:r>
          </w:p>
        </w:tc>
      </w:tr>
      <w:tr w:rsidTr="00021B3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Performance criteria describe the performance needed to demonstrate achievement of the element.</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rPr>
                <w:rStyle w:val="SpecialBold"/>
              </w:rPr>
              <w:t xml:space="preserve">Identify and document </w:t>
            </w:r>
            <w:r w:rsidRPr="00021B36">
              <w:rPr>
                <w:rStyle w:val="SpecialBold"/>
              </w:rPr>
              <w:t>environmental issues for proposed gas system</w:t>
            </w: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 xml:space="preserve">WHS/OHS principles and practices and environmental </w:t>
            </w:r>
            <w:r w:rsidRPr="00021B36">
              <w:t>and sustainable energy workplace procedures which may influence the system are reviewed and determined</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Legislative requirements are identified and impact assessments are organised, as required, in a</w:t>
            </w:r>
            <w:r w:rsidRPr="00021B36">
              <w:t>ccordance with workplace procedures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Organisational procedures on policies and specifications for the environmental work are obtained or determined with appropriate personnel</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Testing parameters are determined from organisational workplace procedures on policies and specifications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Testing procedures are discussed with appropriate personnel to determine environmental project brief</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Equipment, tools and personal prote</w:t>
            </w:r>
            <w:r w:rsidRPr="00021B36">
              <w:t>ctive equipment (PPE) are selected and coordinated based on specified workplace requirements and procedures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Work roles and tasks are allocated in accordance with workplace requirements and person/s competency</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Work is prioritised and sequenced for effective outcome, completed within an acceptable timeframe to industry quality standard and in accordance with workplace procedures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 xml:space="preserve">Liaison and communication with authorised personnel, authorities, clients and </w:t>
            </w:r>
            <w:r w:rsidRPr="00021B36">
              <w:t>land owners are undertaken to resolve environmental issues and coordinate work activities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Risk control measures are identified, prioritised and evaluated against the work schedule</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Relevant work permits are secured to coordinate the performa</w:t>
            </w:r>
            <w:r w:rsidRPr="00021B36">
              <w:t>nce of work in accordance with workplace requirements and procedures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rPr>
                <w:rStyle w:val="SpecialBold"/>
              </w:rPr>
              <w:t>Facilitate negotiations for environmental compliance with regulations, industry standards and codes of practice</w:t>
            </w: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Internal and external stakeholders are identified and relevant qualified persons are consulted on compliance needs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Practicable negotiated decisions are made on the basis of safety and environmental compliance and effective outcomes in accordance wit</w:t>
            </w:r>
            <w:r w:rsidRPr="00021B36">
              <w:t xml:space="preserve">h workplace requirements </w:t>
            </w:r>
            <w:r w:rsidRPr="00021B36">
              <w:t>and procedures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Technical advice is obtained regarding hazards, assessed risks and reasonably practicable risk control measures so that monitoring can be undertaken and appropriate authorities consulted, as required, in accor</w:t>
            </w:r>
            <w:r w:rsidRPr="00021B36">
              <w:t>dance with workplace requirements and procedures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Specific data is analysed and compared with compliance specifications to ensure completion of the project within an agreed timeframe in accordance with workplace requirements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Work teams are arranged to ensure planned goals are met in accordance with workplace procedures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Solutions to unplanned events are responded to in accordance with workplace procedures, in a manner that minimises risk to personnel and equipment</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Quality of work is monitored against performance agreement and workplace, organisational and industry standards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Environmental strategic plan is developed incorporating organisation initiatives in accordance with workplace procedures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rPr>
                <w:rStyle w:val="SpecialBold"/>
              </w:rPr>
              <w:t>Review envir</w:t>
            </w:r>
            <w:r w:rsidRPr="00021B36">
              <w:rPr>
                <w:rStyle w:val="SpecialBold"/>
              </w:rPr>
              <w:t>onmental and WHS/OHS management plan for a gas system</w:t>
            </w: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Environmental and WHS/OHS risks and their likely impacts for a gas system on the installation assets and to communities are identified and analysed to determine reasonably practicable control option</w:t>
            </w:r>
            <w:r w:rsidRPr="00021B36">
              <w:t>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Options for addressing potential environmental impacts are identified, determined and costed</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Requisite environmental and WHS/OHS management strategies are determined and recommendat</w:t>
            </w:r>
            <w:r w:rsidRPr="00021B36">
              <w:t>ions made in accordance with workplace policies, procedures and processes</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Inspections of the gas system work are undertaken to ensure compliance with requirements, specifications and documentations needed to complete the environmental project</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Persons are notified of management plan for a gas system completion and reports and completion documents are finalised</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Management plan reports and completion documents are submitted to relevant personnel and organisations for approval and as required, statutory or regulatory approval</w:t>
            </w:r>
          </w:p>
        </w:tc>
      </w:tr>
      <w:tr w:rsidTr="00021B3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21B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 xml:space="preserve">Approved copies of documents are issued and records are updated in accordance with </w:t>
            </w:r>
            <w:r w:rsidRPr="00021B36">
              <w:t>workplace procedures</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7" w:name="O_966211"/>
      <w:bookmarkEnd w:id="7"/>
      <w:r w:rsidRPr="00021B36">
        <w:t>Foundation Skills</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Foundation skills essential to performance are explicit in the performance criteria of this unit of competency.</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8" w:name="O_966212"/>
      <w:bookmarkEnd w:id="8"/>
      <w:r w:rsidRPr="00021B36">
        <w:t>Range of Conditions</w:t>
      </w:r>
    </w:p>
    <w:tbl>
      <w:tblPr>
        <w:tblW w:w="9497" w:type="dxa"/>
        <w:tblLayout w:type="fixed"/>
        <w:tblCellMar>
          <w:left w:w="62" w:type="dxa"/>
          <w:right w:w="62" w:type="dxa"/>
        </w:tblCellMar>
        <w:tblLook w:val="0000"/>
      </w:tblPr>
      <w:tblGrid>
        <w:gridCol w:w="4693"/>
        <w:gridCol w:w="4804"/>
      </w:tblGrid>
      <w:tr w:rsidTr="00021B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Range is restricted to essential operating conditions and any other variables essential to the work environment.</w:t>
            </w:r>
          </w:p>
          <w:p w:rsidR="00000000" w:rsidP="00021B36">
            <w:pPr>
              <w:pStyle w:val="BodyText"/>
              <w:rPr>
                <w:lang w:val="en-NZ"/>
              </w:rPr>
            </w:pPr>
            <w:r w:rsidRPr="00021B36">
              <w:t>Non-essential conditions may be found in the UEG Gas Industry Training Package Companion Volume Implementation Guide.</w:t>
            </w:r>
          </w:p>
        </w:tc>
      </w:tr>
      <w:tr w:rsidTr="00021B3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constants and variables</w:t>
            </w:r>
            <w:r w:rsidRPr="00021B36">
              <w:t xml:space="preserve"> must include the following:</w:t>
            </w:r>
          </w:p>
          <w:p w:rsidR="00000000" w:rsidP="00021B36">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021B36" w:rsidP="00021B36">
            <w:pPr>
              <w:pStyle w:val="ListBullet"/>
            </w:pPr>
            <w:r w:rsidRPr="00021B36">
              <w:t>gas systems</w:t>
            </w:r>
          </w:p>
          <w:p w:rsidR="00000000" w:rsidRPr="00021B36" w:rsidP="00021B36">
            <w:pPr>
              <w:pStyle w:val="ListBullet"/>
            </w:pPr>
            <w:r w:rsidRPr="00021B36">
              <w:t>legislative compliance</w:t>
            </w:r>
          </w:p>
          <w:p w:rsidR="00000000" w:rsidRPr="00021B36" w:rsidP="00021B36">
            <w:pPr>
              <w:pStyle w:val="ListBullet"/>
            </w:pPr>
            <w:r w:rsidRPr="00021B36">
              <w:t>environmental issues</w:t>
            </w:r>
          </w:p>
          <w:p w:rsidR="00000000" w:rsidRPr="00021B36" w:rsidP="00021B36">
            <w:pPr>
              <w:pStyle w:val="ListBullet"/>
            </w:pPr>
            <w:r w:rsidRPr="00021B36">
              <w:t>safety issues</w:t>
            </w:r>
          </w:p>
          <w:p w:rsidR="00000000" w:rsidP="00021B36">
            <w:pPr>
              <w:pStyle w:val="ListBullet"/>
              <w:rPr>
                <w:lang w:val="en-NZ"/>
              </w:rPr>
            </w:pPr>
            <w:r w:rsidRPr="00021B36">
              <w:t>relevant personnel</w:t>
            </w:r>
          </w:p>
        </w:tc>
      </w:tr>
      <w:tr w:rsidTr="00021B3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gas system must include one (1) of the following:</w:t>
            </w:r>
          </w:p>
        </w:tc>
        <w:tc>
          <w:tcPr>
            <w:tcW w:w="4804" w:type="dxa"/>
            <w:tcBorders>
              <w:top w:val="nil"/>
              <w:left w:val="nil"/>
              <w:bottom w:val="nil"/>
              <w:right w:val="nil"/>
            </w:tcBorders>
            <w:tcMar>
              <w:top w:w="0" w:type="dxa"/>
              <w:left w:w="62" w:type="dxa"/>
              <w:bottom w:w="0" w:type="dxa"/>
              <w:right w:w="62" w:type="dxa"/>
            </w:tcMar>
          </w:tcPr>
          <w:p w:rsidR="00000000" w:rsidRPr="00021B36" w:rsidP="00021B36">
            <w:pPr>
              <w:pStyle w:val="ListBullet"/>
            </w:pPr>
            <w:r w:rsidRPr="00021B36">
              <w:t>natural gas transmission, distribution and storage</w:t>
            </w:r>
          </w:p>
          <w:p w:rsidR="00000000" w:rsidRPr="00021B36" w:rsidP="00021B36">
            <w:pPr>
              <w:pStyle w:val="ListBullet"/>
            </w:pPr>
            <w:r w:rsidRPr="00021B36">
              <w:t>liquefied petroleum gas (LPG) tanker and ship transport</w:t>
            </w:r>
          </w:p>
          <w:p w:rsidR="00000000" w:rsidP="00021B36">
            <w:pPr>
              <w:pStyle w:val="ListBullet"/>
              <w:rPr>
                <w:lang w:val="en-NZ"/>
              </w:rPr>
            </w:pPr>
            <w:r w:rsidRPr="00021B36">
              <w:t>storage and processing terminals and distribution systems</w:t>
            </w:r>
          </w:p>
        </w:tc>
      </w:tr>
      <w:tr w:rsidTr="00021B3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legislative compliance must include the following:</w:t>
            </w:r>
          </w:p>
        </w:tc>
        <w:tc>
          <w:tcPr>
            <w:tcW w:w="4804" w:type="dxa"/>
            <w:tcBorders>
              <w:top w:val="nil"/>
              <w:left w:val="nil"/>
              <w:bottom w:val="nil"/>
              <w:right w:val="nil"/>
            </w:tcBorders>
            <w:tcMar>
              <w:top w:w="0" w:type="dxa"/>
              <w:left w:w="62" w:type="dxa"/>
              <w:bottom w:w="0" w:type="dxa"/>
              <w:right w:w="62" w:type="dxa"/>
            </w:tcMar>
          </w:tcPr>
          <w:p w:rsidR="00000000" w:rsidRPr="00021B36" w:rsidP="00021B36">
            <w:pPr>
              <w:pStyle w:val="ListBullet"/>
            </w:pPr>
            <w:r w:rsidRPr="00021B36">
              <w:t>WHS/OHS legislation</w:t>
            </w:r>
          </w:p>
          <w:p w:rsidR="00000000" w:rsidRPr="00021B36" w:rsidP="00021B36">
            <w:pPr>
              <w:pStyle w:val="ListBullet"/>
            </w:pPr>
            <w:r w:rsidRPr="00021B36">
              <w:t>relevant government acts, regulations and codes of practice</w:t>
            </w:r>
          </w:p>
          <w:p w:rsidR="00000000" w:rsidRPr="00021B36" w:rsidP="00021B36">
            <w:pPr>
              <w:pStyle w:val="ListBullet"/>
            </w:pPr>
            <w:r w:rsidRPr="00021B36">
              <w:t xml:space="preserve">relevant </w:t>
            </w:r>
            <w:r w:rsidRPr="00021B36">
              <w:t>industry standards and codes of practice</w:t>
            </w:r>
          </w:p>
          <w:p w:rsidR="00000000" w:rsidP="00021B36">
            <w:pPr>
              <w:pStyle w:val="ListBullet"/>
              <w:rPr>
                <w:lang w:val="en-NZ"/>
              </w:rPr>
            </w:pPr>
            <w:r w:rsidRPr="00021B36">
              <w:t>environmental legislative requirements</w:t>
            </w:r>
          </w:p>
        </w:tc>
      </w:tr>
      <w:tr w:rsidTr="00021B3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environmental issues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021B36" w:rsidP="00021B36">
            <w:pPr>
              <w:pStyle w:val="ListBullet"/>
            </w:pPr>
            <w:r w:rsidRPr="00021B36">
              <w:t>political</w:t>
            </w:r>
          </w:p>
          <w:p w:rsidR="00000000" w:rsidRPr="00021B36" w:rsidP="00021B36">
            <w:pPr>
              <w:pStyle w:val="ListBullet"/>
            </w:pPr>
            <w:r w:rsidRPr="00021B36">
              <w:t>legal</w:t>
            </w:r>
          </w:p>
          <w:p w:rsidR="00000000" w:rsidP="00021B36">
            <w:pPr>
              <w:pStyle w:val="ListBullet"/>
              <w:rPr>
                <w:lang w:val="en-NZ"/>
              </w:rPr>
            </w:pPr>
            <w:r w:rsidRPr="00021B36">
              <w:t>community and aesthetic impact of installations</w:t>
            </w:r>
          </w:p>
        </w:tc>
      </w:tr>
      <w:tr w:rsidTr="00021B3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safety issues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021B36" w:rsidP="00021B36">
            <w:pPr>
              <w:pStyle w:val="ListBullet"/>
            </w:pPr>
            <w:r w:rsidRPr="00021B36">
              <w:t>WHS/OHS operatives</w:t>
            </w:r>
          </w:p>
          <w:p w:rsidR="00000000" w:rsidRPr="00021B36" w:rsidP="00021B36">
            <w:pPr>
              <w:pStyle w:val="ListBullet"/>
            </w:pPr>
            <w:r w:rsidRPr="00021B36">
              <w:t>ongoing maintenance of facilities</w:t>
            </w:r>
          </w:p>
          <w:p w:rsidR="00000000" w:rsidRPr="00021B36" w:rsidP="00021B36">
            <w:pPr>
              <w:pStyle w:val="ListBullet"/>
            </w:pPr>
            <w:r w:rsidRPr="00021B36">
              <w:t>emergency response plans</w:t>
            </w:r>
          </w:p>
          <w:p w:rsidR="00000000" w:rsidP="00021B36">
            <w:pPr>
              <w:pStyle w:val="ListBullet"/>
              <w:rPr>
                <w:lang w:val="en-NZ"/>
              </w:rPr>
            </w:pPr>
            <w:r w:rsidRPr="00021B36">
              <w:t>safety cases and environmental impact assessments for major hazardous facilities (MHFs)</w:t>
            </w:r>
          </w:p>
        </w:tc>
      </w:tr>
      <w:tr w:rsidTr="00021B3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relevant personnel must include at least six (6) of the following:</w:t>
            </w:r>
          </w:p>
        </w:tc>
        <w:tc>
          <w:tcPr>
            <w:tcW w:w="4804" w:type="dxa"/>
            <w:tcBorders>
              <w:top w:val="nil"/>
              <w:left w:val="nil"/>
              <w:bottom w:val="nil"/>
              <w:right w:val="nil"/>
            </w:tcBorders>
            <w:tcMar>
              <w:top w:w="0" w:type="dxa"/>
              <w:left w:w="62" w:type="dxa"/>
              <w:bottom w:w="0" w:type="dxa"/>
              <w:right w:w="62" w:type="dxa"/>
            </w:tcMar>
          </w:tcPr>
          <w:p w:rsidR="00000000" w:rsidRPr="00021B36" w:rsidP="00021B36">
            <w:pPr>
              <w:pStyle w:val="ListBullet"/>
            </w:pPr>
            <w:r w:rsidRPr="00021B36">
              <w:t>managers</w:t>
            </w:r>
          </w:p>
          <w:p w:rsidR="00000000" w:rsidRPr="00021B36" w:rsidP="00021B36">
            <w:pPr>
              <w:pStyle w:val="ListBullet"/>
            </w:pPr>
            <w:r w:rsidRPr="00021B36">
              <w:t>other superv</w:t>
            </w:r>
            <w:r w:rsidRPr="00021B36">
              <w:t>isors</w:t>
            </w:r>
          </w:p>
          <w:p w:rsidR="00000000" w:rsidRPr="00021B36" w:rsidP="00021B36">
            <w:pPr>
              <w:pStyle w:val="ListBullet"/>
            </w:pPr>
            <w:r w:rsidRPr="00021B36">
              <w:t>inter-company departments</w:t>
            </w:r>
          </w:p>
          <w:p w:rsidR="00000000" w:rsidRPr="00021B36" w:rsidP="00021B36">
            <w:pPr>
              <w:pStyle w:val="ListBullet"/>
            </w:pPr>
            <w:r w:rsidRPr="00021B36">
              <w:t>other utilities</w:t>
            </w:r>
          </w:p>
          <w:p w:rsidR="00000000" w:rsidRPr="00021B36" w:rsidP="00021B36">
            <w:pPr>
              <w:pStyle w:val="ListBullet"/>
            </w:pPr>
            <w:r w:rsidRPr="00021B36">
              <w:t>council representatives</w:t>
            </w:r>
          </w:p>
          <w:p w:rsidR="00000000" w:rsidRPr="00021B36" w:rsidP="00021B36">
            <w:pPr>
              <w:pStyle w:val="ListBullet"/>
            </w:pPr>
            <w:r w:rsidRPr="00021B36">
              <w:t>producers, transporters/shippers</w:t>
            </w:r>
          </w:p>
          <w:p w:rsidR="00000000" w:rsidRPr="00021B36" w:rsidP="00021B36">
            <w:pPr>
              <w:pStyle w:val="ListBullet"/>
            </w:pPr>
            <w:r w:rsidRPr="00021B36">
              <w:t>consultants</w:t>
            </w:r>
          </w:p>
          <w:p w:rsidR="00000000" w:rsidRPr="00021B36" w:rsidP="00021B36">
            <w:pPr>
              <w:pStyle w:val="ListBullet"/>
            </w:pPr>
            <w:r w:rsidRPr="00021B36">
              <w:t>government bodies/agencies</w:t>
            </w:r>
          </w:p>
          <w:p w:rsidR="00000000" w:rsidRPr="00021B36" w:rsidP="00021B36">
            <w:pPr>
              <w:pStyle w:val="ListBullet"/>
            </w:pPr>
            <w:r w:rsidRPr="00021B36">
              <w:t>refinery personnel</w:t>
            </w:r>
          </w:p>
          <w:p w:rsidR="00000000" w:rsidRPr="00021B36" w:rsidP="00021B36">
            <w:pPr>
              <w:pStyle w:val="ListBullet"/>
            </w:pPr>
            <w:r w:rsidRPr="00021B36">
              <w:t>customers</w:t>
            </w:r>
          </w:p>
          <w:p w:rsidR="00000000" w:rsidP="00021B36">
            <w:pPr>
              <w:pStyle w:val="ListBullet"/>
              <w:rPr>
                <w:lang w:val="en-NZ"/>
              </w:rPr>
            </w:pPr>
            <w:r w:rsidRPr="00021B36">
              <w:t>land owners/traditional land owners</w:t>
            </w:r>
          </w:p>
        </w:tc>
      </w:tr>
      <w:tr w:rsidTr="00021B3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relevant authorities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021B36" w:rsidP="00021B36">
            <w:pPr>
              <w:pStyle w:val="ListBullet"/>
            </w:pPr>
            <w:r w:rsidRPr="00021B36">
              <w:t>government authorities</w:t>
            </w:r>
          </w:p>
          <w:p w:rsidR="00000000" w:rsidRPr="00021B36" w:rsidP="00021B36">
            <w:pPr>
              <w:pStyle w:val="ListBullet"/>
            </w:pPr>
            <w:r w:rsidRPr="00021B36">
              <w:t>land owners both current and traditional</w:t>
            </w:r>
          </w:p>
          <w:p w:rsidR="00000000" w:rsidRPr="00021B36" w:rsidP="00021B36">
            <w:pPr>
              <w:pStyle w:val="ListBullet"/>
            </w:pPr>
            <w:r w:rsidRPr="00021B36">
              <w:t>local councils</w:t>
            </w:r>
          </w:p>
          <w:p w:rsidR="00000000" w:rsidRPr="00021B36" w:rsidP="00021B36">
            <w:pPr>
              <w:pStyle w:val="ListBullet"/>
            </w:pPr>
            <w:r w:rsidRPr="00021B36">
              <w:t>land management groups</w:t>
            </w:r>
          </w:p>
          <w:p w:rsidR="00000000" w:rsidRPr="00021B36" w:rsidP="00021B36">
            <w:pPr>
              <w:pStyle w:val="ListBullet"/>
            </w:pPr>
            <w:r w:rsidRPr="00021B36">
              <w:t>other utilities</w:t>
            </w:r>
          </w:p>
          <w:p w:rsidR="00000000" w:rsidRPr="00021B36" w:rsidP="00021B36">
            <w:pPr>
              <w:pStyle w:val="ListBullet"/>
            </w:pPr>
            <w:r w:rsidRPr="00021B36">
              <w:t>in-house quality control groups and management</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9" w:name="O_966213"/>
      <w:bookmarkEnd w:id="9"/>
      <w:r w:rsidRPr="00021B36">
        <w:t>Unit Mapping Information</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This unit replaces and is equivalent to UEGNSG120B Manage gas system environmental compliance.</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10" w:name="O_966220"/>
      <w:bookmarkEnd w:id="10"/>
      <w:r w:rsidRPr="00021B36">
        <w:t>Links</w:t>
      </w:r>
    </w:p>
    <w:p w:rsidR="00000000" w:rsidRPr="00021B36" w:rsidP="0032077D">
      <w:pPr>
        <w:pStyle w:val="BodyText"/>
      </w:pPr>
      <w:r w:rsidRPr="00021B3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B171B">
        <w:rPr>
          <w:rStyle w:val="Hyperlink"/>
        </w:rPr>
        <w:t>https://vetnet.gov.au/Pages/TrainingDocs.aspx?q=6a6c032e-ffcb-4f3d-8063-415efbd261e8</w:t>
      </w:r>
      <w:r>
        <w:fldChar w:fldCharType="end"/>
      </w:r>
    </w:p>
    <w:p w:rsidR="00000000" w:rsidRPr="00021B36" w:rsidP="0032077D">
      <w:pPr>
        <w:pStyle w:val="BodyText"/>
        <w:sectPr w:rsidSect="00021B36">
          <w:headerReference w:type="default" r:id="rId10"/>
          <w:footerReference w:type="default" r:id="rId11"/>
          <w:pgSz w:w="11908" w:h="16833"/>
          <w:pgMar w:top="1702" w:right="1418" w:bottom="1702" w:left="1418" w:header="992" w:footer="992" w:gutter="0"/>
          <w:cols w:space="720"/>
          <w:noEndnote/>
          <w:docGrid w:linePitch="299"/>
        </w:sectPr>
      </w:pPr>
    </w:p>
    <w:p w:rsidR="00000000" w:rsidRPr="00021B36" w:rsidP="00021B36">
      <w:pPr>
        <w:pStyle w:val="SuperHeading"/>
      </w:pPr>
      <w:r w:rsidRPr="00021B36">
        <w:t>Assessment Requirements for UEGNSG120 Manage gas system environ</w:t>
      </w:r>
      <w:r w:rsidRPr="00021B36">
        <w:t>mental compliance</w:t>
      </w:r>
    </w:p>
    <w:p w:rsidR="00000000" w:rsidRPr="00021B36" w:rsidP="00021B36">
      <w:pPr>
        <w:pStyle w:val="Heading1"/>
      </w:pPr>
      <w:bookmarkStart w:id="11" w:name="O_966215"/>
      <w:bookmarkEnd w:id="11"/>
      <w:r w:rsidRPr="00021B36">
        <w:t>Modification History</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Release 1. This is the first release of this unit of competency in the UEG Gas Industry Training Package.</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12" w:name="O_966216"/>
      <w:bookmarkEnd w:id="12"/>
      <w:r w:rsidRPr="00021B36">
        <w:t>Performance Evidence</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 xml:space="preserve">Evidence required to demonstrate competence in this unit must be relevant to and satisfy all of the requirements of the elements, performance criteria and range of conditions on at least two separate occasions and include: </w:t>
            </w:r>
          </w:p>
        </w:tc>
      </w:tr>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ListBullet"/>
            </w:pPr>
            <w:r w:rsidRPr="00021B36">
              <w:t>analysing data to ensure compl</w:t>
            </w:r>
            <w:r w:rsidRPr="00021B36">
              <w:t>iance with regulatory and workplace requirements</w:t>
            </w:r>
          </w:p>
          <w:p w:rsidR="00000000" w:rsidRPr="00021B36" w:rsidP="00021B36">
            <w:pPr>
              <w:pStyle w:val="ListBullet"/>
            </w:pPr>
            <w:r w:rsidRPr="00021B36">
              <w:t>applying relevant work health and safety (WHS)/occupational health and safety (OHS) requirements, including using of risk control measures</w:t>
            </w:r>
          </w:p>
          <w:p w:rsidR="00000000" w:rsidRPr="00021B36" w:rsidP="00021B36">
            <w:pPr>
              <w:pStyle w:val="ListBullet"/>
            </w:pPr>
            <w:r w:rsidRPr="00021B36">
              <w:t>applying sustainable energy principles and practices</w:t>
            </w:r>
          </w:p>
          <w:p w:rsidR="00000000" w:rsidRPr="00021B36" w:rsidP="00021B36">
            <w:pPr>
              <w:pStyle w:val="ListBullet"/>
            </w:pPr>
            <w:r w:rsidRPr="00021B36">
              <w:t>dealing effectively with unplanned events in accordance with workplace procedures, in a manner that minimises risk to personnel and equipment</w:t>
            </w:r>
          </w:p>
          <w:p w:rsidR="00000000" w:rsidRPr="00021B36" w:rsidP="00021B36">
            <w:pPr>
              <w:pStyle w:val="ListBullet"/>
            </w:pPr>
            <w:r w:rsidRPr="00021B36">
              <w:t>developing environmental strategic plan for gas system environmental compliance</w:t>
            </w:r>
          </w:p>
          <w:p w:rsidR="00000000" w:rsidRPr="00021B36" w:rsidP="00021B36">
            <w:pPr>
              <w:pStyle w:val="ListBullet"/>
            </w:pPr>
            <w:r w:rsidRPr="00021B36">
              <w:t>facilitating compliance negotiatio</w:t>
            </w:r>
            <w:r w:rsidRPr="00021B36">
              <w:t>ns, including relevant gas industry regulations, industry standards and codes of practice</w:t>
            </w:r>
          </w:p>
          <w:p w:rsidR="00000000" w:rsidRPr="00021B36" w:rsidP="00021B36">
            <w:pPr>
              <w:pStyle w:val="ListBullet"/>
            </w:pPr>
            <w:r w:rsidRPr="00021B36">
              <w:t>identifying and documenting environmental issues for proposed gas system</w:t>
            </w:r>
          </w:p>
          <w:p w:rsidR="00000000" w:rsidRPr="00021B36" w:rsidP="00021B36">
            <w:pPr>
              <w:pStyle w:val="ListBullet"/>
            </w:pPr>
            <w:r w:rsidRPr="00021B36">
              <w:t>reviewing environmental and WHS/OHS management plans for a gas system.</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13" w:name="O_966217"/>
      <w:bookmarkEnd w:id="13"/>
      <w:r w:rsidRPr="00021B36">
        <w:t>Kno</w:t>
      </w:r>
      <w:r w:rsidRPr="00021B36">
        <w:t>wledge Evidence</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1B36">
            <w:pPr>
              <w:pStyle w:val="BodyText"/>
              <w:rPr>
                <w:lang w:val="en-NZ"/>
              </w:rPr>
            </w:pPr>
            <w:r w:rsidRPr="00021B36">
              <w:t xml:space="preserve">Evidence required to demonstrate competence in this unit must be relevant to and satisfy all of the requirements of the elements, performance criteria and range of conditions and include knowledge of: </w:t>
            </w:r>
          </w:p>
        </w:tc>
      </w:tr>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ListBullet"/>
            </w:pPr>
            <w:r w:rsidRPr="00021B36">
              <w:t>chemical and physical behaviour of gases, and their effects in a gas system</w:t>
            </w:r>
          </w:p>
          <w:p w:rsidR="00000000" w:rsidRPr="00021B36" w:rsidP="00021B36">
            <w:pPr>
              <w:pStyle w:val="ListBullet"/>
            </w:pPr>
            <w:r w:rsidRPr="00021B36">
              <w:t>emergency management techniques in a gas industry environment</w:t>
            </w:r>
          </w:p>
          <w:p w:rsidR="00000000" w:rsidRPr="00021B36" w:rsidP="00021B36">
            <w:pPr>
              <w:pStyle w:val="ListBullet"/>
            </w:pPr>
            <w:r w:rsidRPr="00021B36">
              <w:t>gas system environmental compliance</w:t>
            </w:r>
          </w:p>
          <w:p w:rsidR="00000000" w:rsidRPr="00021B36" w:rsidP="00021B36">
            <w:pPr>
              <w:pStyle w:val="ListBullet"/>
            </w:pPr>
            <w:r w:rsidRPr="00021B36">
              <w:t>theory and study of hazard and operability (HAZOP) and hazard analysis (HAZAN)</w:t>
            </w:r>
          </w:p>
          <w:p w:rsidR="00000000" w:rsidRPr="00021B36" w:rsidP="00021B36">
            <w:pPr>
              <w:pStyle w:val="ListBullet"/>
            </w:pPr>
            <w:r w:rsidRPr="00021B36">
              <w:t>rel</w:t>
            </w:r>
            <w:r w:rsidRPr="00021B36">
              <w:t>evant job safety assessments or risk mitigation processes, including:</w:t>
            </w:r>
          </w:p>
          <w:p w:rsidR="00000000" w:rsidRPr="00021B36" w:rsidP="00021B36">
            <w:pPr>
              <w:pStyle w:val="ListBullet2"/>
            </w:pPr>
            <w:r w:rsidRPr="00021B36">
              <w:t>risk assessment, risk control and risk control measures</w:t>
            </w:r>
          </w:p>
          <w:p w:rsidR="00000000" w:rsidRPr="00021B36" w:rsidP="00021B36">
            <w:pPr>
              <w:pStyle w:val="ListBullet2"/>
            </w:pPr>
            <w:r w:rsidRPr="00021B36">
              <w:t>hierarchy of risk control</w:t>
            </w:r>
          </w:p>
          <w:p w:rsidR="00000000" w:rsidRPr="00021B36" w:rsidP="00021B36">
            <w:pPr>
              <w:pStyle w:val="ListBullet2"/>
            </w:pPr>
            <w:r w:rsidRPr="00021B36">
              <w:t>hazards and their consequences</w:t>
            </w:r>
          </w:p>
          <w:p w:rsidR="00000000" w:rsidRPr="00021B36" w:rsidP="00021B36">
            <w:pPr>
              <w:pStyle w:val="ListBullet2"/>
            </w:pPr>
            <w:r w:rsidRPr="00021B36">
              <w:t>hazards, assessing associated risks and implementing appropriate control measures</w:t>
            </w:r>
          </w:p>
          <w:p w:rsidR="00000000" w:rsidRPr="00021B36" w:rsidP="00021B36">
            <w:pPr>
              <w:pStyle w:val="ListBullet2"/>
            </w:pPr>
            <w:r w:rsidRPr="00021B36">
              <w:t>hazards and hazardous events</w:t>
            </w:r>
          </w:p>
          <w:p w:rsidR="00000000" w:rsidRPr="00021B36" w:rsidP="00021B36">
            <w:pPr>
              <w:pStyle w:val="ListBullet"/>
            </w:pPr>
            <w:r w:rsidRPr="00021B36">
              <w:t xml:space="preserve">relevant WHS/OHS legislated, industry standards and codes of practice for the gas industry requirements </w:t>
            </w:r>
          </w:p>
          <w:p w:rsidR="00000000" w:rsidRPr="00021B36" w:rsidP="00021B36">
            <w:pPr>
              <w:pStyle w:val="ListBullet"/>
            </w:pPr>
            <w:r w:rsidRPr="00021B36">
              <w:t>relevant workplace documentation</w:t>
            </w:r>
          </w:p>
          <w:p w:rsidR="00000000" w:rsidRPr="00021B36" w:rsidP="00021B36">
            <w:pPr>
              <w:pStyle w:val="ListBullet"/>
            </w:pPr>
            <w:r w:rsidRPr="00021B36">
              <w:t>releva</w:t>
            </w:r>
            <w:r w:rsidRPr="00021B36">
              <w:t>nt workplace policies and procedures.</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14" w:name="O_966218"/>
      <w:bookmarkEnd w:id="14"/>
      <w:r w:rsidRPr="00021B36">
        <w:t>Assessment Conditions</w:t>
      </w:r>
    </w:p>
    <w:tbl>
      <w:tblPr>
        <w:tblW w:w="9497" w:type="dxa"/>
        <w:tblLayout w:type="fixed"/>
        <w:tblCellMar>
          <w:left w:w="62" w:type="dxa"/>
          <w:right w:w="62" w:type="dxa"/>
        </w:tblCellMar>
        <w:tblLook w:val="0000"/>
      </w:tblPr>
      <w:tblGrid>
        <w:gridCol w:w="9497"/>
      </w:tblGrid>
      <w:tr w:rsidTr="00021B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1B36" w:rsidP="00021B36">
            <w:pPr>
              <w:pStyle w:val="BodyText"/>
            </w:pPr>
            <w:r w:rsidRPr="00021B36">
              <w:t xml:space="preserve">As a minimum, assessors must satisfy applicable regulatory requirements, which include requirements in the Standards for Registered Training Organisations </w:t>
            </w:r>
            <w:r w:rsidRPr="00021B36">
              <w:t xml:space="preserve">current at the time of assessment. </w:t>
            </w:r>
          </w:p>
          <w:p w:rsidR="00000000" w:rsidRPr="00021B36" w:rsidP="00021B36">
            <w:pPr>
              <w:pStyle w:val="BodyText"/>
            </w:pPr>
            <w:r w:rsidRPr="00021B36">
              <w:t>As a minimum, assessment must satisfy applicable regulatory requirements, which include requirements in the Standards for Registered Training Organisations current at the time of assessment.</w:t>
            </w:r>
          </w:p>
          <w:p w:rsidR="00000000" w:rsidRPr="00021B36" w:rsidP="00021B36">
            <w:pPr>
              <w:pStyle w:val="BodyText"/>
            </w:pPr>
            <w:r w:rsidRPr="00021B36">
              <w:t>Assessment must occur in work</w:t>
            </w:r>
            <w:r w:rsidRPr="00021B36">
              <w:t>place operational situations where it is appropriate to do so; where this is not appropriate, assessment must occur in simulated workplace operational situations that replicate workplace conditions.</w:t>
            </w:r>
          </w:p>
          <w:p w:rsidR="00000000" w:rsidRPr="00021B36" w:rsidP="00021B36">
            <w:pPr>
              <w:pStyle w:val="BodyText"/>
            </w:pPr>
            <w:r w:rsidRPr="00021B36">
              <w:t>Assessment processes and techniques must be appropriate t</w:t>
            </w:r>
            <w:r w:rsidRPr="00021B36">
              <w:t>o the language, literacy and numeracy requirements of the work being performed and the needs of the candidate.</w:t>
            </w:r>
          </w:p>
          <w:p w:rsidR="00000000" w:rsidRPr="00021B36" w:rsidP="00021B36">
            <w:pPr>
              <w:pStyle w:val="BodyText"/>
            </w:pPr>
            <w:r w:rsidRPr="00021B36">
              <w:t>Resources for assessment must include access to:</w:t>
            </w:r>
          </w:p>
          <w:p w:rsidR="00000000" w:rsidRPr="00021B36" w:rsidP="00021B36">
            <w:pPr>
              <w:pStyle w:val="ListBullet"/>
            </w:pPr>
            <w:r w:rsidRPr="00021B36">
              <w:t>a range of relevant exercises, case studies and/or other simulations</w:t>
            </w:r>
          </w:p>
          <w:p w:rsidR="00000000" w:rsidRPr="00021B36" w:rsidP="00021B36">
            <w:pPr>
              <w:pStyle w:val="ListBullet"/>
            </w:pPr>
            <w:r w:rsidRPr="00021B36">
              <w:t>relevant and appropriate m</w:t>
            </w:r>
            <w:r w:rsidRPr="00021B36">
              <w:t xml:space="preserve">aterials, tools, equipment and personal protective equipment (PPE) currently used in industry </w:t>
            </w:r>
          </w:p>
          <w:p w:rsidR="00000000" w:rsidRPr="00021B36" w:rsidP="00021B36">
            <w:pPr>
              <w:pStyle w:val="ListBullet"/>
            </w:pPr>
            <w:r w:rsidRPr="00021B36">
              <w:t>applicable documentation, including workplace procedures, equipment specifications, regulations, codes of practice and operation manuals.</w:t>
            </w:r>
          </w:p>
        </w:tc>
      </w:tr>
    </w:tbl>
    <w:p w:rsidR="00000000" w:rsidRPr="00021B36" w:rsidP="00021B36">
      <w:pPr>
        <w:pStyle w:val="NoPaddingFontSize1"/>
      </w:pPr>
    </w:p>
    <w:p w:rsidR="00000000" w:rsidRPr="00021B36" w:rsidP="00021B36">
      <w:pPr>
        <w:pStyle w:val="AllowPageBreak"/>
      </w:pPr>
    </w:p>
    <w:p w:rsidR="00000000" w:rsidRPr="00021B36" w:rsidP="00021B36">
      <w:pPr>
        <w:pStyle w:val="Heading1"/>
      </w:pPr>
      <w:bookmarkStart w:id="15" w:name="O_966221"/>
      <w:bookmarkEnd w:id="15"/>
      <w:r w:rsidRPr="00021B36">
        <w:t>Links</w:t>
      </w:r>
    </w:p>
    <w:p w:rsidR="00000000" w:rsidRPr="00021B36" w:rsidP="0032077D">
      <w:pPr>
        <w:pStyle w:val="BodyText"/>
      </w:pPr>
      <w:r w:rsidRPr="00021B3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B171B">
        <w:rPr>
          <w:rStyle w:val="Hyperlink"/>
        </w:rPr>
        <w:t>https://vetnet.gov.au/Pages/TrainingDocs.aspx?q=6a6c032e-ffcb-4f3d-8063-415efbd261e8</w:t>
      </w:r>
      <w:r>
        <w:fldChar w:fldCharType="end"/>
      </w:r>
    </w:p>
    <w:p w:rsidR="00000000" w:rsidRPr="00021B36" w:rsidP="00021B36"/>
    <w:sectPr w:rsidSect="00021B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36" w:rsidRPr="0032077D" w:rsidP="00320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7D" w:rsidP="00021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077D" w:rsidP="00021B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2077D" w:rsidP="00021B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36" w:rsidP="00021B36">
    <w:pPr>
      <w:pStyle w:val="Footer"/>
      <w:framePr w:wrap="around"/>
    </w:pPr>
    <w:r>
      <w:fldChar w:fldCharType="begin"/>
    </w:r>
    <w:r>
      <w:instrText xml:space="preserve"> DOCPROPERTY  Subject  \* MERGEFORMAT </w:instrText>
    </w:r>
    <w:r>
      <w:fldChar w:fldCharType="separate"/>
    </w:r>
    <w:r w:rsidR="0032077D">
      <w:t>Approved</w:t>
    </w:r>
    <w:r w:rsidR="0032077D">
      <w:fldChar w:fldCharType="end"/>
    </w:r>
    <w:r>
      <w:tab/>
      <w:t xml:space="preserve">Page </w:t>
    </w:r>
    <w:r>
      <w:fldChar w:fldCharType="begin"/>
    </w:r>
    <w:r>
      <w:instrText xml:space="preserve"> PAGE  \* Arabic  \* MERGEFORMAT </w:instrText>
    </w:r>
    <w:r>
      <w:fldChar w:fldCharType="separate"/>
    </w:r>
    <w:r w:rsidR="003207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077D">
      <w:rPr>
        <w:noProof/>
      </w:rPr>
      <w:t>6</w:t>
    </w:r>
    <w:r>
      <w:rPr>
        <w:noProof/>
      </w:rPr>
      <w:fldChar w:fldCharType="end"/>
    </w:r>
  </w:p>
  <w:p w:rsidR="00021B36" w:rsidP="00021B36">
    <w:pPr>
      <w:pStyle w:val="Footer"/>
      <w:framePr w:wrap="around"/>
    </w:pPr>
    <w:r>
      <w:t xml:space="preserve">© Commonwealth of Australia, </w:t>
    </w:r>
    <w:r>
      <w:fldChar w:fldCharType="begin"/>
    </w:r>
    <w:r>
      <w:instrText xml:space="preserve"> DATE  \@ "yyyy"  \* MERGEFORMAT </w:instrText>
    </w:r>
    <w:r>
      <w:fldChar w:fldCharType="separate"/>
    </w:r>
    <w:r w:rsidR="0032077D">
      <w:rPr>
        <w:noProof/>
      </w:rPr>
      <w:t>2025</w:t>
    </w:r>
    <w:r>
      <w:fldChar w:fldCharType="end"/>
    </w:r>
    <w:r>
      <w:tab/>
    </w:r>
    <w:r>
      <w:fldChar w:fldCharType="begin"/>
    </w:r>
    <w:r>
      <w:instrText xml:space="preserve"> DOCPROPERTY  Author  \* MERGEFORMAT </w:instrText>
    </w:r>
    <w:r>
      <w:fldChar w:fldCharType="separate"/>
    </w:r>
    <w:r w:rsidR="0032077D">
      <w:t>Powering Skills Organisation</w:t>
    </w:r>
    <w:r w:rsidR="0032077D">
      <w:fldChar w:fldCharType="end"/>
    </w:r>
  </w:p>
  <w:p w:rsidR="00021B36" w:rsidP="00021B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B36" w:rsidRPr="0032077D" w:rsidP="00320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7D" w:rsidRPr="002D2AF8" w:rsidP="00021B36">
    <w:pPr>
      <w:pStyle w:val="Header"/>
      <w:framePr w:wrap="around"/>
    </w:pPr>
    <w:r>
      <w:fldChar w:fldCharType="begin"/>
    </w:r>
    <w:r>
      <w:instrText xml:space="preserve"> TITLE   \* MERGEFORMAT </w:instrText>
    </w:r>
    <w:r>
      <w:fldChar w:fldCharType="separate"/>
    </w:r>
    <w:r>
      <w:t>UEGNSG120 Manage gas system environmental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2077D" w:rsidP="00021B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36" w:rsidRPr="002D2AF8" w:rsidP="00021B36">
    <w:pPr>
      <w:pStyle w:val="Header"/>
      <w:framePr w:wrap="around"/>
    </w:pPr>
    <w:r>
      <w:fldChar w:fldCharType="begin"/>
    </w:r>
    <w:r>
      <w:instrText xml:space="preserve"> TITLE   \* MERGEFORMAT </w:instrText>
    </w:r>
    <w:r>
      <w:fldChar w:fldCharType="separate"/>
    </w:r>
    <w:r w:rsidR="0032077D">
      <w:t>UEGNSG120 Manage gas system environmental compliance</w:t>
    </w:r>
    <w:r w:rsidR="0032077D">
      <w:fldChar w:fldCharType="end"/>
    </w:r>
    <w:r>
      <w:tab/>
      <w:t xml:space="preserve">Date this document was generated: </w:t>
    </w:r>
    <w:r>
      <w:fldChar w:fldCharType="begin"/>
    </w:r>
    <w:r>
      <w:instrText xml:space="preserve"> CREATEDATE  \@ "d MMMM yyyy"  \* MERGEFORMAT </w:instrText>
    </w:r>
    <w:r>
      <w:fldChar w:fldCharType="separate"/>
    </w:r>
    <w:r w:rsidR="0032077D">
      <w:rPr>
        <w:noProof/>
      </w:rPr>
      <w:t>1 March 2025</w:t>
    </w:r>
    <w:r>
      <w:fldChar w:fldCharType="end"/>
    </w:r>
  </w:p>
  <w:p w:rsidR="00021B36" w:rsidP="00021B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C81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02F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6C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B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B36"/>
    <w:pPr>
      <w:spacing w:before="360" w:after="60"/>
      <w:outlineLvl w:val="0"/>
    </w:pPr>
    <w:rPr>
      <w:sz w:val="32"/>
    </w:rPr>
  </w:style>
  <w:style w:type="paragraph" w:styleId="Heading2">
    <w:name w:val="heading 2"/>
    <w:basedOn w:val="HeadingBase"/>
    <w:next w:val="BodyText"/>
    <w:link w:val="Heading2Char"/>
    <w:qFormat/>
    <w:rsid w:val="00021B36"/>
    <w:pPr>
      <w:keepLines/>
      <w:spacing w:before="240" w:after="120"/>
      <w:outlineLvl w:val="1"/>
    </w:pPr>
    <w:rPr>
      <w:sz w:val="28"/>
      <w:szCs w:val="40"/>
    </w:rPr>
  </w:style>
  <w:style w:type="paragraph" w:styleId="Heading3">
    <w:name w:val="heading 3"/>
    <w:basedOn w:val="HeadingBase"/>
    <w:next w:val="BodyText"/>
    <w:link w:val="Heading3Char"/>
    <w:qFormat/>
    <w:rsid w:val="00021B36"/>
    <w:pPr>
      <w:spacing w:before="180" w:after="120"/>
      <w:outlineLvl w:val="2"/>
    </w:pPr>
    <w:rPr>
      <w:spacing w:val="-10"/>
      <w:kern w:val="32"/>
    </w:rPr>
  </w:style>
  <w:style w:type="paragraph" w:styleId="Heading4">
    <w:name w:val="heading 4"/>
    <w:basedOn w:val="HeadingBase"/>
    <w:next w:val="BodyText"/>
    <w:link w:val="Heading4Char"/>
    <w:qFormat/>
    <w:rsid w:val="00021B36"/>
    <w:pPr>
      <w:spacing w:before="160" w:after="120"/>
      <w:outlineLvl w:val="3"/>
    </w:pPr>
    <w:rPr>
      <w:sz w:val="22"/>
    </w:rPr>
  </w:style>
  <w:style w:type="paragraph" w:styleId="Heading5">
    <w:name w:val="heading 5"/>
    <w:basedOn w:val="HeadingBase"/>
    <w:next w:val="Normal"/>
    <w:link w:val="Heading5Char"/>
    <w:qFormat/>
    <w:rsid w:val="00021B36"/>
    <w:pPr>
      <w:spacing w:before="80"/>
      <w:outlineLvl w:val="4"/>
    </w:pPr>
    <w:rPr>
      <w:color w:val="918585"/>
      <w:sz w:val="20"/>
    </w:rPr>
  </w:style>
  <w:style w:type="paragraph" w:styleId="Heading6">
    <w:name w:val="heading 6"/>
    <w:basedOn w:val="HeadingBase"/>
    <w:next w:val="Normal"/>
    <w:link w:val="Heading6Char"/>
    <w:qFormat/>
    <w:rsid w:val="00021B36"/>
    <w:pPr>
      <w:spacing w:before="60"/>
      <w:outlineLvl w:val="5"/>
    </w:pPr>
    <w:rPr>
      <w:color w:val="918585"/>
      <w:sz w:val="20"/>
    </w:rPr>
  </w:style>
  <w:style w:type="paragraph" w:styleId="Heading7">
    <w:name w:val="heading 7"/>
    <w:basedOn w:val="Normal"/>
    <w:next w:val="Normal"/>
    <w:link w:val="Heading7Char"/>
    <w:qFormat/>
    <w:rsid w:val="00021B36"/>
    <w:pPr>
      <w:ind w:left="720"/>
      <w:outlineLvl w:val="6"/>
    </w:pPr>
    <w:rPr>
      <w:i/>
    </w:rPr>
  </w:style>
  <w:style w:type="paragraph" w:styleId="Heading8">
    <w:name w:val="heading 8"/>
    <w:basedOn w:val="Normal"/>
    <w:next w:val="Normal"/>
    <w:link w:val="Heading8Char"/>
    <w:qFormat/>
    <w:rsid w:val="00021B36"/>
    <w:pPr>
      <w:ind w:left="720"/>
      <w:outlineLvl w:val="7"/>
    </w:pPr>
    <w:rPr>
      <w:i/>
    </w:rPr>
  </w:style>
  <w:style w:type="paragraph" w:styleId="Heading9">
    <w:name w:val="heading 9"/>
    <w:basedOn w:val="Normal"/>
    <w:next w:val="Normal"/>
    <w:link w:val="Heading9Char"/>
    <w:qFormat/>
    <w:rsid w:val="00021B36"/>
    <w:pPr>
      <w:ind w:left="720"/>
      <w:outlineLvl w:val="8"/>
    </w:pPr>
    <w:rPr>
      <w:i/>
    </w:rPr>
  </w:style>
  <w:style w:type="character" w:default="1" w:styleId="DefaultParagraphFont">
    <w:name w:val="Default Paragraph Font"/>
    <w:uiPriority w:val="1"/>
    <w:unhideWhenUsed/>
    <w:rsid w:val="00021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B36"/>
  </w:style>
  <w:style w:type="character" w:customStyle="1" w:styleId="Heading1Char">
    <w:name w:val="Heading 1 Char"/>
    <w:basedOn w:val="DefaultParagraphFont"/>
    <w:link w:val="Heading1"/>
    <w:rsid w:val="00021B36"/>
    <w:rPr>
      <w:rFonts w:ascii="Times New Roman" w:eastAsia="Times New Roman" w:hAnsi="Times New Roman" w:cs="Times New Roman"/>
      <w:b/>
      <w:sz w:val="32"/>
      <w:szCs w:val="20"/>
      <w:lang w:eastAsia="en-US"/>
    </w:rPr>
  </w:style>
  <w:style w:type="paragraph" w:styleId="BodyText">
    <w:name w:val="Body Text"/>
    <w:basedOn w:val="Normal"/>
    <w:link w:val="BodyTextChar"/>
    <w:rsid w:val="00021B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B36"/>
    <w:rPr>
      <w:rFonts w:ascii="Times New Roman" w:eastAsia="Times New Roman" w:hAnsi="Times New Roman" w:cs="Times New Roman"/>
      <w:sz w:val="24"/>
      <w:lang w:eastAsia="en-US"/>
    </w:rPr>
  </w:style>
  <w:style w:type="paragraph" w:styleId="ListBullet">
    <w:name w:val="List Bullet"/>
    <w:basedOn w:val="List"/>
    <w:rsid w:val="00021B36"/>
    <w:pPr>
      <w:numPr>
        <w:numId w:val="12"/>
      </w:numPr>
      <w:tabs>
        <w:tab w:val="clear" w:pos="340"/>
      </w:tabs>
      <w:spacing w:before="40" w:after="40"/>
    </w:pPr>
  </w:style>
  <w:style w:type="character" w:customStyle="1" w:styleId="SpecialBold">
    <w:name w:val="Special Bold"/>
    <w:basedOn w:val="DefaultParagraphFont"/>
    <w:rsid w:val="00021B36"/>
    <w:rPr>
      <w:b/>
      <w:spacing w:val="0"/>
    </w:rPr>
  </w:style>
  <w:style w:type="paragraph" w:styleId="ListBullet2">
    <w:name w:val="List Bullet 2"/>
    <w:basedOn w:val="List2"/>
    <w:rsid w:val="00021B36"/>
    <w:pPr>
      <w:numPr>
        <w:numId w:val="13"/>
      </w:numPr>
      <w:tabs>
        <w:tab w:val="clear" w:pos="680"/>
      </w:tabs>
    </w:pPr>
  </w:style>
  <w:style w:type="paragraph" w:customStyle="1" w:styleId="SuperHeading">
    <w:name w:val="SuperHeading"/>
    <w:basedOn w:val="Normal"/>
    <w:rsid w:val="00021B36"/>
    <w:pPr>
      <w:spacing w:before="240" w:after="120"/>
      <w:outlineLvl w:val="0"/>
    </w:pPr>
    <w:rPr>
      <w:rFonts w:ascii="Times New Roman" w:hAnsi="Times New Roman"/>
      <w:b/>
      <w:sz w:val="32"/>
    </w:rPr>
  </w:style>
  <w:style w:type="paragraph" w:customStyle="1" w:styleId="AllowPageBreak">
    <w:name w:val="AllowPageBreak"/>
    <w:rsid w:val="00021B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1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B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B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B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B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B36"/>
    <w:rPr>
      <w:rFonts w:ascii="Courier New" w:eastAsia="Times New Roman" w:hAnsi="Courier New" w:cs="Times New Roman"/>
      <w:i/>
      <w:szCs w:val="20"/>
      <w:lang w:eastAsia="en-US"/>
    </w:rPr>
  </w:style>
  <w:style w:type="paragraph" w:customStyle="1" w:styleId="HeadingBase">
    <w:name w:val="Heading Base"/>
    <w:rsid w:val="00021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B36"/>
    <w:pPr>
      <w:tabs>
        <w:tab w:val="right" w:leader="dot" w:pos="9072"/>
      </w:tabs>
      <w:ind w:left="567"/>
    </w:pPr>
    <w:rPr>
      <w:szCs w:val="22"/>
    </w:rPr>
  </w:style>
  <w:style w:type="paragraph" w:customStyle="1" w:styleId="TOCBase">
    <w:name w:val="TOC Base"/>
    <w:rsid w:val="00021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B36"/>
    <w:pPr>
      <w:tabs>
        <w:tab w:val="right" w:leader="dot" w:pos="9072"/>
      </w:tabs>
      <w:spacing w:before="40" w:after="40"/>
      <w:ind w:left="284"/>
    </w:pPr>
    <w:rPr>
      <w:rFonts w:ascii="Times New Roman" w:hAnsi="Times New Roman"/>
    </w:rPr>
  </w:style>
  <w:style w:type="paragraph" w:styleId="TOC1">
    <w:name w:val="toc 1"/>
    <w:basedOn w:val="TOCBase"/>
    <w:next w:val="Normal"/>
    <w:rsid w:val="00021B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B36"/>
    <w:rPr>
      <w:rFonts w:ascii="Times New Roman" w:eastAsia="Times New Roman" w:hAnsi="Times New Roman" w:cs="Times New Roman"/>
      <w:sz w:val="16"/>
      <w:lang w:eastAsia="en-US"/>
    </w:rPr>
  </w:style>
  <w:style w:type="paragraph" w:styleId="Title">
    <w:name w:val="Title"/>
    <w:basedOn w:val="HeadingBase"/>
    <w:link w:val="TitleChar"/>
    <w:qFormat/>
    <w:rsid w:val="00021B36"/>
    <w:pPr>
      <w:spacing w:before="5040"/>
      <w:jc w:val="center"/>
    </w:pPr>
    <w:rPr>
      <w:sz w:val="48"/>
      <w:szCs w:val="72"/>
      <w:lang w:val="en-US"/>
    </w:rPr>
  </w:style>
  <w:style w:type="character" w:customStyle="1" w:styleId="TitleChar">
    <w:name w:val="Title Char"/>
    <w:basedOn w:val="DefaultParagraphFont"/>
    <w:link w:val="Title"/>
    <w:rsid w:val="00021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B36"/>
    <w:pPr>
      <w:tabs>
        <w:tab w:val="left" w:pos="3600"/>
        <w:tab w:val="left" w:pos="3958"/>
      </w:tabs>
    </w:pPr>
  </w:style>
  <w:style w:type="paragraph" w:styleId="List">
    <w:name w:val="List"/>
    <w:basedOn w:val="BodyText"/>
    <w:next w:val="BodyText"/>
    <w:rsid w:val="00021B36"/>
    <w:pPr>
      <w:tabs>
        <w:tab w:val="left" w:pos="340"/>
      </w:tabs>
      <w:spacing w:before="60" w:after="60"/>
      <w:ind w:left="340" w:hanging="340"/>
    </w:pPr>
  </w:style>
  <w:style w:type="paragraph" w:customStyle="1" w:styleId="Note">
    <w:name w:val="Note"/>
    <w:basedOn w:val="BodyText"/>
    <w:rsid w:val="00021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B36"/>
    <w:pPr>
      <w:framePr w:wrap="auto" w:hAnchor="text" w:y="6049"/>
    </w:pPr>
    <w:rPr>
      <w:color w:val="000000"/>
      <w:sz w:val="40"/>
    </w:rPr>
  </w:style>
  <w:style w:type="paragraph" w:customStyle="1" w:styleId="TOCTitle">
    <w:name w:val="TOCTitle"/>
    <w:basedOn w:val="Heading1"/>
    <w:rsid w:val="00021B36"/>
    <w:pPr>
      <w:spacing w:after="240"/>
      <w:jc w:val="center"/>
      <w:outlineLvl w:val="9"/>
    </w:pPr>
    <w:rPr>
      <w:caps/>
    </w:rPr>
  </w:style>
  <w:style w:type="paragraph" w:customStyle="1" w:styleId="Version">
    <w:name w:val="Version"/>
    <w:rsid w:val="00021B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1B36"/>
    <w:pPr>
      <w:keepNext w:val="0"/>
      <w:tabs>
        <w:tab w:val="right" w:pos="4176"/>
      </w:tabs>
      <w:ind w:left="198" w:hanging="198"/>
    </w:pPr>
    <w:rPr>
      <w:rFonts w:ascii="Garamond" w:hAnsi="Garamond"/>
    </w:rPr>
  </w:style>
  <w:style w:type="paragraph" w:styleId="IndexHeading">
    <w:name w:val="index heading"/>
    <w:basedOn w:val="Normal"/>
    <w:next w:val="Index1"/>
    <w:semiHidden/>
    <w:rsid w:val="00021B36"/>
    <w:pPr>
      <w:spacing w:before="120" w:after="120"/>
    </w:pPr>
    <w:rPr>
      <w:rFonts w:ascii="Arial" w:hAnsi="Arial"/>
      <w:b/>
      <w:color w:val="918585"/>
      <w:sz w:val="24"/>
    </w:rPr>
  </w:style>
  <w:style w:type="paragraph" w:styleId="Header">
    <w:name w:val="header"/>
    <w:basedOn w:val="Normal"/>
    <w:link w:val="HeaderChar"/>
    <w:rsid w:val="00021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B36"/>
    <w:rPr>
      <w:rFonts w:ascii="Times New Roman" w:eastAsia="Times New Roman" w:hAnsi="Times New Roman" w:cs="Times New Roman"/>
      <w:sz w:val="16"/>
      <w:szCs w:val="20"/>
      <w:lang w:val="en-GB" w:eastAsia="en-US"/>
    </w:rPr>
  </w:style>
  <w:style w:type="paragraph" w:customStyle="1" w:styleId="Chapter">
    <w:name w:val="Chapter"/>
    <w:basedOn w:val="Normal"/>
    <w:rsid w:val="00021B36"/>
    <w:pPr>
      <w:spacing w:before="240"/>
    </w:pPr>
    <w:rPr>
      <w:rFonts w:ascii="Times New Roman" w:hAnsi="Times New Roman"/>
      <w:smallCaps/>
      <w:spacing w:val="80"/>
      <w:sz w:val="28"/>
    </w:rPr>
  </w:style>
  <w:style w:type="paragraph" w:customStyle="1" w:styleId="InChapter">
    <w:name w:val="InChapter"/>
    <w:basedOn w:val="Heading3"/>
    <w:rsid w:val="00021B36"/>
    <w:pPr>
      <w:spacing w:after="240"/>
      <w:outlineLvl w:val="9"/>
    </w:pPr>
    <w:rPr>
      <w:noProof/>
    </w:rPr>
  </w:style>
  <w:style w:type="paragraph" w:styleId="Index2">
    <w:name w:val="index 2"/>
    <w:basedOn w:val="Normal"/>
    <w:next w:val="Normal"/>
    <w:semiHidden/>
    <w:rsid w:val="00021B36"/>
    <w:pPr>
      <w:tabs>
        <w:tab w:val="right" w:pos="4176"/>
      </w:tabs>
      <w:ind w:left="568" w:hanging="284"/>
    </w:pPr>
    <w:rPr>
      <w:rFonts w:ascii="Garamond" w:hAnsi="Garamond"/>
    </w:rPr>
  </w:style>
  <w:style w:type="paragraph" w:customStyle="1" w:styleId="Byline">
    <w:name w:val="Byline"/>
    <w:rsid w:val="00021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B36"/>
    <w:pPr>
      <w:tabs>
        <w:tab w:val="clear" w:pos="3600"/>
        <w:tab w:val="clear" w:pos="3958"/>
      </w:tabs>
      <w:jc w:val="right"/>
    </w:pPr>
  </w:style>
  <w:style w:type="character" w:styleId="Emphasis">
    <w:name w:val="Emphasis"/>
    <w:basedOn w:val="DefaultParagraphFont"/>
    <w:qFormat/>
    <w:rsid w:val="00021B36"/>
    <w:rPr>
      <w:i/>
    </w:rPr>
  </w:style>
  <w:style w:type="paragraph" w:styleId="Caption">
    <w:name w:val="caption"/>
    <w:basedOn w:val="BodyText"/>
    <w:next w:val="Normal"/>
    <w:qFormat/>
    <w:rsid w:val="00021B36"/>
    <w:pPr>
      <w:framePr w:w="2268" w:hSpace="181" w:vSpace="181" w:wrap="around" w:vAnchor="text" w:hAnchor="page" w:x="1135" w:y="285" w:anchorLock="1"/>
    </w:pPr>
    <w:rPr>
      <w:i/>
    </w:rPr>
  </w:style>
  <w:style w:type="paragraph" w:customStyle="1" w:styleId="MiniTOCTitle">
    <w:name w:val="MiniTOCTitle"/>
    <w:basedOn w:val="Heading4"/>
    <w:rsid w:val="00021B36"/>
    <w:pPr>
      <w:spacing w:before="240"/>
      <w:outlineLvl w:val="9"/>
    </w:pPr>
    <w:rPr>
      <w:noProof/>
      <w:sz w:val="24"/>
    </w:rPr>
  </w:style>
  <w:style w:type="paragraph" w:customStyle="1" w:styleId="MiniTOCItem">
    <w:name w:val="MiniTOCItem"/>
    <w:basedOn w:val="ListBullet"/>
    <w:rsid w:val="00021B36"/>
    <w:pPr>
      <w:numPr>
        <w:numId w:val="0"/>
      </w:numPr>
      <w:tabs>
        <w:tab w:val="right" w:leader="dot" w:pos="6521"/>
      </w:tabs>
      <w:spacing w:before="0" w:after="0"/>
    </w:pPr>
  </w:style>
  <w:style w:type="paragraph" w:customStyle="1" w:styleId="TOFTitle">
    <w:name w:val="TOFTitle"/>
    <w:basedOn w:val="TOCTitle"/>
    <w:rsid w:val="00021B36"/>
  </w:style>
  <w:style w:type="paragraph" w:styleId="TableofFigures">
    <w:name w:val="table of figures"/>
    <w:basedOn w:val="Normal"/>
    <w:next w:val="Normal"/>
    <w:semiHidden/>
    <w:rsid w:val="00021B36"/>
    <w:pPr>
      <w:tabs>
        <w:tab w:val="right" w:leader="dot" w:pos="9072"/>
      </w:tabs>
      <w:ind w:left="970" w:hanging="403"/>
    </w:pPr>
    <w:rPr>
      <w:rFonts w:ascii="Times New Roman" w:hAnsi="Times New Roman"/>
      <w:b/>
    </w:rPr>
  </w:style>
  <w:style w:type="paragraph" w:styleId="ListNumber">
    <w:name w:val="List Number"/>
    <w:basedOn w:val="List"/>
    <w:rsid w:val="00021B36"/>
    <w:pPr>
      <w:numPr>
        <w:numId w:val="15"/>
      </w:numPr>
      <w:tabs>
        <w:tab w:val="clear" w:pos="340"/>
      </w:tabs>
    </w:pPr>
  </w:style>
  <w:style w:type="character" w:customStyle="1" w:styleId="WingdingSymbols">
    <w:name w:val="Wingding Symbols"/>
    <w:rsid w:val="00021B36"/>
    <w:rPr>
      <w:rFonts w:ascii="Wingdings" w:hAnsi="Wingdings"/>
    </w:rPr>
  </w:style>
  <w:style w:type="paragraph" w:customStyle="1" w:styleId="TableHeading">
    <w:name w:val="Table Heading"/>
    <w:basedOn w:val="HeadingBase"/>
    <w:rsid w:val="00021B36"/>
    <w:pPr>
      <w:keepLines/>
      <w:pBdr>
        <w:bottom w:val="single" w:sz="6" w:space="1" w:color="918585"/>
      </w:pBdr>
      <w:spacing w:before="240"/>
    </w:pPr>
  </w:style>
  <w:style w:type="character" w:customStyle="1" w:styleId="HotSpot">
    <w:name w:val="HotSpot"/>
    <w:rsid w:val="00021B36"/>
    <w:rPr>
      <w:color w:val="0033CC"/>
      <w:u w:val="none"/>
    </w:rPr>
  </w:style>
  <w:style w:type="paragraph" w:customStyle="1" w:styleId="BodyTextRight">
    <w:name w:val="Body Text Right"/>
    <w:basedOn w:val="BodyText"/>
    <w:rsid w:val="00021B36"/>
    <w:pPr>
      <w:spacing w:before="0" w:after="0"/>
      <w:jc w:val="right"/>
    </w:pPr>
  </w:style>
  <w:style w:type="paragraph" w:styleId="Index3">
    <w:name w:val="index 3"/>
    <w:basedOn w:val="ListNumber2"/>
    <w:next w:val="Normal"/>
    <w:semiHidden/>
    <w:rsid w:val="00021B36"/>
    <w:pPr>
      <w:numPr>
        <w:numId w:val="0"/>
      </w:numPr>
      <w:tabs>
        <w:tab w:val="right" w:leader="dot" w:pos="4176"/>
      </w:tabs>
    </w:pPr>
  </w:style>
  <w:style w:type="paragraph" w:styleId="ListNumber2">
    <w:name w:val="List Number 2"/>
    <w:basedOn w:val="List2"/>
    <w:rsid w:val="00021B36"/>
    <w:pPr>
      <w:numPr>
        <w:numId w:val="10"/>
      </w:numPr>
      <w:tabs>
        <w:tab w:val="clear" w:pos="1060"/>
      </w:tabs>
    </w:pPr>
  </w:style>
  <w:style w:type="paragraph" w:customStyle="1" w:styleId="MarginNote">
    <w:name w:val="Margin Note"/>
    <w:basedOn w:val="BodyText"/>
    <w:rsid w:val="00021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B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B36"/>
    <w:rPr>
      <w:sz w:val="32"/>
    </w:rPr>
  </w:style>
  <w:style w:type="paragraph" w:customStyle="1" w:styleId="HeadingProcedure">
    <w:name w:val="Heading Procedure"/>
    <w:basedOn w:val="HeadingBase"/>
    <w:next w:val="Normal"/>
    <w:rsid w:val="00021B36"/>
    <w:pPr>
      <w:tabs>
        <w:tab w:val="left" w:pos="0"/>
      </w:tabs>
      <w:spacing w:before="120" w:after="60"/>
    </w:pPr>
    <w:rPr>
      <w:i/>
      <w:color w:val="918585"/>
      <w:sz w:val="22"/>
    </w:rPr>
  </w:style>
  <w:style w:type="paragraph" w:customStyle="1" w:styleId="TableBodyText">
    <w:name w:val="Table Body Text"/>
    <w:basedOn w:val="BodyText"/>
    <w:rsid w:val="00021B36"/>
    <w:pPr>
      <w:spacing w:before="60" w:after="60"/>
    </w:pPr>
  </w:style>
  <w:style w:type="paragraph" w:styleId="ListContinue">
    <w:name w:val="List Continue"/>
    <w:basedOn w:val="List"/>
    <w:rsid w:val="00021B36"/>
    <w:pPr>
      <w:ind w:firstLine="0"/>
    </w:pPr>
  </w:style>
  <w:style w:type="paragraph" w:customStyle="1" w:styleId="ListNote">
    <w:name w:val="List Note"/>
    <w:basedOn w:val="List"/>
    <w:rsid w:val="00021B36"/>
    <w:pPr>
      <w:pBdr>
        <w:top w:val="single" w:sz="6" w:space="2" w:color="918585"/>
        <w:bottom w:val="single" w:sz="6" w:space="2" w:color="918585"/>
      </w:pBdr>
      <w:tabs>
        <w:tab w:val="left" w:pos="1021"/>
      </w:tabs>
      <w:ind w:firstLine="0"/>
    </w:pPr>
  </w:style>
  <w:style w:type="paragraph" w:customStyle="1" w:styleId="Warning">
    <w:name w:val="Warning"/>
    <w:basedOn w:val="BodyText"/>
    <w:rsid w:val="00021B36"/>
    <w:pPr>
      <w:shd w:val="clear" w:color="auto" w:fill="D9D9D9"/>
      <w:tabs>
        <w:tab w:val="left" w:pos="992"/>
      </w:tabs>
      <w:ind w:left="119" w:right="119"/>
    </w:pPr>
    <w:rPr>
      <w:sz w:val="20"/>
    </w:rPr>
  </w:style>
  <w:style w:type="paragraph" w:customStyle="1" w:styleId="MarginIcons">
    <w:name w:val="Margin Icons"/>
    <w:basedOn w:val="BodyText"/>
    <w:rsid w:val="00021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B36"/>
    <w:rPr>
      <w:rFonts w:ascii="Courier New" w:hAnsi="Courier New"/>
    </w:rPr>
  </w:style>
  <w:style w:type="paragraph" w:customStyle="1" w:styleId="NoteBullet">
    <w:name w:val="Note Bullet"/>
    <w:basedOn w:val="Note"/>
    <w:rsid w:val="00021B36"/>
    <w:pPr>
      <w:tabs>
        <w:tab w:val="clear" w:pos="680"/>
      </w:tabs>
      <w:spacing w:before="60" w:after="60"/>
    </w:pPr>
  </w:style>
  <w:style w:type="paragraph" w:customStyle="1" w:styleId="SubHeading2">
    <w:name w:val="SubHeading2"/>
    <w:basedOn w:val="HeadingBase"/>
    <w:rsid w:val="00021B36"/>
    <w:pPr>
      <w:spacing w:before="240" w:after="60"/>
    </w:pPr>
    <w:rPr>
      <w:sz w:val="20"/>
    </w:rPr>
  </w:style>
  <w:style w:type="paragraph" w:customStyle="1" w:styleId="SubHeading1">
    <w:name w:val="SubHeading1"/>
    <w:basedOn w:val="HeadingBase"/>
    <w:rsid w:val="00021B36"/>
    <w:pPr>
      <w:spacing w:before="240" w:after="60"/>
    </w:pPr>
    <w:rPr>
      <w:color w:val="918585"/>
      <w:sz w:val="22"/>
    </w:rPr>
  </w:style>
  <w:style w:type="paragraph" w:customStyle="1" w:styleId="SideHeading">
    <w:name w:val="Side Heading"/>
    <w:basedOn w:val="HeadingBase"/>
    <w:rsid w:val="00021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B36"/>
    <w:pPr>
      <w:tabs>
        <w:tab w:val="num" w:pos="360"/>
      </w:tabs>
    </w:pPr>
  </w:style>
  <w:style w:type="paragraph" w:styleId="PlainText">
    <w:name w:val="Plain Text"/>
    <w:basedOn w:val="Normal"/>
    <w:link w:val="PlainTextChar"/>
    <w:rsid w:val="00021B36"/>
    <w:rPr>
      <w:sz w:val="20"/>
    </w:rPr>
  </w:style>
  <w:style w:type="character" w:customStyle="1" w:styleId="PlainTextChar">
    <w:name w:val="Plain Text Char"/>
    <w:basedOn w:val="DefaultParagraphFont"/>
    <w:link w:val="PlainText"/>
    <w:rsid w:val="00021B36"/>
    <w:rPr>
      <w:rFonts w:ascii="Courier New" w:eastAsia="Times New Roman" w:hAnsi="Courier New" w:cs="Times New Roman"/>
      <w:sz w:val="20"/>
      <w:szCs w:val="20"/>
      <w:lang w:eastAsia="en-US"/>
    </w:rPr>
  </w:style>
  <w:style w:type="character" w:customStyle="1" w:styleId="MenuOption">
    <w:name w:val="Menu Option"/>
    <w:basedOn w:val="DefaultParagraphFont"/>
    <w:rsid w:val="00021B36"/>
    <w:rPr>
      <w:b/>
      <w:smallCaps/>
    </w:rPr>
  </w:style>
  <w:style w:type="paragraph" w:customStyle="1" w:styleId="TableListNumber">
    <w:name w:val="Table List Number"/>
    <w:basedOn w:val="ListNumber"/>
    <w:rsid w:val="00021B36"/>
    <w:pPr>
      <w:numPr>
        <w:numId w:val="0"/>
      </w:numPr>
    </w:pPr>
  </w:style>
  <w:style w:type="paragraph" w:styleId="TOC4">
    <w:name w:val="toc 4"/>
    <w:basedOn w:val="TOCBase"/>
    <w:next w:val="Normal"/>
    <w:semiHidden/>
    <w:rsid w:val="00021B36"/>
    <w:pPr>
      <w:tabs>
        <w:tab w:val="right" w:leader="dot" w:pos="9071"/>
      </w:tabs>
      <w:ind w:left="1701"/>
    </w:pPr>
  </w:style>
  <w:style w:type="paragraph" w:customStyle="1" w:styleId="ListAlpha">
    <w:name w:val="List Alpha"/>
    <w:basedOn w:val="List"/>
    <w:rsid w:val="00021B36"/>
    <w:pPr>
      <w:numPr>
        <w:numId w:val="9"/>
      </w:numPr>
    </w:pPr>
  </w:style>
  <w:style w:type="paragraph" w:customStyle="1" w:styleId="ListAlpha2">
    <w:name w:val="List Alpha 2"/>
    <w:basedOn w:val="List2"/>
    <w:rsid w:val="00021B36"/>
    <w:pPr>
      <w:numPr>
        <w:numId w:val="8"/>
      </w:numPr>
    </w:pPr>
  </w:style>
  <w:style w:type="paragraph" w:styleId="List2">
    <w:name w:val="List 2"/>
    <w:basedOn w:val="BodyText"/>
    <w:rsid w:val="00021B36"/>
    <w:pPr>
      <w:tabs>
        <w:tab w:val="left" w:pos="680"/>
      </w:tabs>
      <w:spacing w:before="60" w:after="60"/>
      <w:ind w:left="680" w:hanging="340"/>
    </w:pPr>
  </w:style>
  <w:style w:type="paragraph" w:styleId="List3">
    <w:name w:val="List 3"/>
    <w:basedOn w:val="BodyText"/>
    <w:rsid w:val="00021B36"/>
    <w:pPr>
      <w:tabs>
        <w:tab w:val="left" w:pos="1021"/>
      </w:tabs>
      <w:spacing w:before="60" w:after="60"/>
      <w:ind w:left="1020" w:hanging="340"/>
    </w:pPr>
  </w:style>
  <w:style w:type="paragraph" w:styleId="List4">
    <w:name w:val="List 4"/>
    <w:basedOn w:val="BodyText"/>
    <w:rsid w:val="00021B36"/>
    <w:pPr>
      <w:tabs>
        <w:tab w:val="left" w:pos="1361"/>
      </w:tabs>
      <w:spacing w:before="60" w:after="60"/>
      <w:ind w:left="1361" w:hanging="340"/>
    </w:pPr>
  </w:style>
  <w:style w:type="paragraph" w:styleId="List5">
    <w:name w:val="List 5"/>
    <w:basedOn w:val="BodyText"/>
    <w:rsid w:val="00021B36"/>
    <w:pPr>
      <w:tabs>
        <w:tab w:val="left" w:pos="1701"/>
      </w:tabs>
      <w:spacing w:before="60" w:after="60"/>
      <w:ind w:left="1701" w:hanging="340"/>
    </w:pPr>
  </w:style>
  <w:style w:type="paragraph" w:styleId="ListBullet3">
    <w:name w:val="List Bullet 3"/>
    <w:basedOn w:val="List3"/>
    <w:rsid w:val="00021B36"/>
    <w:pPr>
      <w:numPr>
        <w:numId w:val="14"/>
      </w:numPr>
      <w:tabs>
        <w:tab w:val="clear" w:pos="1021"/>
      </w:tabs>
      <w:ind w:left="1037" w:hanging="357"/>
    </w:pPr>
  </w:style>
  <w:style w:type="paragraph" w:styleId="ListBullet4">
    <w:name w:val="List Bullet 4"/>
    <w:basedOn w:val="List4"/>
    <w:rsid w:val="00021B36"/>
    <w:pPr>
      <w:numPr>
        <w:numId w:val="3"/>
      </w:numPr>
      <w:tabs>
        <w:tab w:val="clear" w:pos="1361"/>
      </w:tabs>
    </w:pPr>
  </w:style>
  <w:style w:type="paragraph" w:styleId="ListBullet5">
    <w:name w:val="List Bullet 5"/>
    <w:basedOn w:val="List5"/>
    <w:rsid w:val="00021B36"/>
    <w:pPr>
      <w:numPr>
        <w:numId w:val="4"/>
      </w:numPr>
    </w:pPr>
  </w:style>
  <w:style w:type="paragraph" w:styleId="ListContinue2">
    <w:name w:val="List Continue 2"/>
    <w:basedOn w:val="List2"/>
    <w:rsid w:val="00021B36"/>
    <w:pPr>
      <w:ind w:firstLine="0"/>
    </w:pPr>
  </w:style>
  <w:style w:type="paragraph" w:styleId="ListContinue3">
    <w:name w:val="List Continue 3"/>
    <w:basedOn w:val="List3"/>
    <w:rsid w:val="00021B36"/>
    <w:pPr>
      <w:ind w:left="1021" w:firstLine="0"/>
    </w:pPr>
  </w:style>
  <w:style w:type="paragraph" w:styleId="ListContinue4">
    <w:name w:val="List Continue 4"/>
    <w:basedOn w:val="List4"/>
    <w:rsid w:val="00021B36"/>
    <w:pPr>
      <w:ind w:firstLine="0"/>
    </w:pPr>
  </w:style>
  <w:style w:type="paragraph" w:styleId="ListContinue5">
    <w:name w:val="List Continue 5"/>
    <w:basedOn w:val="List5"/>
    <w:rsid w:val="00021B36"/>
    <w:pPr>
      <w:ind w:firstLine="0"/>
    </w:pPr>
  </w:style>
  <w:style w:type="paragraph" w:styleId="ListNumber3">
    <w:name w:val="List Number 3"/>
    <w:basedOn w:val="List3"/>
    <w:rsid w:val="00021B36"/>
    <w:pPr>
      <w:numPr>
        <w:numId w:val="5"/>
      </w:numPr>
    </w:pPr>
  </w:style>
  <w:style w:type="paragraph" w:styleId="ListNumber4">
    <w:name w:val="List Number 4"/>
    <w:basedOn w:val="List4"/>
    <w:rsid w:val="00021B36"/>
    <w:pPr>
      <w:numPr>
        <w:numId w:val="6"/>
      </w:numPr>
    </w:pPr>
  </w:style>
  <w:style w:type="paragraph" w:styleId="ListNumber5">
    <w:name w:val="List Number 5"/>
    <w:basedOn w:val="List5"/>
    <w:rsid w:val="00021B36"/>
    <w:pPr>
      <w:numPr>
        <w:numId w:val="7"/>
      </w:numPr>
    </w:pPr>
  </w:style>
  <w:style w:type="paragraph" w:styleId="BlockText">
    <w:name w:val="Block Text"/>
    <w:basedOn w:val="Normal"/>
    <w:rsid w:val="00021B36"/>
    <w:pPr>
      <w:spacing w:after="120"/>
      <w:ind w:left="1440" w:right="1440"/>
    </w:pPr>
  </w:style>
  <w:style w:type="character" w:customStyle="1" w:styleId="Subscript">
    <w:name w:val="Subscript"/>
    <w:basedOn w:val="DefaultParagraphFont"/>
    <w:rsid w:val="00021B36"/>
    <w:rPr>
      <w:sz w:val="16"/>
      <w:vertAlign w:val="subscript"/>
    </w:rPr>
  </w:style>
  <w:style w:type="character" w:customStyle="1" w:styleId="Superscript">
    <w:name w:val="Superscript"/>
    <w:basedOn w:val="DefaultParagraphFont"/>
    <w:rsid w:val="00021B36"/>
    <w:rPr>
      <w:sz w:val="16"/>
      <w:vertAlign w:val="superscript"/>
    </w:rPr>
  </w:style>
  <w:style w:type="character" w:customStyle="1" w:styleId="Symbols">
    <w:name w:val="Symbols"/>
    <w:basedOn w:val="DefaultParagraphFont"/>
    <w:rsid w:val="00021B36"/>
    <w:rPr>
      <w:rFonts w:ascii="Symbol" w:hAnsi="Symbol"/>
    </w:rPr>
  </w:style>
  <w:style w:type="character" w:customStyle="1" w:styleId="MenuOptions">
    <w:name w:val="Menu Options"/>
    <w:basedOn w:val="DefaultParagraphFont"/>
    <w:rsid w:val="00021B36"/>
    <w:rPr>
      <w:rFonts w:ascii="Arial Narrow" w:hAnsi="Arial Narrow"/>
      <w:smallCaps/>
    </w:rPr>
  </w:style>
  <w:style w:type="character" w:customStyle="1" w:styleId="Buttons">
    <w:name w:val="Buttons"/>
    <w:basedOn w:val="DefaultParagraphFont"/>
    <w:rsid w:val="00021B36"/>
    <w:rPr>
      <w:b/>
    </w:rPr>
  </w:style>
  <w:style w:type="character" w:customStyle="1" w:styleId="Underlined">
    <w:name w:val="Underlined"/>
    <w:basedOn w:val="DefaultParagraphFont"/>
    <w:rsid w:val="00021B36"/>
    <w:rPr>
      <w:u w:val="single"/>
    </w:rPr>
  </w:style>
  <w:style w:type="paragraph" w:customStyle="1" w:styleId="TableBodyTextRight">
    <w:name w:val="Table Body Text Right"/>
    <w:basedOn w:val="TableBodyText"/>
    <w:rsid w:val="00021B36"/>
    <w:pPr>
      <w:widowControl w:val="0"/>
      <w:autoSpaceDE w:val="0"/>
      <w:autoSpaceDN w:val="0"/>
      <w:adjustRightInd w:val="0"/>
      <w:jc w:val="right"/>
    </w:pPr>
    <w:rPr>
      <w:rFonts w:cs="Arial"/>
      <w:szCs w:val="18"/>
    </w:rPr>
  </w:style>
  <w:style w:type="paragraph" w:customStyle="1" w:styleId="CopyrightText">
    <w:name w:val="Copyright Text"/>
    <w:basedOn w:val="BodyText"/>
    <w:rsid w:val="00021B36"/>
    <w:rPr>
      <w:sz w:val="18"/>
    </w:rPr>
  </w:style>
  <w:style w:type="paragraph" w:customStyle="1" w:styleId="BodySmallRight">
    <w:name w:val="Body Small Right"/>
    <w:basedOn w:val="BodyTextRight"/>
    <w:rsid w:val="00021B36"/>
    <w:rPr>
      <w:sz w:val="18"/>
      <w:szCs w:val="18"/>
    </w:rPr>
  </w:style>
  <w:style w:type="paragraph" w:customStyle="1" w:styleId="MarginEdition">
    <w:name w:val="Margin Edition"/>
    <w:basedOn w:val="MarginNote"/>
    <w:rsid w:val="00021B36"/>
    <w:pPr>
      <w:spacing w:before="0" w:after="0"/>
    </w:pPr>
    <w:rPr>
      <w:rFonts w:ascii="Times New Roman" w:hAnsi="Times New Roman"/>
      <w:color w:val="999999"/>
    </w:rPr>
  </w:style>
  <w:style w:type="paragraph" w:customStyle="1" w:styleId="Spacer">
    <w:name w:val="Spacer"/>
    <w:basedOn w:val="Normal"/>
    <w:rsid w:val="00021B36"/>
    <w:rPr>
      <w:sz w:val="2"/>
      <w:szCs w:val="2"/>
    </w:rPr>
  </w:style>
  <w:style w:type="character" w:customStyle="1" w:styleId="Small">
    <w:name w:val="Small"/>
    <w:basedOn w:val="DefaultParagraphFont"/>
    <w:rsid w:val="00021B36"/>
    <w:rPr>
      <w:sz w:val="16"/>
    </w:rPr>
  </w:style>
  <w:style w:type="paragraph" w:customStyle="1" w:styleId="WideTable">
    <w:name w:val="Wide Table"/>
    <w:basedOn w:val="Normal"/>
    <w:rsid w:val="00021B36"/>
    <w:pPr>
      <w:ind w:left="-1418"/>
    </w:pPr>
    <w:rPr>
      <w:sz w:val="2"/>
      <w:szCs w:val="2"/>
    </w:rPr>
  </w:style>
  <w:style w:type="character" w:styleId="PageNumber">
    <w:name w:val="page number"/>
    <w:basedOn w:val="DefaultParagraphFont"/>
    <w:rsid w:val="00021B36"/>
  </w:style>
  <w:style w:type="paragraph" w:styleId="Quote">
    <w:name w:val="Quote"/>
    <w:basedOn w:val="Heading1"/>
    <w:link w:val="QuoteChar"/>
    <w:qFormat/>
    <w:rsid w:val="00021B36"/>
    <w:rPr>
      <w:b w:val="0"/>
      <w:sz w:val="72"/>
      <w:szCs w:val="72"/>
      <w:lang w:val="en-NZ"/>
    </w:rPr>
  </w:style>
  <w:style w:type="character" w:customStyle="1" w:styleId="QuoteChar">
    <w:name w:val="Quote Char"/>
    <w:basedOn w:val="DefaultParagraphFont"/>
    <w:link w:val="Quote"/>
    <w:rsid w:val="00021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B36"/>
    <w:pPr>
      <w:pageBreakBefore/>
    </w:pPr>
  </w:style>
  <w:style w:type="paragraph" w:customStyle="1" w:styleId="Border">
    <w:name w:val="Border"/>
    <w:basedOn w:val="Normal"/>
    <w:qFormat/>
    <w:rsid w:val="00021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B36"/>
    <w:rPr>
      <w:b/>
      <w:bCs/>
      <w:i/>
      <w:iCs/>
      <w:color w:val="auto"/>
    </w:rPr>
  </w:style>
  <w:style w:type="paragraph" w:styleId="IntenseQuote">
    <w:name w:val="Intense Quote"/>
    <w:basedOn w:val="Normal"/>
    <w:next w:val="Normal"/>
    <w:link w:val="IntenseQuoteChar"/>
    <w:uiPriority w:val="30"/>
    <w:qFormat/>
    <w:rsid w:val="00021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B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B36"/>
    <w:rPr>
      <w:smallCaps/>
      <w:color w:val="auto"/>
      <w:u w:val="single"/>
    </w:rPr>
  </w:style>
  <w:style w:type="character" w:styleId="IntenseReference">
    <w:name w:val="Intense Reference"/>
    <w:basedOn w:val="DefaultParagraphFont"/>
    <w:uiPriority w:val="32"/>
    <w:qFormat/>
    <w:rsid w:val="00021B36"/>
    <w:rPr>
      <w:b/>
      <w:bCs/>
      <w:smallCaps/>
      <w:color w:val="auto"/>
      <w:spacing w:val="5"/>
      <w:u w:val="single"/>
    </w:rPr>
  </w:style>
  <w:style w:type="paragraph" w:customStyle="1" w:styleId="2ColumnHeading">
    <w:name w:val="2Column Heading"/>
    <w:basedOn w:val="BodyText"/>
    <w:qFormat/>
    <w:rsid w:val="00021B36"/>
    <w:pPr>
      <w:spacing w:after="60"/>
      <w:ind w:left="-2268"/>
    </w:pPr>
    <w:rPr>
      <w:b/>
    </w:rPr>
  </w:style>
  <w:style w:type="paragraph" w:customStyle="1" w:styleId="Heading1TOC">
    <w:name w:val="Heading1 TOC"/>
    <w:basedOn w:val="Normal"/>
    <w:qFormat/>
    <w:rsid w:val="00021B36"/>
    <w:pPr>
      <w:spacing w:before="240" w:after="120"/>
    </w:pPr>
    <w:rPr>
      <w:rFonts w:ascii="Times New Roman" w:hAnsi="Times New Roman"/>
      <w:b/>
      <w:sz w:val="32"/>
    </w:rPr>
  </w:style>
  <w:style w:type="paragraph" w:customStyle="1" w:styleId="Heading2TOC">
    <w:name w:val="Heading2 TOC"/>
    <w:basedOn w:val="Normal"/>
    <w:qFormat/>
    <w:rsid w:val="00021B36"/>
    <w:pPr>
      <w:spacing w:before="240" w:after="60"/>
    </w:pPr>
    <w:rPr>
      <w:rFonts w:ascii="Times New Roman" w:hAnsi="Times New Roman"/>
      <w:b/>
      <w:sz w:val="28"/>
    </w:rPr>
  </w:style>
  <w:style w:type="character" w:customStyle="1" w:styleId="Underline">
    <w:name w:val="Underline"/>
    <w:basedOn w:val="DefaultParagraphFont"/>
    <w:qFormat/>
    <w:rsid w:val="00021B36"/>
    <w:rPr>
      <w:u w:val="single"/>
    </w:rPr>
  </w:style>
  <w:style w:type="character" w:customStyle="1" w:styleId="BoldandItalics">
    <w:name w:val="Bold and Italics"/>
    <w:qFormat/>
    <w:rsid w:val="00021B36"/>
    <w:rPr>
      <w:b/>
      <w:i/>
      <w:u w:val="none"/>
    </w:rPr>
  </w:style>
  <w:style w:type="paragraph" w:styleId="BalloonText">
    <w:name w:val="Balloon Text"/>
    <w:basedOn w:val="Normal"/>
    <w:link w:val="BalloonTextChar"/>
    <w:rsid w:val="00021B36"/>
    <w:rPr>
      <w:rFonts w:ascii="Tahoma" w:hAnsi="Tahoma" w:cs="Tahoma"/>
      <w:sz w:val="16"/>
      <w:szCs w:val="16"/>
    </w:rPr>
  </w:style>
  <w:style w:type="character" w:customStyle="1" w:styleId="BalloonTextChar">
    <w:name w:val="Balloon Text Char"/>
    <w:basedOn w:val="DefaultParagraphFont"/>
    <w:link w:val="BalloonText"/>
    <w:rsid w:val="00021B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B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B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B36"/>
    <w:rPr>
      <w:b/>
      <w:color w:val="660033"/>
      <w:spacing w:val="0"/>
    </w:rPr>
  </w:style>
  <w:style w:type="paragraph" w:customStyle="1" w:styleId="Nameditemlist">
    <w:name w:val="Named item list"/>
    <w:basedOn w:val="BodyText"/>
    <w:qFormat/>
    <w:rsid w:val="00021B36"/>
    <w:pPr>
      <w:tabs>
        <w:tab w:val="left" w:pos="2835"/>
      </w:tabs>
      <w:ind w:left="2835" w:hanging="2835"/>
    </w:pPr>
  </w:style>
  <w:style w:type="paragraph" w:customStyle="1" w:styleId="BodyTextnopadding">
    <w:name w:val="Body Text no padding"/>
    <w:basedOn w:val="BodyText"/>
    <w:qFormat/>
    <w:rsid w:val="00021B36"/>
    <w:pPr>
      <w:spacing w:before="0" w:after="0"/>
    </w:pPr>
  </w:style>
  <w:style w:type="paragraph" w:customStyle="1" w:styleId="BodyTextBold">
    <w:name w:val="Body Text Bold"/>
    <w:basedOn w:val="BodyText"/>
    <w:qFormat/>
    <w:rsid w:val="00021B36"/>
    <w:rPr>
      <w:b/>
    </w:rPr>
  </w:style>
  <w:style w:type="character" w:styleId="Hyperlink">
    <w:name w:val="Hyperlink"/>
    <w:basedOn w:val="DefaultParagraphFont"/>
    <w:uiPriority w:val="99"/>
    <w:unhideWhenUsed/>
    <w:rsid w:val="00320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1491</Words>
  <Characters>9888</Characters>
  <Application>Microsoft Office Word</Application>
  <DocSecurity>0</DocSecurity>
  <Lines>380</Lines>
  <Paragraphs>199</Paragraphs>
  <ScaleCrop>false</ScaleCrop>
  <Company>Author-it Software Corporation Ltd.</Company>
  <LinksUpToDate>false</LinksUpToDate>
  <CharactersWithSpaces>11180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UEGNSG120 Manage gas system environmental compliance</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