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32A" w:rsidP="006F0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UEGNSG117 Plan and implement the data acquisition and metering requirements of a gas system</w:t>
      </w:r>
      <w:r>
        <w:fldChar w:fldCharType="end"/>
      </w:r>
    </w:p>
    <w:p w:rsidR="006F032A" w:rsidP="006F032A">
      <w:pPr>
        <w:pStyle w:val="Version"/>
        <w:sectPr w:rsidSect="00457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64A" w:rsidP="0045764A">
      <w:pPr>
        <w:pStyle w:val="SuperHeading"/>
      </w:pPr>
      <w:r w:rsidRPr="0045764A">
        <w:t>UEGNSG117 Plan and implement the data acquisition and metering requirements of a gas system</w:t>
      </w:r>
    </w:p>
    <w:p w:rsidR="00000000" w:rsidRPr="0045764A" w:rsidP="0045764A">
      <w:pPr>
        <w:pStyle w:val="Heading1"/>
      </w:pPr>
      <w:bookmarkStart w:id="1" w:name="O_966148"/>
      <w:bookmarkEnd w:id="1"/>
      <w:r w:rsidRPr="004576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>Release 1. This is the first release of this unit of competency in the UEG Gas Industry Training Package.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2" w:name="O_966149"/>
      <w:bookmarkEnd w:id="2"/>
      <w:r w:rsidRPr="004576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>This unit involves the skills and knowledge required to plan and implement the data acquisition and metering requirements of a gas system.</w:t>
            </w:r>
          </w:p>
          <w:p w:rsidR="00000000" w:rsidRPr="0045764A" w:rsidP="0045764A">
            <w:pPr>
              <w:pStyle w:val="BodyText"/>
            </w:pPr>
            <w:r w:rsidRPr="0045764A">
              <w:t>It includes planning and commissioning the data acquisition and metering requirements of a natural or liq</w:t>
            </w:r>
            <w:r w:rsidRPr="0045764A">
              <w:t>uefied petroleum gas (LPG) system, determining specific equipment and maintenance requirements, communicating with relevant authorities and stakeholders, and completing relevant documentation.</w:t>
            </w:r>
          </w:p>
          <w:p w:rsidR="00000000" w:rsidRPr="0045764A" w:rsidP="0045764A">
            <w:pPr>
              <w:pStyle w:val="BodyText"/>
            </w:pPr>
            <w:r w:rsidRPr="0045764A">
              <w:t>No licensing, legislative or certification requirements apply t</w:t>
            </w:r>
            <w:r w:rsidRPr="0045764A">
              <w:t>o this unit at the time of publication.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3" w:name="O_966150"/>
      <w:bookmarkEnd w:id="3"/>
      <w:r w:rsidRPr="004576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>Not applicable.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4" w:name="O_966151"/>
      <w:bookmarkEnd w:id="4"/>
      <w:r w:rsidRPr="004576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 xml:space="preserve">Gas Cross Discipline 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5" w:name="O_966152"/>
      <w:bookmarkEnd w:id="5"/>
      <w:r w:rsidRPr="004576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>Gas Industry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6" w:name="O_966153"/>
      <w:bookmarkEnd w:id="6"/>
      <w:r w:rsidRPr="0045764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PERFORMANCE CRITERIA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Performance criteria describe the performance needed to demonstrate achievement of the element.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rPr>
                <w:rStyle w:val="SpecialBold"/>
              </w:rPr>
              <w:t>Plan data acquisition and metering requirements of a gas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 xml:space="preserve">Work health and safety (WHS)/occupational health and safety (OHS) principles and practices and environmental and sustainable energy policies and procedures which may influence the systems are obtained and reviewed 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Data is analysed and data acquisit</w:t>
            </w:r>
            <w:r w:rsidRPr="0045764A">
              <w:t>ion and metering requirements of the gas system are determined and expected outcomes of the work are communicated with appropriate person/s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 xml:space="preserve">Properties and characteristics of gas to be measured are identified on the development of a data acquisition </w:t>
            </w:r>
            <w:r w:rsidRPr="0045764A">
              <w:t>and metering requirements system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Design capacity of gas system is identified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Back-up systems are specified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 xml:space="preserve">Legislative requirements are identified 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Data storage and communication systems are specified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Work is prioritised and sequenced for completion within acceptable timeframes to industry standards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Communication issues with authorised persons, authorities, clients and land owners are resolved and work coordinated in accordance with work schedule and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Hazards are identified, risks are assessed and control measures are imple</w:t>
            </w:r>
            <w:r w:rsidRPr="0045764A">
              <w:t>mented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rPr>
                <w:rStyle w:val="SpecialBold"/>
              </w:rPr>
              <w:t>Determine equipment and maintenance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Systems modelling is used to evaluate alternative proposals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Maintenance activitie</w:t>
            </w:r>
            <w:r w:rsidRPr="0045764A">
              <w:t>s are determined and scheduled in accordance with requirements and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WHS/OHS and sustainable energy principles, functionality and practices to reduce accidents and minimise waste are incorporated into the project in accordance wit</w:t>
            </w:r>
            <w:r w:rsidRPr="0045764A">
              <w:t>h requirements and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Technical advice is obtained in relation to equipment hazards, assessed risks and reasonably practicable risk control measures so that monitoring can be undertaken and appropriate authorities consulted, as req</w:t>
            </w:r>
            <w:r w:rsidRPr="0045764A">
              <w:t>uired, in accordance with workplace requirements and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Data is analysed and compared with compliance specifications to ensure completion of the project within agreed timeframes in accordance with maintenance requirements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 xml:space="preserve">Maintenance </w:t>
            </w:r>
            <w:r w:rsidRPr="0045764A">
              <w:t>recording system is developed incorporating organisation initiatives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Metering equipment is selected to meet performance specifications and is optimally located in the system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Unplanned situations are responded to in accordance with workplace procedures, in a manner that minimises risk to personnel and equipment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Quality of work is monitored against performance agreement and industry standards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rPr>
                <w:rStyle w:val="SpecialBold"/>
              </w:rPr>
              <w:t>Commission data collection</w:t>
            </w:r>
            <w:r w:rsidRPr="0045764A">
              <w:rPr>
                <w:rStyle w:val="SpecialBold"/>
              </w:rPr>
              <w:t xml:space="preserve"> and metering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Final inspections of the metering and data acquisition plan are undertaken to ensure compliance with requirements and all specifications and documentation required to complete the project are included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Resources required for the work are obtained and scheduled in accordance with the plan and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Metering and data acquisition system is commissioned in accordance with the plan and organisational WHS/OHS policies and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3.</w:t>
            </w:r>
            <w:r w:rsidRPr="0045764A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Work completion reports are completed and appropriate person/s notified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Reports are submitted to relevant person/s for approval in accordance with workplace procedures</w:t>
            </w:r>
          </w:p>
        </w:tc>
      </w:tr>
      <w:tr w:rsidTr="00457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 xml:space="preserve">Approved copies of metering and </w:t>
            </w:r>
            <w:r w:rsidRPr="0045764A">
              <w:t>data acquisition plan are issued and records updated in accordance with workplace procedures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7" w:name="O_966154"/>
      <w:bookmarkEnd w:id="7"/>
      <w:r w:rsidRPr="004576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>Foundation skills essential to performance are explicit in the performance criteria of this unit of competency.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8" w:name="O_966155"/>
      <w:bookmarkEnd w:id="8"/>
      <w:r w:rsidRPr="004576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>Range is restricted to essential operating conditions and any other variables essential to the work environment.</w:t>
            </w:r>
          </w:p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Non-essential conditions may be found in the UEG Gas Industry Training Package Companion Volume Implementation Guid</w:t>
            </w:r>
            <w:r w:rsidRPr="0045764A">
              <w:t>e.</w:t>
            </w:r>
          </w:p>
        </w:tc>
      </w:tr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gas systems must include at least five (5)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ListBullet"/>
            </w:pPr>
            <w:r w:rsidRPr="0045764A">
              <w:t>custody transfer stations</w:t>
            </w:r>
          </w:p>
          <w:p w:rsidR="00000000" w:rsidRPr="0045764A" w:rsidP="0045764A">
            <w:pPr>
              <w:pStyle w:val="ListBullet"/>
            </w:pPr>
            <w:r w:rsidRPr="0045764A">
              <w:t>tanker transfer</w:t>
            </w:r>
          </w:p>
          <w:p w:rsidR="00000000" w:rsidRPr="0045764A" w:rsidP="0045764A">
            <w:pPr>
              <w:pStyle w:val="ListBullet"/>
            </w:pPr>
            <w:r w:rsidRPr="0045764A">
              <w:t>decantation</w:t>
            </w:r>
          </w:p>
          <w:p w:rsidR="00000000" w:rsidRPr="0045764A" w:rsidP="0045764A">
            <w:pPr>
              <w:pStyle w:val="ListBullet"/>
            </w:pPr>
            <w:r w:rsidRPr="0045764A">
              <w:t>tempered liquid petroleum systems</w:t>
            </w:r>
          </w:p>
          <w:p w:rsidR="00000000" w:rsidRPr="0045764A" w:rsidP="0045764A">
            <w:pPr>
              <w:pStyle w:val="ListBullet"/>
            </w:pPr>
            <w:r w:rsidRPr="0045764A">
              <w:t>field or district regulators</w:t>
            </w:r>
          </w:p>
          <w:p w:rsidR="00000000" w:rsidRPr="0045764A" w:rsidP="0045764A">
            <w:pPr>
              <w:pStyle w:val="ListBullet"/>
            </w:pPr>
            <w:r w:rsidRPr="0045764A">
              <w:t>LPG systems</w:t>
            </w:r>
          </w:p>
          <w:p w:rsidR="00000000" w:rsidRPr="0045764A" w:rsidP="0045764A">
            <w:pPr>
              <w:pStyle w:val="ListBullet"/>
            </w:pPr>
            <w:r w:rsidRPr="0045764A">
              <w:t>meters and regulators</w:t>
            </w:r>
          </w:p>
          <w:p w:rsidR="00000000" w:rsidP="0045764A">
            <w:pPr>
              <w:pStyle w:val="ListBullet"/>
              <w:rPr>
                <w:lang w:val="en-NZ"/>
              </w:rPr>
            </w:pPr>
            <w:r w:rsidRPr="0045764A">
              <w:t>transmission and distribution systems</w:t>
            </w:r>
          </w:p>
        </w:tc>
      </w:tr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planning and implementing the data acquisition and metering requirements of a gas system must include at least four (4) of the following variables: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ListBullet"/>
            </w:pPr>
            <w:r w:rsidRPr="0045764A">
              <w:t>temperatures</w:t>
            </w:r>
          </w:p>
          <w:p w:rsidR="00000000" w:rsidRPr="0045764A" w:rsidP="0045764A">
            <w:pPr>
              <w:pStyle w:val="ListBullet"/>
            </w:pPr>
            <w:r w:rsidRPr="0045764A">
              <w:t>pressure and flow rates from regulator or custody transfer stations</w:t>
            </w:r>
          </w:p>
          <w:p w:rsidR="00000000" w:rsidRPr="0045764A" w:rsidP="0045764A">
            <w:pPr>
              <w:pStyle w:val="ListBullet"/>
            </w:pPr>
            <w:r w:rsidRPr="0045764A">
              <w:t>water bath heater operation (water temperature, pilot light and main burner operation)</w:t>
            </w:r>
          </w:p>
          <w:p w:rsidR="00000000" w:rsidRPr="0045764A" w:rsidP="0045764A">
            <w:pPr>
              <w:pStyle w:val="ListBullet"/>
            </w:pPr>
            <w:r w:rsidRPr="0045764A">
              <w:t>faulty equipment (over pressure and under pressure, slam shut operation and filter problems)</w:t>
            </w:r>
          </w:p>
          <w:p w:rsidR="00000000" w:rsidRPr="0045764A" w:rsidP="0045764A">
            <w:pPr>
              <w:pStyle w:val="ListBullet"/>
            </w:pPr>
            <w:r w:rsidRPr="0045764A">
              <w:t>pipeline ruptures</w:t>
            </w:r>
          </w:p>
          <w:p w:rsidR="00000000" w:rsidP="0045764A">
            <w:pPr>
              <w:pStyle w:val="ListBullet"/>
              <w:rPr>
                <w:lang w:val="en-NZ"/>
              </w:rPr>
            </w:pPr>
            <w:r w:rsidRPr="0045764A">
              <w:t>security system monitoring and pressure and volume data fo</w:t>
            </w:r>
            <w:r w:rsidRPr="0045764A">
              <w:t>r ‘balancing the system’</w:t>
            </w:r>
          </w:p>
        </w:tc>
      </w:tr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resources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ListBullet"/>
            </w:pPr>
            <w:r w:rsidRPr="0045764A">
              <w:t>relevant persons</w:t>
            </w:r>
          </w:p>
          <w:p w:rsidR="00000000" w:rsidRPr="0045764A" w:rsidP="0045764A">
            <w:pPr>
              <w:pStyle w:val="ListBullet"/>
            </w:pPr>
            <w:r w:rsidRPr="0045764A">
              <w:t>relevant authorities</w:t>
            </w:r>
          </w:p>
          <w:p w:rsidR="00000000" w:rsidRPr="0045764A" w:rsidP="0045764A">
            <w:pPr>
              <w:pStyle w:val="ListBullet"/>
            </w:pPr>
            <w:r w:rsidRPr="0045764A">
              <w:t>company workplace procedures</w:t>
            </w:r>
          </w:p>
          <w:p w:rsidR="00000000" w:rsidRPr="0045764A" w:rsidP="0045764A">
            <w:pPr>
              <w:pStyle w:val="ListBullet"/>
            </w:pPr>
            <w:r w:rsidRPr="0045764A">
              <w:t>materials</w:t>
            </w:r>
          </w:p>
          <w:p w:rsidR="00000000" w:rsidRPr="0045764A" w:rsidP="0045764A">
            <w:pPr>
              <w:pStyle w:val="ListBullet"/>
            </w:pPr>
            <w:r w:rsidRPr="0045764A">
              <w:t>equipment manuals/specifications</w:t>
            </w:r>
          </w:p>
          <w:p w:rsidR="00000000" w:rsidRPr="0045764A" w:rsidP="0045764A">
            <w:pPr>
              <w:pStyle w:val="ListBullet"/>
            </w:pPr>
            <w:r w:rsidRPr="0045764A">
              <w:t>personal protective equipment (PPE)</w:t>
            </w:r>
          </w:p>
          <w:p w:rsidR="00000000" w:rsidP="0045764A">
            <w:pPr>
              <w:pStyle w:val="ListBullet"/>
              <w:rPr>
                <w:lang w:val="en-NZ"/>
              </w:rPr>
            </w:pPr>
            <w:r w:rsidRPr="0045764A">
              <w:t xml:space="preserve">fire safety systems and </w:t>
            </w:r>
            <w:r w:rsidRPr="0045764A">
              <w:t>training resources</w:t>
            </w:r>
          </w:p>
        </w:tc>
      </w:tr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relevant authorities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ListBullet"/>
            </w:pPr>
            <w:r w:rsidRPr="0045764A">
              <w:t>government authorities</w:t>
            </w:r>
          </w:p>
          <w:p w:rsidR="00000000" w:rsidRPr="0045764A" w:rsidP="0045764A">
            <w:pPr>
              <w:pStyle w:val="ListBullet"/>
            </w:pPr>
            <w:r w:rsidRPr="0045764A">
              <w:t>landowners</w:t>
            </w:r>
          </w:p>
          <w:p w:rsidR="00000000" w:rsidRPr="0045764A" w:rsidP="0045764A">
            <w:pPr>
              <w:pStyle w:val="ListBullet"/>
            </w:pPr>
            <w:r w:rsidRPr="0045764A">
              <w:t>stakeholders</w:t>
            </w:r>
          </w:p>
          <w:p w:rsidR="00000000" w:rsidRPr="0045764A" w:rsidP="0045764A">
            <w:pPr>
              <w:pStyle w:val="ListBullet"/>
            </w:pPr>
            <w:r w:rsidRPr="0045764A">
              <w:t>local councils</w:t>
            </w:r>
          </w:p>
          <w:p w:rsidR="00000000" w:rsidRPr="0045764A" w:rsidP="0045764A">
            <w:pPr>
              <w:pStyle w:val="ListBullet"/>
            </w:pPr>
            <w:r w:rsidRPr="0045764A">
              <w:t>fire authorities</w:t>
            </w:r>
          </w:p>
          <w:p w:rsidR="00000000" w:rsidP="0045764A">
            <w:pPr>
              <w:pStyle w:val="ListBullet"/>
              <w:rPr>
                <w:lang w:val="en-NZ"/>
              </w:rPr>
            </w:pPr>
            <w:r w:rsidRPr="0045764A">
              <w:t>other utilities</w:t>
            </w:r>
          </w:p>
        </w:tc>
      </w:tr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4A">
            <w:pPr>
              <w:pStyle w:val="BodyText"/>
              <w:rPr>
                <w:lang w:val="en-NZ"/>
              </w:rPr>
            </w:pPr>
            <w:r w:rsidRPr="0045764A">
              <w:t>relevant documentation must include at least eight (8)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ListBullet"/>
            </w:pPr>
            <w:r w:rsidRPr="0045764A">
              <w:t>specifications, drawings and plans</w:t>
            </w:r>
          </w:p>
          <w:p w:rsidR="00000000" w:rsidRPr="0045764A" w:rsidP="0045764A">
            <w:pPr>
              <w:pStyle w:val="ListBullet"/>
            </w:pPr>
            <w:r w:rsidRPr="0045764A">
              <w:t>manufacturer specifications</w:t>
            </w:r>
          </w:p>
          <w:p w:rsidR="00000000" w:rsidRPr="0045764A" w:rsidP="0045764A">
            <w:pPr>
              <w:pStyle w:val="ListBullet"/>
            </w:pPr>
            <w:r w:rsidRPr="0045764A">
              <w:t>company standard operational and safety procedures</w:t>
            </w:r>
          </w:p>
          <w:p w:rsidR="00000000" w:rsidRPr="0045764A" w:rsidP="0045764A">
            <w:pPr>
              <w:pStyle w:val="ListBullet"/>
            </w:pPr>
            <w:r w:rsidRPr="0045764A">
              <w:t>company management plans and policies</w:t>
            </w:r>
          </w:p>
          <w:p w:rsidR="00000000" w:rsidRPr="0045764A" w:rsidP="0045764A">
            <w:pPr>
              <w:pStyle w:val="ListBullet"/>
            </w:pPr>
            <w:r w:rsidRPr="0045764A">
              <w:t>work permits</w:t>
            </w:r>
          </w:p>
          <w:p w:rsidR="00000000" w:rsidRPr="0045764A" w:rsidP="0045764A">
            <w:pPr>
              <w:pStyle w:val="ListBullet"/>
            </w:pPr>
            <w:r w:rsidRPr="0045764A">
              <w:t>hot work permits</w:t>
            </w:r>
          </w:p>
          <w:p w:rsidR="00000000" w:rsidRPr="0045764A" w:rsidP="0045764A">
            <w:pPr>
              <w:pStyle w:val="ListBullet"/>
            </w:pPr>
            <w:r w:rsidRPr="0045764A">
              <w:t>company forms and files</w:t>
            </w:r>
          </w:p>
          <w:p w:rsidR="00000000" w:rsidRPr="0045764A" w:rsidP="0045764A">
            <w:pPr>
              <w:pStyle w:val="ListBullet"/>
            </w:pPr>
            <w:r w:rsidRPr="0045764A">
              <w:t>acts and regulations</w:t>
            </w:r>
          </w:p>
          <w:p w:rsidR="00000000" w:rsidRPr="0045764A" w:rsidP="0045764A">
            <w:pPr>
              <w:pStyle w:val="ListBullet"/>
            </w:pPr>
            <w:r w:rsidRPr="0045764A">
              <w:t>contracts</w:t>
            </w:r>
          </w:p>
          <w:p w:rsidR="00000000" w:rsidRPr="0045764A" w:rsidP="0045764A">
            <w:pPr>
              <w:pStyle w:val="ListBullet"/>
            </w:pPr>
            <w:r w:rsidRPr="0045764A">
              <w:t>recording/reporting</w:t>
            </w:r>
          </w:p>
          <w:p w:rsidR="00000000" w:rsidRPr="0045764A" w:rsidP="0045764A">
            <w:pPr>
              <w:pStyle w:val="ListBullet"/>
            </w:pPr>
            <w:r w:rsidRPr="0045764A">
              <w:t>maintenance activities</w:t>
            </w:r>
          </w:p>
          <w:p w:rsidR="00000000" w:rsidRPr="0045764A" w:rsidP="0045764A">
            <w:pPr>
              <w:pStyle w:val="ListBullet"/>
            </w:pPr>
            <w:r w:rsidRPr="0045764A">
              <w:t>inspection and incident reports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9" w:name="O_966156"/>
      <w:bookmarkEnd w:id="9"/>
      <w:r w:rsidRPr="004576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4A" w:rsidP="0045764A">
            <w:pPr>
              <w:pStyle w:val="BodyText"/>
            </w:pPr>
            <w:r w:rsidRPr="0045764A">
              <w:t>This unit replaces and is equivalent to UEGNSG117B Plan and implement the data acq</w:t>
            </w:r>
            <w:r w:rsidRPr="0045764A">
              <w:t>uisition and metering requirements of a gas system.</w:t>
            </w:r>
          </w:p>
        </w:tc>
      </w:tr>
    </w:tbl>
    <w:p w:rsidR="00000000" w:rsidRPr="0045764A" w:rsidP="0045764A">
      <w:pPr>
        <w:pStyle w:val="NoPaddingFontSize1"/>
      </w:pPr>
    </w:p>
    <w:p w:rsidR="00000000" w:rsidRPr="0045764A" w:rsidP="0045764A">
      <w:pPr>
        <w:pStyle w:val="AllowPageBreak"/>
      </w:pPr>
    </w:p>
    <w:p w:rsidR="00000000" w:rsidRPr="0045764A" w:rsidP="0045764A">
      <w:pPr>
        <w:pStyle w:val="Heading1"/>
      </w:pPr>
      <w:bookmarkStart w:id="10" w:name="O_966163"/>
      <w:bookmarkEnd w:id="10"/>
      <w:r w:rsidRPr="0045764A">
        <w:t>Links</w:t>
      </w:r>
    </w:p>
    <w:p w:rsidR="00000000" w:rsidRPr="0045764A" w:rsidP="006F032A">
      <w:pPr>
        <w:pStyle w:val="BodyText"/>
      </w:pPr>
      <w:r w:rsidRPr="00457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92DA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5764A" w:rsidP="0045764A"/>
    <w:sectPr w:rsidSect="00457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4A" w:rsidRPr="006F032A" w:rsidP="006F0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A" w:rsidP="00457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32A" w:rsidP="00457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032A" w:rsidP="00457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64A" w:rsidRPr="006F032A" w:rsidP="006F0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A" w:rsidRPr="002D2AF8" w:rsidP="00457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UEGNSG117 Plan and implement the data acquisition and metering requirements of a gas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F032A" w:rsidP="00457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222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64F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64A"/>
  </w:style>
  <w:style w:type="character" w:customStyle="1" w:styleId="Heading1Char">
    <w:name w:val="Heading 1 Char"/>
    <w:basedOn w:val="DefaultParagraphFont"/>
    <w:link w:val="Heading1"/>
    <w:rsid w:val="00457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6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64A"/>
    <w:rPr>
      <w:b/>
      <w:spacing w:val="0"/>
    </w:rPr>
  </w:style>
  <w:style w:type="paragraph" w:customStyle="1" w:styleId="SuperHeading">
    <w:name w:val="SuperHeading"/>
    <w:basedOn w:val="Normal"/>
    <w:rsid w:val="00457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7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6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64A"/>
    <w:rPr>
      <w:i/>
    </w:rPr>
  </w:style>
  <w:style w:type="paragraph" w:styleId="Caption">
    <w:name w:val="caption"/>
    <w:basedOn w:val="BodyText"/>
    <w:next w:val="Normal"/>
    <w:qFormat/>
    <w:rsid w:val="00457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64A"/>
  </w:style>
  <w:style w:type="paragraph" w:styleId="TableofFigures">
    <w:name w:val="table of figures"/>
    <w:basedOn w:val="Normal"/>
    <w:next w:val="Normal"/>
    <w:semiHidden/>
    <w:rsid w:val="00457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6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64A"/>
    <w:rPr>
      <w:rFonts w:ascii="Wingdings" w:hAnsi="Wingdings"/>
    </w:rPr>
  </w:style>
  <w:style w:type="paragraph" w:customStyle="1" w:styleId="TableHeading">
    <w:name w:val="Table Heading"/>
    <w:basedOn w:val="HeadingBase"/>
    <w:rsid w:val="00457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64A"/>
    <w:rPr>
      <w:color w:val="0033CC"/>
      <w:u w:val="none"/>
    </w:rPr>
  </w:style>
  <w:style w:type="paragraph" w:customStyle="1" w:styleId="BodyTextRight">
    <w:name w:val="Body Text Right"/>
    <w:basedOn w:val="BodyText"/>
    <w:rsid w:val="00457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64A"/>
    <w:rPr>
      <w:sz w:val="32"/>
    </w:rPr>
  </w:style>
  <w:style w:type="paragraph" w:customStyle="1" w:styleId="HeadingProcedure">
    <w:name w:val="Heading Procedure"/>
    <w:basedOn w:val="HeadingBase"/>
    <w:next w:val="Normal"/>
    <w:rsid w:val="00457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64A"/>
    <w:pPr>
      <w:spacing w:before="60" w:after="60"/>
    </w:pPr>
  </w:style>
  <w:style w:type="paragraph" w:styleId="ListContinue">
    <w:name w:val="List Continue"/>
    <w:basedOn w:val="List"/>
    <w:rsid w:val="0045764A"/>
    <w:pPr>
      <w:ind w:firstLine="0"/>
    </w:pPr>
  </w:style>
  <w:style w:type="paragraph" w:customStyle="1" w:styleId="ListNote">
    <w:name w:val="List Note"/>
    <w:basedOn w:val="List"/>
    <w:rsid w:val="00457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64A"/>
    <w:rPr>
      <w:rFonts w:ascii="Courier New" w:hAnsi="Courier New"/>
    </w:rPr>
  </w:style>
  <w:style w:type="paragraph" w:customStyle="1" w:styleId="NoteBullet">
    <w:name w:val="Note Bullet"/>
    <w:basedOn w:val="Note"/>
    <w:rsid w:val="00457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6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64A"/>
    <w:rPr>
      <w:b/>
      <w:smallCaps/>
    </w:rPr>
  </w:style>
  <w:style w:type="paragraph" w:customStyle="1" w:styleId="TableListNumber">
    <w:name w:val="Table List Number"/>
    <w:basedOn w:val="ListNumber"/>
    <w:rsid w:val="00457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64A"/>
    <w:pPr>
      <w:numPr>
        <w:numId w:val="8"/>
      </w:numPr>
    </w:pPr>
  </w:style>
  <w:style w:type="paragraph" w:customStyle="1" w:styleId="ListAlpha2">
    <w:name w:val="List Alpha 2"/>
    <w:basedOn w:val="List2"/>
    <w:rsid w:val="0045764A"/>
    <w:pPr>
      <w:numPr>
        <w:numId w:val="7"/>
      </w:numPr>
    </w:pPr>
  </w:style>
  <w:style w:type="paragraph" w:styleId="List2">
    <w:name w:val="List 2"/>
    <w:basedOn w:val="BodyText"/>
    <w:rsid w:val="00457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6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6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64A"/>
    <w:pPr>
      <w:numPr>
        <w:numId w:val="3"/>
      </w:numPr>
    </w:pPr>
  </w:style>
  <w:style w:type="paragraph" w:styleId="ListContinue2">
    <w:name w:val="List Continue 2"/>
    <w:basedOn w:val="List2"/>
    <w:rsid w:val="0045764A"/>
    <w:pPr>
      <w:ind w:firstLine="0"/>
    </w:pPr>
  </w:style>
  <w:style w:type="paragraph" w:styleId="ListContinue3">
    <w:name w:val="List Continue 3"/>
    <w:basedOn w:val="List3"/>
    <w:rsid w:val="0045764A"/>
    <w:pPr>
      <w:ind w:left="1021" w:firstLine="0"/>
    </w:pPr>
  </w:style>
  <w:style w:type="paragraph" w:styleId="ListContinue4">
    <w:name w:val="List Continue 4"/>
    <w:basedOn w:val="List4"/>
    <w:rsid w:val="0045764A"/>
    <w:pPr>
      <w:ind w:firstLine="0"/>
    </w:pPr>
  </w:style>
  <w:style w:type="paragraph" w:styleId="ListContinue5">
    <w:name w:val="List Continue 5"/>
    <w:basedOn w:val="List5"/>
    <w:rsid w:val="0045764A"/>
    <w:pPr>
      <w:ind w:firstLine="0"/>
    </w:pPr>
  </w:style>
  <w:style w:type="paragraph" w:styleId="ListNumber3">
    <w:name w:val="List Number 3"/>
    <w:basedOn w:val="List3"/>
    <w:rsid w:val="0045764A"/>
    <w:pPr>
      <w:numPr>
        <w:numId w:val="4"/>
      </w:numPr>
    </w:pPr>
  </w:style>
  <w:style w:type="paragraph" w:styleId="ListNumber4">
    <w:name w:val="List Number 4"/>
    <w:basedOn w:val="List4"/>
    <w:rsid w:val="0045764A"/>
    <w:pPr>
      <w:numPr>
        <w:numId w:val="5"/>
      </w:numPr>
    </w:pPr>
  </w:style>
  <w:style w:type="paragraph" w:styleId="ListNumber5">
    <w:name w:val="List Number 5"/>
    <w:basedOn w:val="List5"/>
    <w:rsid w:val="0045764A"/>
    <w:pPr>
      <w:numPr>
        <w:numId w:val="6"/>
      </w:numPr>
    </w:pPr>
  </w:style>
  <w:style w:type="paragraph" w:styleId="BlockText">
    <w:name w:val="Block Text"/>
    <w:basedOn w:val="Normal"/>
    <w:rsid w:val="00457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64A"/>
    <w:rPr>
      <w:sz w:val="16"/>
      <w:vertAlign w:val="superscript"/>
    </w:rPr>
  </w:style>
  <w:style w:type="character" w:customStyle="1" w:styleId="Symbols">
    <w:name w:val="Symbols"/>
    <w:basedOn w:val="DefaultParagraphFont"/>
    <w:rsid w:val="0045764A"/>
    <w:rPr>
      <w:rFonts w:ascii="Symbol" w:hAnsi="Symbol"/>
    </w:rPr>
  </w:style>
  <w:style w:type="character" w:customStyle="1" w:styleId="MenuOptions">
    <w:name w:val="Menu Options"/>
    <w:basedOn w:val="DefaultParagraphFont"/>
    <w:rsid w:val="00457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64A"/>
    <w:rPr>
      <w:b/>
    </w:rPr>
  </w:style>
  <w:style w:type="character" w:customStyle="1" w:styleId="Underlined">
    <w:name w:val="Underlined"/>
    <w:basedOn w:val="DefaultParagraphFont"/>
    <w:rsid w:val="0045764A"/>
    <w:rPr>
      <w:u w:val="single"/>
    </w:rPr>
  </w:style>
  <w:style w:type="paragraph" w:customStyle="1" w:styleId="TableBodyTextRight">
    <w:name w:val="Table Body Text Right"/>
    <w:basedOn w:val="TableBodyText"/>
    <w:rsid w:val="00457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64A"/>
    <w:rPr>
      <w:sz w:val="18"/>
    </w:rPr>
  </w:style>
  <w:style w:type="paragraph" w:customStyle="1" w:styleId="BodySmallRight">
    <w:name w:val="Body Small Right"/>
    <w:basedOn w:val="BodyTextRight"/>
    <w:rsid w:val="0045764A"/>
    <w:rPr>
      <w:sz w:val="18"/>
      <w:szCs w:val="18"/>
    </w:rPr>
  </w:style>
  <w:style w:type="paragraph" w:customStyle="1" w:styleId="MarginEdition">
    <w:name w:val="Margin Edition"/>
    <w:basedOn w:val="MarginNote"/>
    <w:rsid w:val="00457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64A"/>
    <w:rPr>
      <w:sz w:val="2"/>
      <w:szCs w:val="2"/>
    </w:rPr>
  </w:style>
  <w:style w:type="character" w:customStyle="1" w:styleId="Small">
    <w:name w:val="Small"/>
    <w:basedOn w:val="DefaultParagraphFont"/>
    <w:rsid w:val="0045764A"/>
    <w:rPr>
      <w:sz w:val="16"/>
    </w:rPr>
  </w:style>
  <w:style w:type="paragraph" w:customStyle="1" w:styleId="WideTable">
    <w:name w:val="Wide Table"/>
    <w:basedOn w:val="Normal"/>
    <w:rsid w:val="00457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64A"/>
  </w:style>
  <w:style w:type="paragraph" w:styleId="Quote">
    <w:name w:val="Quote"/>
    <w:basedOn w:val="Heading1"/>
    <w:link w:val="QuoteChar"/>
    <w:qFormat/>
    <w:rsid w:val="00457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64A"/>
    <w:pPr>
      <w:pageBreakBefore/>
    </w:pPr>
  </w:style>
  <w:style w:type="paragraph" w:customStyle="1" w:styleId="Border">
    <w:name w:val="Border"/>
    <w:basedOn w:val="Normal"/>
    <w:qFormat/>
    <w:rsid w:val="00457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64A"/>
    <w:rPr>
      <w:u w:val="single"/>
    </w:rPr>
  </w:style>
  <w:style w:type="character" w:customStyle="1" w:styleId="BoldandItalics">
    <w:name w:val="Bold and Italics"/>
    <w:qFormat/>
    <w:rsid w:val="0045764A"/>
    <w:rPr>
      <w:b/>
      <w:i/>
      <w:u w:val="none"/>
    </w:rPr>
  </w:style>
  <w:style w:type="paragraph" w:styleId="BalloonText">
    <w:name w:val="Balloon Text"/>
    <w:basedOn w:val="Normal"/>
    <w:link w:val="BalloonTextChar"/>
    <w:rsid w:val="00457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64A"/>
    <w:pPr>
      <w:spacing w:before="0" w:after="0"/>
    </w:pPr>
  </w:style>
  <w:style w:type="paragraph" w:customStyle="1" w:styleId="BodyTextBold">
    <w:name w:val="Body Text Bold"/>
    <w:basedOn w:val="BodyText"/>
    <w:qFormat/>
    <w:rsid w:val="0045764A"/>
    <w:rPr>
      <w:b/>
    </w:rPr>
  </w:style>
  <w:style w:type="character" w:styleId="Hyperlink">
    <w:name w:val="Hyperlink"/>
    <w:basedOn w:val="DefaultParagraphFont"/>
    <w:uiPriority w:val="99"/>
    <w:unhideWhenUsed/>
    <w:rsid w:val="006F0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6310</Characters>
  <Application>Microsoft Office Word</Application>
  <DocSecurity>0</DocSecurity>
  <Lines>286</Lines>
  <Paragraphs>151</Paragraphs>
  <ScaleCrop>false</ScaleCrop>
  <Company>Author-it Software Corporation Ltd.</Company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UEGNSG117 Plan and implement the data acquisition and metering requirements of a gas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2021-01-25T05:56:00Z</dcterms:created>
  <dcterms:modified xsi:type="dcterms:W3CDTF">2021-01-25T05:56:00Z</dcterms:modified>
</cp:coreProperties>
</file>