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0AC" w:rsidP="005E20AC">
      <w:pPr>
        <w:pStyle w:val="Title"/>
      </w:pPr>
      <w:r>
        <w:fldChar w:fldCharType="begin"/>
      </w:r>
      <w:r>
        <w:instrText xml:space="preserve"> TITLE   \* MERGEFORMAT </w:instrText>
      </w:r>
      <w:r>
        <w:fldChar w:fldCharType="separate"/>
      </w:r>
      <w:r>
        <w:t>UEGNSG116 Manage gas industry physical resources</w:t>
      </w:r>
      <w:r>
        <w:fldChar w:fldCharType="end"/>
      </w:r>
    </w:p>
    <w:p w:rsidR="005E20AC" w:rsidP="005E20AC">
      <w:pPr>
        <w:pStyle w:val="Version"/>
        <w:sectPr w:rsidSect="000A2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A46" w:rsidP="000A2A46">
      <w:pPr>
        <w:pStyle w:val="SuperHeading"/>
      </w:pPr>
      <w:r w:rsidRPr="000A2A46">
        <w:t>UEGNSG116 Manage gas industry physical resources</w:t>
      </w:r>
    </w:p>
    <w:p w:rsidR="00000000" w:rsidRPr="000A2A46" w:rsidP="000A2A46">
      <w:pPr>
        <w:pStyle w:val="Heading1"/>
      </w:pPr>
      <w:bookmarkStart w:id="1" w:name="O_966129"/>
      <w:bookmarkEnd w:id="1"/>
      <w:r w:rsidRPr="000A2A46">
        <w:t>Modification History</w:t>
      </w:r>
    </w:p>
    <w:tbl>
      <w:tblPr>
        <w:tblW w:w="9497" w:type="dxa"/>
        <w:tblLayout w:type="fixed"/>
        <w:tblCellMar>
          <w:left w:w="62" w:type="dxa"/>
          <w:right w:w="62" w:type="dxa"/>
        </w:tblCellMar>
        <w:tblLook w:val="0000"/>
      </w:tblPr>
      <w:tblGrid>
        <w:gridCol w:w="9497"/>
      </w:tblGrid>
      <w:tr w:rsidTr="000A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Release 1. This is the first release of this unit of competency in the UEG Gas Industry Training Package.</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2" w:name="O_966130"/>
      <w:bookmarkEnd w:id="2"/>
      <w:r w:rsidRPr="000A2A46">
        <w:t>Application</w:t>
      </w:r>
    </w:p>
    <w:tbl>
      <w:tblPr>
        <w:tblW w:w="9497" w:type="dxa"/>
        <w:tblLayout w:type="fixed"/>
        <w:tblCellMar>
          <w:left w:w="62" w:type="dxa"/>
          <w:right w:w="62" w:type="dxa"/>
        </w:tblCellMar>
        <w:tblLook w:val="0000"/>
      </w:tblPr>
      <w:tblGrid>
        <w:gridCol w:w="9497"/>
      </w:tblGrid>
      <w:tr w:rsidTr="000A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This unit involves the skills and knowledge required to acquire and manage physical resour</w:t>
            </w:r>
            <w:r w:rsidRPr="000A2A46">
              <w:t>ces to achieve gas utility business objectives.</w:t>
            </w:r>
          </w:p>
          <w:p w:rsidR="00000000" w:rsidRPr="000A2A46" w:rsidP="000A2A46">
            <w:pPr>
              <w:pStyle w:val="BodyText"/>
            </w:pPr>
            <w:r w:rsidRPr="000A2A46">
              <w:t>It includes determining physical resource requirements by reviewing and acquisition of physical resources and completing physical resource record requirements in a gas utility organisation.</w:t>
            </w:r>
          </w:p>
          <w:p w:rsidR="00000000" w:rsidRPr="000A2A46" w:rsidP="000A2A46">
            <w:pPr>
              <w:pStyle w:val="BodyText"/>
            </w:pPr>
            <w:r w:rsidRPr="000A2A46">
              <w:t>This unit refers t</w:t>
            </w:r>
            <w:r w:rsidRPr="000A2A46">
              <w:t>o physical resources, acquisition and allocation of resources, organisational policies and procedures that may vary between sectors and organisations, budget formats and budgets, relevant authorities and other stakeholders, and expected lifetime of equipme</w:t>
            </w:r>
            <w:r w:rsidRPr="000A2A46">
              <w:t>nt.</w:t>
            </w:r>
          </w:p>
          <w:p w:rsidR="00000000" w:rsidRPr="000A2A46" w:rsidP="000A2A46">
            <w:pPr>
              <w:pStyle w:val="BodyText"/>
            </w:pPr>
            <w:r w:rsidRPr="000A2A46">
              <w:t>This unit applies to any safe work site where gas industry operations occur.</w:t>
            </w:r>
          </w:p>
          <w:p w:rsidR="00000000" w:rsidRPr="000A2A46" w:rsidP="000A2A46">
            <w:pPr>
              <w:pStyle w:val="BodyText"/>
            </w:pPr>
            <w:r w:rsidRPr="000A2A46">
              <w:t>No licensing, legislative or certification requirements apply to this unit at the time of publication.</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3" w:name="O_966131"/>
      <w:bookmarkEnd w:id="3"/>
      <w:r w:rsidRPr="000A2A46">
        <w:t>Pre-requisite Unit</w:t>
      </w:r>
    </w:p>
    <w:tbl>
      <w:tblPr>
        <w:tblW w:w="9497" w:type="dxa"/>
        <w:tblLayout w:type="fixed"/>
        <w:tblCellMar>
          <w:left w:w="62" w:type="dxa"/>
          <w:right w:w="62" w:type="dxa"/>
        </w:tblCellMar>
        <w:tblLook w:val="0000"/>
      </w:tblPr>
      <w:tblGrid>
        <w:gridCol w:w="9497"/>
      </w:tblGrid>
      <w:tr w:rsidTr="000A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Not applicable.</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4" w:name="O_966132"/>
      <w:bookmarkEnd w:id="4"/>
      <w:r w:rsidRPr="000A2A46">
        <w:t>Competency Field</w:t>
      </w:r>
    </w:p>
    <w:tbl>
      <w:tblPr>
        <w:tblW w:w="9497" w:type="dxa"/>
        <w:tblLayout w:type="fixed"/>
        <w:tblCellMar>
          <w:left w:w="62" w:type="dxa"/>
          <w:right w:w="62" w:type="dxa"/>
        </w:tblCellMar>
        <w:tblLook w:val="0000"/>
      </w:tblPr>
      <w:tblGrid>
        <w:gridCol w:w="9497"/>
      </w:tblGrid>
      <w:tr w:rsidTr="000A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Cross Discipline Units</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5" w:name="O_966133"/>
      <w:bookmarkEnd w:id="5"/>
      <w:r w:rsidRPr="000A2A46">
        <w:t>Unit Sector</w:t>
      </w:r>
    </w:p>
    <w:tbl>
      <w:tblPr>
        <w:tblW w:w="9497" w:type="dxa"/>
        <w:tblLayout w:type="fixed"/>
        <w:tblCellMar>
          <w:left w:w="62" w:type="dxa"/>
          <w:right w:w="62" w:type="dxa"/>
        </w:tblCellMar>
        <w:tblLook w:val="0000"/>
      </w:tblPr>
      <w:tblGrid>
        <w:gridCol w:w="9497"/>
      </w:tblGrid>
      <w:tr w:rsidTr="000A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Gas Industry</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6" w:name="O_966134"/>
      <w:bookmarkEnd w:id="6"/>
      <w:r w:rsidRPr="000A2A4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2A4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PERFORMANCE CRITERIA</w:t>
            </w:r>
          </w:p>
        </w:tc>
      </w:tr>
      <w:tr w:rsidTr="000A2A4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Performance criteria describe the performance needed to demonstrate achievement of the element.</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rPr>
                <w:rStyle w:val="SpecialBold"/>
              </w:rPr>
              <w:t xml:space="preserve">Determine and review physical resource </w:t>
            </w:r>
            <w:r w:rsidRPr="000A2A46">
              <w:rPr>
                <w:rStyle w:val="SpecialBold"/>
              </w:rPr>
              <w:t>requirements</w:t>
            </w: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Physical resource requirement outcome is determined, prioritised and sequenced in accordance with w</w:t>
            </w:r>
            <w:r w:rsidRPr="000A2A46">
              <w:t xml:space="preserve">orkplace </w:t>
            </w:r>
            <w:r w:rsidRPr="000A2A46">
              <w:t>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Liaison and communication with authorised person/s, authorities, clients and land-owners are undertaken to resolve physical resource issues and coordinated work activities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Risk control measures are identified, prioritised and evaluated against the work schedule</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 xml:space="preserve">Physical resource requirements are determined in accordance with demonstrated need and cost-benefit analysis </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Physical resource requirements are consoli</w:t>
            </w:r>
            <w:r w:rsidRPr="000A2A46">
              <w:t>dated, rationalised, negotiated and acquired in the context of organisational requirements and budget constraints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 xml:space="preserve">Replacement/acquisition/refurbishment of resources are scheduled based on expected lifecycle of equipment and anticipated needs of the </w:t>
            </w:r>
            <w:r w:rsidRPr="000A2A46">
              <w:t>organisation</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rPr>
                <w:rStyle w:val="SpecialBold"/>
              </w:rPr>
              <w:t>Acquire and allocate physical resources</w:t>
            </w: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Physical resource inventory is determined and maintained for easy tracking of resource lifecycle and location/history</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Maintenance schedules and budgets are developed and approved in consultation with stakeholders with due regard to work health and safety (WHS)/occupational health and safety (OHS) regulations and in accordance with workplace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 xml:space="preserve">Mathematical </w:t>
            </w:r>
            <w:r w:rsidRPr="000A2A46">
              <w:t>models are used to analyse effectiveness of the finished product in accordance with workplace requirements and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Management systems are identified and implemented to facilitate collection, processing and management of data on resource use a</w:t>
            </w:r>
            <w:r w:rsidRPr="000A2A46">
              <w:t>nd maintenance/asset management</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 xml:space="preserve">Physical resource technical advice and specifications are obtained to identify potential hazards, assess risks and implement control measures </w:t>
            </w:r>
            <w:r w:rsidRPr="000A2A46">
              <w:t>so that monitoring can be undertaken safely and appropriate authorities consulted, as required, in accordance with workplace requirements and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 xml:space="preserve">Specific data is analysed and compared with physical resource specifications to ensure completion of the acquisition project within agreed timeframe in </w:t>
            </w:r>
            <w:r w:rsidRPr="000A2A46">
              <w:t>accordance with workplace requirements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Work teams are arranged to ensure planned goals are met in</w:t>
            </w:r>
            <w:r w:rsidRPr="000A2A46">
              <w:t xml:space="preserve"> accordance with workplace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Unplanned situations are responded to in accordance with workplace requirements in a manner that minimises risk to personnel and equipment</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Quality of work activities is monitored against performance agree</w:t>
            </w:r>
            <w:r w:rsidRPr="000A2A46">
              <w:t>ment, workplace procedures and relevant industry standards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Acquisition strategic plan is developed incorporating organisation initiatives in accordance with workplace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rPr>
                <w:rStyle w:val="SpecialBold"/>
              </w:rPr>
              <w:t>Complete physical resource requirements</w:t>
            </w: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Physical resource inspections are undertaken to ensure compliance with workplace requirements and specifications and documents needed to complete the acquisition project are completed and checked</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Effectiveness of acquisition and allocation of resour</w:t>
            </w:r>
            <w:r w:rsidRPr="000A2A46">
              <w:t>ces is monitored and assessed to meet organisational needs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Discrepancies in resource provision are identified and corrected in accordance with workplace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Acquisition and allocation of resources and costs incurred are recorded and re</w:t>
            </w:r>
            <w:r w:rsidRPr="000A2A46">
              <w:t>ported in accordance with workplace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Appropriate persons are notified of completion and reports and completion documents are finalised in accordance with workplace procedures</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Reports and completion documents are submitted to relevant persons for approval and as required, statutory or regulatory approval</w:t>
            </w:r>
          </w:p>
        </w:tc>
      </w:tr>
      <w:tr w:rsidTr="000A2A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A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Approved copies of documents are issued and records are updated in accordance with workplace procedures</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7" w:name="O_966135"/>
      <w:bookmarkEnd w:id="7"/>
      <w:r w:rsidRPr="000A2A46">
        <w:t>Foundation Skills</w:t>
      </w:r>
    </w:p>
    <w:tbl>
      <w:tblPr>
        <w:tblW w:w="9497" w:type="dxa"/>
        <w:tblLayout w:type="fixed"/>
        <w:tblCellMar>
          <w:left w:w="62" w:type="dxa"/>
          <w:right w:w="62" w:type="dxa"/>
        </w:tblCellMar>
        <w:tblLook w:val="0000"/>
      </w:tblPr>
      <w:tblGrid>
        <w:gridCol w:w="9497"/>
      </w:tblGrid>
      <w:tr w:rsidTr="000A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Foundation skills essential to performance are explicit in the performance criteria of this unit of competency.</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8" w:name="O_966136"/>
      <w:bookmarkEnd w:id="8"/>
      <w:r w:rsidRPr="000A2A46">
        <w:t>Range of Conditions</w:t>
      </w:r>
    </w:p>
    <w:tbl>
      <w:tblPr>
        <w:tblW w:w="9497" w:type="dxa"/>
        <w:tblLayout w:type="fixed"/>
        <w:tblCellMar>
          <w:left w:w="62" w:type="dxa"/>
          <w:right w:w="62" w:type="dxa"/>
        </w:tblCellMar>
        <w:tblLook w:val="0000"/>
      </w:tblPr>
      <w:tblGrid>
        <w:gridCol w:w="4693"/>
        <w:gridCol w:w="4804"/>
      </w:tblGrid>
      <w:tr w:rsidTr="000A2A4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Range is restricted to essential operating conditions and any other variables essential to the work environment.</w:t>
            </w:r>
          </w:p>
          <w:p w:rsidR="00000000" w:rsidP="000A2A46">
            <w:pPr>
              <w:pStyle w:val="BodyText"/>
              <w:rPr>
                <w:lang w:val="en-NZ"/>
              </w:rPr>
            </w:pPr>
            <w:r w:rsidRPr="000A2A46">
              <w:t>Non-essential conditions may be found in the UEG Gas Industry Training Package Companion Volume Implementation Guide.</w:t>
            </w:r>
          </w:p>
        </w:tc>
      </w:tr>
      <w:tr w:rsidTr="000A2A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constants and variables</w:t>
            </w:r>
            <w:r w:rsidRPr="000A2A46">
              <w:t xml:space="preserve"> must include the following:</w:t>
            </w:r>
          </w:p>
          <w:p w:rsidR="00000000" w:rsidP="000A2A46">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0A2A46" w:rsidP="000A2A46">
            <w:pPr>
              <w:pStyle w:val="ListBullet"/>
            </w:pPr>
            <w:r w:rsidRPr="000A2A46">
              <w:t>gas industry physical resources</w:t>
            </w:r>
          </w:p>
          <w:p w:rsidR="00000000" w:rsidRPr="000A2A46" w:rsidP="000A2A46">
            <w:pPr>
              <w:pStyle w:val="ListBullet"/>
            </w:pPr>
            <w:r w:rsidRPr="000A2A46">
              <w:t>acquisition and allocation of resources</w:t>
            </w:r>
          </w:p>
          <w:p w:rsidR="00000000" w:rsidRPr="000A2A46" w:rsidP="000A2A46">
            <w:pPr>
              <w:pStyle w:val="ListBullet"/>
            </w:pPr>
            <w:r w:rsidRPr="000A2A46">
              <w:t xml:space="preserve">organisational policy and procedures </w:t>
            </w:r>
          </w:p>
          <w:p w:rsidR="00000000" w:rsidRPr="000A2A46" w:rsidP="000A2A46">
            <w:pPr>
              <w:pStyle w:val="ListBullet"/>
            </w:pPr>
            <w:r w:rsidRPr="000A2A46">
              <w:t>budget formats</w:t>
            </w:r>
          </w:p>
          <w:p w:rsidR="00000000" w:rsidRPr="000A2A46" w:rsidP="000A2A46">
            <w:pPr>
              <w:pStyle w:val="ListBullet"/>
            </w:pPr>
            <w:r w:rsidRPr="000A2A46">
              <w:t>budget</w:t>
            </w:r>
          </w:p>
          <w:p w:rsidR="00000000" w:rsidRPr="000A2A46" w:rsidP="000A2A46">
            <w:pPr>
              <w:pStyle w:val="ListBullet"/>
            </w:pPr>
            <w:r w:rsidRPr="000A2A46">
              <w:t>relevant authorities and other stakeholders</w:t>
            </w:r>
          </w:p>
          <w:p w:rsidR="00000000" w:rsidRPr="000A2A46" w:rsidP="000A2A46">
            <w:pPr>
              <w:pStyle w:val="ListBullet"/>
            </w:pPr>
            <w:r w:rsidRPr="000A2A46">
              <w:t>expected lifetime of equipment</w:t>
            </w:r>
          </w:p>
          <w:p w:rsidR="00000000" w:rsidP="000A2A46">
            <w:pPr>
              <w:pStyle w:val="ListBullet"/>
              <w:rPr>
                <w:lang w:val="en-NZ"/>
              </w:rPr>
            </w:pPr>
            <w:r w:rsidRPr="000A2A46">
              <w:t>records and reports</w:t>
            </w:r>
          </w:p>
        </w:tc>
      </w:tr>
      <w:tr w:rsidTr="000A2A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physical resources must include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0A2A46" w:rsidP="000A2A46">
            <w:pPr>
              <w:pStyle w:val="ListBullet"/>
            </w:pPr>
            <w:r w:rsidRPr="000A2A46">
              <w:t>property/facilities</w:t>
            </w:r>
          </w:p>
          <w:p w:rsidR="00000000" w:rsidRPr="000A2A46" w:rsidP="000A2A46">
            <w:pPr>
              <w:pStyle w:val="ListBullet"/>
            </w:pPr>
            <w:r w:rsidRPr="000A2A46">
              <w:t>fixtures and plant</w:t>
            </w:r>
          </w:p>
          <w:p w:rsidR="00000000" w:rsidRPr="000A2A46" w:rsidP="000A2A46">
            <w:pPr>
              <w:pStyle w:val="ListBullet"/>
            </w:pPr>
            <w:r w:rsidRPr="000A2A46">
              <w:t>vehicles</w:t>
            </w:r>
          </w:p>
          <w:p w:rsidR="00000000" w:rsidRPr="000A2A46" w:rsidP="000A2A46">
            <w:pPr>
              <w:pStyle w:val="ListBullet"/>
            </w:pPr>
            <w:r w:rsidRPr="000A2A46">
              <w:t>equipment</w:t>
            </w:r>
          </w:p>
          <w:p w:rsidR="00000000" w:rsidRPr="000A2A46" w:rsidP="000A2A46">
            <w:pPr>
              <w:pStyle w:val="ListBullet"/>
            </w:pPr>
            <w:r w:rsidRPr="000A2A46">
              <w:t>stocks and supplies</w:t>
            </w:r>
          </w:p>
          <w:p w:rsidR="00000000" w:rsidRPr="000A2A46" w:rsidP="000A2A46">
            <w:pPr>
              <w:pStyle w:val="ListBullet"/>
            </w:pPr>
            <w:r w:rsidRPr="000A2A46">
              <w:t>gas systems and plant</w:t>
            </w:r>
          </w:p>
          <w:p w:rsidR="00000000" w:rsidRPr="000A2A46" w:rsidP="000A2A46">
            <w:pPr>
              <w:pStyle w:val="ListBullet"/>
            </w:pPr>
            <w:r w:rsidRPr="000A2A46">
              <w:t>works depot</w:t>
            </w:r>
          </w:p>
          <w:p w:rsidR="00000000" w:rsidRPr="000A2A46" w:rsidP="000A2A46">
            <w:pPr>
              <w:pStyle w:val="ListBullet"/>
            </w:pPr>
            <w:r w:rsidRPr="000A2A46">
              <w:t>pipelines</w:t>
            </w:r>
          </w:p>
          <w:p w:rsidR="00000000" w:rsidRPr="000A2A46" w:rsidP="000A2A46">
            <w:pPr>
              <w:pStyle w:val="ListBullet"/>
            </w:pPr>
            <w:r w:rsidRPr="000A2A46">
              <w:t>distribution systems</w:t>
            </w:r>
          </w:p>
          <w:p w:rsidR="00000000" w:rsidP="000A2A46">
            <w:pPr>
              <w:pStyle w:val="ListBullet"/>
              <w:rPr>
                <w:lang w:val="en-NZ"/>
              </w:rPr>
            </w:pPr>
            <w:r w:rsidRPr="000A2A46">
              <w:t>storage depots and installations</w:t>
            </w:r>
          </w:p>
        </w:tc>
      </w:tr>
      <w:tr w:rsidTr="000A2A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acquisition and allocation of resources must be demonstrated in relation to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0A2A46" w:rsidP="000A2A46">
            <w:pPr>
              <w:pStyle w:val="ListBullet"/>
            </w:pPr>
            <w:r w:rsidRPr="000A2A46">
              <w:t>identified priorities</w:t>
            </w:r>
          </w:p>
          <w:p w:rsidR="00000000" w:rsidRPr="000A2A46" w:rsidP="000A2A46">
            <w:pPr>
              <w:pStyle w:val="ListBullet"/>
            </w:pPr>
            <w:r w:rsidRPr="000A2A46">
              <w:t>sustainability</w:t>
            </w:r>
          </w:p>
          <w:p w:rsidR="00000000" w:rsidRPr="000A2A46" w:rsidP="000A2A46">
            <w:pPr>
              <w:pStyle w:val="ListBullet"/>
            </w:pPr>
            <w:r w:rsidRPr="000A2A46">
              <w:t>type of physical resource</w:t>
            </w:r>
          </w:p>
          <w:p w:rsidR="00000000" w:rsidRPr="000A2A46" w:rsidP="000A2A46">
            <w:pPr>
              <w:pStyle w:val="ListBullet"/>
            </w:pPr>
            <w:r w:rsidRPr="000A2A46">
              <w:t>urgency</w:t>
            </w:r>
          </w:p>
          <w:p w:rsidR="00000000" w:rsidRPr="000A2A46" w:rsidP="000A2A46">
            <w:pPr>
              <w:pStyle w:val="ListBullet"/>
            </w:pPr>
            <w:r w:rsidRPr="000A2A46">
              <w:t>cost of use</w:t>
            </w:r>
          </w:p>
          <w:p w:rsidR="00000000" w:rsidRPr="000A2A46" w:rsidP="000A2A46">
            <w:pPr>
              <w:pStyle w:val="ListBullet"/>
            </w:pPr>
            <w:r w:rsidRPr="000A2A46">
              <w:t>accessibility</w:t>
            </w:r>
          </w:p>
          <w:p w:rsidR="00000000" w:rsidRPr="000A2A46" w:rsidP="000A2A46">
            <w:pPr>
              <w:pStyle w:val="ListBullet"/>
            </w:pPr>
            <w:r w:rsidRPr="000A2A46">
              <w:t>endurance</w:t>
            </w:r>
          </w:p>
          <w:p w:rsidR="00000000" w:rsidRPr="000A2A46" w:rsidP="000A2A46">
            <w:pPr>
              <w:pStyle w:val="ListBullet"/>
            </w:pPr>
            <w:r w:rsidRPr="000A2A46">
              <w:t>ma</w:t>
            </w:r>
            <w:r w:rsidRPr="000A2A46">
              <w:t>intenance demands</w:t>
            </w:r>
          </w:p>
          <w:p w:rsidR="00000000" w:rsidRPr="000A2A46" w:rsidP="000A2A46">
            <w:pPr>
              <w:pStyle w:val="ListBullet"/>
            </w:pPr>
            <w:r w:rsidRPr="000A2A46">
              <w:t>deployment time</w:t>
            </w:r>
          </w:p>
          <w:p w:rsidR="00000000" w:rsidRPr="000A2A46" w:rsidP="000A2A46">
            <w:pPr>
              <w:pStyle w:val="ListBullet"/>
            </w:pPr>
            <w:r w:rsidRPr="000A2A46">
              <w:t>customer needs</w:t>
            </w:r>
          </w:p>
          <w:p w:rsidR="00000000" w:rsidP="000A2A46">
            <w:pPr>
              <w:pStyle w:val="ListBullet"/>
              <w:rPr>
                <w:lang w:val="en-NZ"/>
              </w:rPr>
            </w:pPr>
            <w:r w:rsidRPr="000A2A46">
              <w:t>hazard and risk analysis</w:t>
            </w:r>
          </w:p>
        </w:tc>
      </w:tr>
      <w:tr w:rsidTr="000A2A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budget formats must include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0A2A46" w:rsidP="000A2A46">
            <w:pPr>
              <w:pStyle w:val="ListBullet"/>
            </w:pPr>
            <w:r w:rsidRPr="000A2A46">
              <w:t>zero based budgeting</w:t>
            </w:r>
          </w:p>
          <w:p w:rsidR="00000000" w:rsidRPr="000A2A46" w:rsidP="000A2A46">
            <w:pPr>
              <w:pStyle w:val="ListBullet"/>
            </w:pPr>
            <w:r w:rsidRPr="000A2A46">
              <w:t>program budgeting</w:t>
            </w:r>
          </w:p>
          <w:p w:rsidR="00000000" w:rsidRPr="000A2A46" w:rsidP="000A2A46">
            <w:pPr>
              <w:pStyle w:val="ListBullet"/>
            </w:pPr>
            <w:r w:rsidRPr="000A2A46">
              <w:t>line item budgeting</w:t>
            </w:r>
          </w:p>
          <w:p w:rsidR="00000000" w:rsidRPr="000A2A46" w:rsidP="000A2A46">
            <w:pPr>
              <w:pStyle w:val="ListBullet"/>
            </w:pPr>
            <w:r w:rsidRPr="000A2A46">
              <w:t>organisation specific budgets</w:t>
            </w:r>
          </w:p>
          <w:p w:rsidR="00000000" w:rsidP="000A2A46">
            <w:pPr>
              <w:pStyle w:val="ListBullet"/>
              <w:rPr>
                <w:lang w:val="en-NZ"/>
              </w:rPr>
            </w:pPr>
            <w:r w:rsidRPr="000A2A46">
              <w:t>output/outcome budgeting</w:t>
            </w:r>
          </w:p>
        </w:tc>
      </w:tr>
      <w:tr w:rsidTr="000A2A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budgets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0A2A46" w:rsidP="000A2A46">
            <w:pPr>
              <w:pStyle w:val="ListBullet"/>
            </w:pPr>
            <w:r w:rsidRPr="000A2A46">
              <w:t>capital expenditure</w:t>
            </w:r>
          </w:p>
          <w:p w:rsidR="00000000" w:rsidRPr="000A2A46" w:rsidP="000A2A46">
            <w:pPr>
              <w:pStyle w:val="ListBullet"/>
            </w:pPr>
            <w:r w:rsidRPr="000A2A46">
              <w:t>recurrent expenditure</w:t>
            </w:r>
          </w:p>
          <w:p w:rsidR="00000000" w:rsidRPr="000A2A46" w:rsidP="000A2A46">
            <w:pPr>
              <w:pStyle w:val="ListBullet"/>
            </w:pPr>
            <w:r w:rsidRPr="000A2A46">
              <w:t>output investment proposal</w:t>
            </w:r>
          </w:p>
          <w:p w:rsidR="00000000" w:rsidP="000A2A46">
            <w:pPr>
              <w:pStyle w:val="ListBullet"/>
              <w:rPr>
                <w:lang w:val="en-NZ"/>
              </w:rPr>
            </w:pPr>
            <w:r w:rsidRPr="000A2A46">
              <w:t>cash flow</w:t>
            </w:r>
          </w:p>
        </w:tc>
      </w:tr>
      <w:tr w:rsidTr="000A2A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relevant authorities and other stakeholders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0A2A46" w:rsidP="000A2A46">
            <w:pPr>
              <w:pStyle w:val="ListBullet"/>
            </w:pPr>
            <w:r w:rsidRPr="000A2A46">
              <w:t>staff</w:t>
            </w:r>
          </w:p>
          <w:p w:rsidR="00000000" w:rsidRPr="000A2A46" w:rsidP="000A2A46">
            <w:pPr>
              <w:pStyle w:val="ListBullet"/>
            </w:pPr>
            <w:r w:rsidRPr="000A2A46">
              <w:t>managers</w:t>
            </w:r>
          </w:p>
          <w:p w:rsidR="00000000" w:rsidRPr="000A2A46" w:rsidP="000A2A46">
            <w:pPr>
              <w:pStyle w:val="ListBullet"/>
            </w:pPr>
            <w:r w:rsidRPr="000A2A46">
              <w:t>government (state, local, federal)</w:t>
            </w:r>
          </w:p>
          <w:p w:rsidR="00000000" w:rsidRPr="000A2A46" w:rsidP="000A2A46">
            <w:pPr>
              <w:pStyle w:val="ListBullet"/>
            </w:pPr>
            <w:r w:rsidRPr="000A2A46">
              <w:t>employee representative (union)</w:t>
            </w:r>
          </w:p>
          <w:p w:rsidR="00000000" w:rsidRPr="000A2A46" w:rsidP="000A2A46">
            <w:pPr>
              <w:pStyle w:val="ListBullet"/>
            </w:pPr>
            <w:r w:rsidRPr="000A2A46">
              <w:t>community</w:t>
            </w:r>
          </w:p>
          <w:p w:rsidR="00000000" w:rsidRPr="000A2A46" w:rsidP="000A2A46">
            <w:pPr>
              <w:pStyle w:val="ListBullet"/>
            </w:pPr>
            <w:r w:rsidRPr="000A2A46">
              <w:t>industry</w:t>
            </w:r>
          </w:p>
          <w:p w:rsidR="00000000" w:rsidP="000A2A46">
            <w:pPr>
              <w:pStyle w:val="ListBullet"/>
              <w:rPr>
                <w:lang w:val="en-NZ"/>
              </w:rPr>
            </w:pPr>
            <w:r w:rsidRPr="000A2A46">
              <w:t>owners of leased property</w:t>
            </w:r>
          </w:p>
        </w:tc>
      </w:tr>
      <w:tr w:rsidTr="000A2A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2A46">
            <w:pPr>
              <w:pStyle w:val="BodyText"/>
              <w:rPr>
                <w:lang w:val="en-NZ"/>
              </w:rPr>
            </w:pPr>
            <w:r w:rsidRPr="000A2A46">
              <w:t>reports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0A2A46" w:rsidP="000A2A46">
            <w:pPr>
              <w:pStyle w:val="ListBullet"/>
            </w:pPr>
            <w:r w:rsidRPr="000A2A46">
              <w:t>spreadsheets</w:t>
            </w:r>
          </w:p>
          <w:p w:rsidR="00000000" w:rsidRPr="000A2A46" w:rsidP="000A2A46">
            <w:pPr>
              <w:pStyle w:val="ListBullet"/>
            </w:pPr>
            <w:r w:rsidRPr="000A2A46">
              <w:t>written reports</w:t>
            </w:r>
          </w:p>
          <w:p w:rsidR="00000000" w:rsidRPr="000A2A46" w:rsidP="000A2A46">
            <w:pPr>
              <w:pStyle w:val="ListBullet"/>
            </w:pPr>
            <w:r w:rsidRPr="000A2A46">
              <w:t>completion of proformas</w:t>
            </w:r>
          </w:p>
          <w:p w:rsidR="00000000" w:rsidRPr="000A2A46" w:rsidP="000A2A46">
            <w:pPr>
              <w:pStyle w:val="ListBullet"/>
            </w:pPr>
            <w:r w:rsidRPr="000A2A46">
              <w:t>completion of forms</w:t>
            </w:r>
          </w:p>
          <w:p w:rsidR="00000000" w:rsidRPr="000A2A46" w:rsidP="000A2A46">
            <w:pPr>
              <w:pStyle w:val="ListBullet"/>
            </w:pPr>
            <w:r w:rsidRPr="000A2A46">
              <w:t>verbal repo</w:t>
            </w:r>
            <w:r w:rsidRPr="000A2A46">
              <w:t>rts</w:t>
            </w:r>
          </w:p>
          <w:p w:rsidR="00000000" w:rsidRPr="000A2A46" w:rsidP="000A2A46">
            <w:pPr>
              <w:pStyle w:val="ListBullet"/>
            </w:pPr>
            <w:r w:rsidRPr="000A2A46">
              <w:t>government budget submission proformas</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9" w:name="O_966137"/>
      <w:bookmarkEnd w:id="9"/>
      <w:r w:rsidRPr="000A2A46">
        <w:t>Unit Mapping Information</w:t>
      </w:r>
    </w:p>
    <w:tbl>
      <w:tblPr>
        <w:tblW w:w="9497" w:type="dxa"/>
        <w:tblLayout w:type="fixed"/>
        <w:tblCellMar>
          <w:left w:w="62" w:type="dxa"/>
          <w:right w:w="62" w:type="dxa"/>
        </w:tblCellMar>
        <w:tblLook w:val="0000"/>
      </w:tblPr>
      <w:tblGrid>
        <w:gridCol w:w="9497"/>
      </w:tblGrid>
      <w:tr w:rsidTr="000A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46" w:rsidP="000A2A46">
            <w:pPr>
              <w:pStyle w:val="BodyText"/>
            </w:pPr>
            <w:r w:rsidRPr="000A2A46">
              <w:t>This unit replaces and is equivalent to UEGNSG116B Manage Gas Industry Physical Resources.</w:t>
            </w:r>
          </w:p>
        </w:tc>
      </w:tr>
    </w:tbl>
    <w:p w:rsidR="00000000" w:rsidRPr="000A2A46" w:rsidP="000A2A46">
      <w:pPr>
        <w:pStyle w:val="NoPaddingFontSize1"/>
      </w:pPr>
    </w:p>
    <w:p w:rsidR="00000000" w:rsidRPr="000A2A46" w:rsidP="000A2A46">
      <w:pPr>
        <w:pStyle w:val="AllowPageBreak"/>
      </w:pPr>
    </w:p>
    <w:p w:rsidR="00000000" w:rsidRPr="000A2A46" w:rsidP="000A2A46">
      <w:pPr>
        <w:pStyle w:val="Heading1"/>
      </w:pPr>
      <w:bookmarkStart w:id="10" w:name="O_966144"/>
      <w:bookmarkEnd w:id="10"/>
      <w:r w:rsidRPr="000A2A46">
        <w:t>Links</w:t>
      </w:r>
    </w:p>
    <w:p w:rsidR="00000000" w:rsidRPr="000A2A46" w:rsidP="005E20AC">
      <w:pPr>
        <w:pStyle w:val="BodyText"/>
      </w:pPr>
      <w:r w:rsidRPr="000A2A4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41A65">
        <w:rPr>
          <w:rStyle w:val="Hyperlink"/>
        </w:rPr>
        <w:t>https://vetnet.gov.au/Pages/TrainingDocs.aspx?q=6a6c032e-ffcb-4f3d-8063-415efbd261e8</w:t>
      </w:r>
      <w:r>
        <w:fldChar w:fldCharType="end"/>
      </w:r>
    </w:p>
    <w:p w:rsidR="00000000" w:rsidRPr="000A2A46" w:rsidP="000A2A46"/>
    <w:sectPr w:rsidSect="000A2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46" w:rsidRPr="005E20AC" w:rsidP="005E2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AC" w:rsidP="000A2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20AC" w:rsidP="000A2A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20AC" w:rsidP="000A2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A46" w:rsidRPr="005E20AC" w:rsidP="005E20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AC" w:rsidRPr="002D2AF8" w:rsidP="000A2A46">
    <w:pPr>
      <w:pStyle w:val="Header"/>
      <w:framePr w:wrap="around"/>
    </w:pPr>
    <w:r>
      <w:fldChar w:fldCharType="begin"/>
    </w:r>
    <w:r>
      <w:instrText xml:space="preserve"> TITLE   \* MERGEFORMAT </w:instrText>
    </w:r>
    <w:r>
      <w:fldChar w:fldCharType="separate"/>
    </w:r>
    <w:r>
      <w:t>UEGNSG116 Manage gas industry physical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E20AC" w:rsidP="000A2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FC1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645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A46"/>
    <w:pPr>
      <w:spacing w:before="360" w:after="60"/>
      <w:outlineLvl w:val="0"/>
    </w:pPr>
    <w:rPr>
      <w:sz w:val="32"/>
    </w:rPr>
  </w:style>
  <w:style w:type="paragraph" w:styleId="Heading2">
    <w:name w:val="heading 2"/>
    <w:basedOn w:val="HeadingBase"/>
    <w:next w:val="BodyText"/>
    <w:link w:val="Heading2Char"/>
    <w:qFormat/>
    <w:rsid w:val="000A2A46"/>
    <w:pPr>
      <w:keepLines/>
      <w:spacing w:before="240" w:after="120"/>
      <w:outlineLvl w:val="1"/>
    </w:pPr>
    <w:rPr>
      <w:sz w:val="28"/>
      <w:szCs w:val="40"/>
    </w:rPr>
  </w:style>
  <w:style w:type="paragraph" w:styleId="Heading3">
    <w:name w:val="heading 3"/>
    <w:basedOn w:val="HeadingBase"/>
    <w:next w:val="BodyText"/>
    <w:link w:val="Heading3Char"/>
    <w:qFormat/>
    <w:rsid w:val="000A2A46"/>
    <w:pPr>
      <w:spacing w:before="180" w:after="120"/>
      <w:outlineLvl w:val="2"/>
    </w:pPr>
    <w:rPr>
      <w:spacing w:val="-10"/>
      <w:kern w:val="32"/>
    </w:rPr>
  </w:style>
  <w:style w:type="paragraph" w:styleId="Heading4">
    <w:name w:val="heading 4"/>
    <w:basedOn w:val="HeadingBase"/>
    <w:next w:val="BodyText"/>
    <w:link w:val="Heading4Char"/>
    <w:qFormat/>
    <w:rsid w:val="000A2A46"/>
    <w:pPr>
      <w:spacing w:before="160" w:after="120"/>
      <w:outlineLvl w:val="3"/>
    </w:pPr>
    <w:rPr>
      <w:sz w:val="22"/>
    </w:rPr>
  </w:style>
  <w:style w:type="paragraph" w:styleId="Heading5">
    <w:name w:val="heading 5"/>
    <w:basedOn w:val="HeadingBase"/>
    <w:next w:val="Normal"/>
    <w:link w:val="Heading5Char"/>
    <w:qFormat/>
    <w:rsid w:val="000A2A46"/>
    <w:pPr>
      <w:spacing w:before="80"/>
      <w:outlineLvl w:val="4"/>
    </w:pPr>
    <w:rPr>
      <w:color w:val="918585"/>
      <w:sz w:val="20"/>
    </w:rPr>
  </w:style>
  <w:style w:type="paragraph" w:styleId="Heading6">
    <w:name w:val="heading 6"/>
    <w:basedOn w:val="HeadingBase"/>
    <w:next w:val="Normal"/>
    <w:link w:val="Heading6Char"/>
    <w:qFormat/>
    <w:rsid w:val="000A2A46"/>
    <w:pPr>
      <w:spacing w:before="60"/>
      <w:outlineLvl w:val="5"/>
    </w:pPr>
    <w:rPr>
      <w:color w:val="918585"/>
      <w:sz w:val="20"/>
    </w:rPr>
  </w:style>
  <w:style w:type="paragraph" w:styleId="Heading7">
    <w:name w:val="heading 7"/>
    <w:basedOn w:val="Normal"/>
    <w:next w:val="Normal"/>
    <w:link w:val="Heading7Char"/>
    <w:qFormat/>
    <w:rsid w:val="000A2A46"/>
    <w:pPr>
      <w:ind w:left="720"/>
      <w:outlineLvl w:val="6"/>
    </w:pPr>
    <w:rPr>
      <w:i/>
    </w:rPr>
  </w:style>
  <w:style w:type="paragraph" w:styleId="Heading8">
    <w:name w:val="heading 8"/>
    <w:basedOn w:val="Normal"/>
    <w:next w:val="Normal"/>
    <w:link w:val="Heading8Char"/>
    <w:qFormat/>
    <w:rsid w:val="000A2A46"/>
    <w:pPr>
      <w:ind w:left="720"/>
      <w:outlineLvl w:val="7"/>
    </w:pPr>
    <w:rPr>
      <w:i/>
    </w:rPr>
  </w:style>
  <w:style w:type="paragraph" w:styleId="Heading9">
    <w:name w:val="heading 9"/>
    <w:basedOn w:val="Normal"/>
    <w:next w:val="Normal"/>
    <w:link w:val="Heading9Char"/>
    <w:qFormat/>
    <w:rsid w:val="000A2A46"/>
    <w:pPr>
      <w:ind w:left="720"/>
      <w:outlineLvl w:val="8"/>
    </w:pPr>
    <w:rPr>
      <w:i/>
    </w:rPr>
  </w:style>
  <w:style w:type="character" w:default="1" w:styleId="DefaultParagraphFont">
    <w:name w:val="Default Paragraph Font"/>
    <w:uiPriority w:val="1"/>
    <w:unhideWhenUsed/>
    <w:rsid w:val="000A2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A46"/>
  </w:style>
  <w:style w:type="character" w:customStyle="1" w:styleId="Heading1Char">
    <w:name w:val="Heading 1 Char"/>
    <w:basedOn w:val="DefaultParagraphFont"/>
    <w:link w:val="Heading1"/>
    <w:rsid w:val="000A2A46"/>
    <w:rPr>
      <w:rFonts w:ascii="Times New Roman" w:eastAsia="Times New Roman" w:hAnsi="Times New Roman" w:cs="Times New Roman"/>
      <w:b/>
      <w:sz w:val="32"/>
      <w:szCs w:val="20"/>
      <w:lang w:eastAsia="en-US"/>
    </w:rPr>
  </w:style>
  <w:style w:type="paragraph" w:styleId="BodyText">
    <w:name w:val="Body Text"/>
    <w:basedOn w:val="Normal"/>
    <w:link w:val="BodyTextChar"/>
    <w:rsid w:val="000A2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A46"/>
    <w:rPr>
      <w:rFonts w:ascii="Times New Roman" w:eastAsia="Times New Roman" w:hAnsi="Times New Roman" w:cs="Times New Roman"/>
      <w:sz w:val="24"/>
      <w:lang w:eastAsia="en-US"/>
    </w:rPr>
  </w:style>
  <w:style w:type="paragraph" w:styleId="ListBullet">
    <w:name w:val="List Bullet"/>
    <w:basedOn w:val="List"/>
    <w:rsid w:val="000A2A46"/>
    <w:pPr>
      <w:numPr>
        <w:numId w:val="11"/>
      </w:numPr>
      <w:tabs>
        <w:tab w:val="clear" w:pos="340"/>
      </w:tabs>
      <w:spacing w:before="40" w:after="40"/>
    </w:pPr>
  </w:style>
  <w:style w:type="character" w:customStyle="1" w:styleId="SpecialBold">
    <w:name w:val="Special Bold"/>
    <w:basedOn w:val="DefaultParagraphFont"/>
    <w:rsid w:val="000A2A46"/>
    <w:rPr>
      <w:b/>
      <w:spacing w:val="0"/>
    </w:rPr>
  </w:style>
  <w:style w:type="paragraph" w:customStyle="1" w:styleId="SuperHeading">
    <w:name w:val="SuperHeading"/>
    <w:basedOn w:val="Normal"/>
    <w:rsid w:val="000A2A46"/>
    <w:pPr>
      <w:spacing w:before="240" w:after="120"/>
      <w:outlineLvl w:val="0"/>
    </w:pPr>
    <w:rPr>
      <w:rFonts w:ascii="Times New Roman" w:hAnsi="Times New Roman"/>
      <w:b/>
      <w:sz w:val="32"/>
    </w:rPr>
  </w:style>
  <w:style w:type="paragraph" w:customStyle="1" w:styleId="AllowPageBreak">
    <w:name w:val="AllowPageBreak"/>
    <w:rsid w:val="000A2A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2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A46"/>
    <w:rPr>
      <w:rFonts w:ascii="Courier New" w:eastAsia="Times New Roman" w:hAnsi="Courier New" w:cs="Times New Roman"/>
      <w:i/>
      <w:szCs w:val="20"/>
      <w:lang w:eastAsia="en-US"/>
    </w:rPr>
  </w:style>
  <w:style w:type="paragraph" w:customStyle="1" w:styleId="HeadingBase">
    <w:name w:val="Heading Base"/>
    <w:rsid w:val="000A2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A46"/>
    <w:pPr>
      <w:tabs>
        <w:tab w:val="right" w:leader="dot" w:pos="9072"/>
      </w:tabs>
      <w:ind w:left="567"/>
    </w:pPr>
    <w:rPr>
      <w:szCs w:val="22"/>
    </w:rPr>
  </w:style>
  <w:style w:type="paragraph" w:customStyle="1" w:styleId="TOCBase">
    <w:name w:val="TOC Base"/>
    <w:rsid w:val="000A2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A46"/>
    <w:pPr>
      <w:tabs>
        <w:tab w:val="right" w:leader="dot" w:pos="9072"/>
      </w:tabs>
      <w:spacing w:before="40" w:after="40"/>
      <w:ind w:left="284"/>
    </w:pPr>
    <w:rPr>
      <w:rFonts w:ascii="Times New Roman" w:hAnsi="Times New Roman"/>
    </w:rPr>
  </w:style>
  <w:style w:type="paragraph" w:styleId="TOC1">
    <w:name w:val="toc 1"/>
    <w:basedOn w:val="TOCBase"/>
    <w:next w:val="Normal"/>
    <w:rsid w:val="000A2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A46"/>
    <w:rPr>
      <w:rFonts w:ascii="Times New Roman" w:eastAsia="Times New Roman" w:hAnsi="Times New Roman" w:cs="Times New Roman"/>
      <w:sz w:val="16"/>
      <w:lang w:eastAsia="en-US"/>
    </w:rPr>
  </w:style>
  <w:style w:type="paragraph" w:styleId="Title">
    <w:name w:val="Title"/>
    <w:basedOn w:val="HeadingBase"/>
    <w:link w:val="TitleChar"/>
    <w:qFormat/>
    <w:rsid w:val="000A2A46"/>
    <w:pPr>
      <w:spacing w:before="5040"/>
      <w:jc w:val="center"/>
    </w:pPr>
    <w:rPr>
      <w:sz w:val="48"/>
      <w:szCs w:val="72"/>
      <w:lang w:val="en-US"/>
    </w:rPr>
  </w:style>
  <w:style w:type="character" w:customStyle="1" w:styleId="TitleChar">
    <w:name w:val="Title Char"/>
    <w:basedOn w:val="DefaultParagraphFont"/>
    <w:link w:val="Title"/>
    <w:rsid w:val="000A2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A46"/>
    <w:pPr>
      <w:tabs>
        <w:tab w:val="left" w:pos="3600"/>
        <w:tab w:val="left" w:pos="3958"/>
      </w:tabs>
    </w:pPr>
  </w:style>
  <w:style w:type="paragraph" w:styleId="List">
    <w:name w:val="List"/>
    <w:basedOn w:val="BodyText"/>
    <w:next w:val="BodyText"/>
    <w:rsid w:val="000A2A46"/>
    <w:pPr>
      <w:tabs>
        <w:tab w:val="left" w:pos="340"/>
      </w:tabs>
      <w:spacing w:before="60" w:after="60"/>
      <w:ind w:left="340" w:hanging="340"/>
    </w:pPr>
  </w:style>
  <w:style w:type="paragraph" w:customStyle="1" w:styleId="Note">
    <w:name w:val="Note"/>
    <w:basedOn w:val="BodyText"/>
    <w:rsid w:val="000A2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A46"/>
    <w:pPr>
      <w:framePr w:wrap="auto" w:hAnchor="text" w:y="6049"/>
    </w:pPr>
    <w:rPr>
      <w:color w:val="000000"/>
      <w:sz w:val="40"/>
    </w:rPr>
  </w:style>
  <w:style w:type="paragraph" w:customStyle="1" w:styleId="TOCTitle">
    <w:name w:val="TOCTitle"/>
    <w:basedOn w:val="Heading1"/>
    <w:rsid w:val="000A2A46"/>
    <w:pPr>
      <w:spacing w:after="240"/>
      <w:jc w:val="center"/>
      <w:outlineLvl w:val="9"/>
    </w:pPr>
    <w:rPr>
      <w:caps/>
    </w:rPr>
  </w:style>
  <w:style w:type="paragraph" w:customStyle="1" w:styleId="Version">
    <w:name w:val="Version"/>
    <w:rsid w:val="000A2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A46"/>
    <w:pPr>
      <w:numPr>
        <w:numId w:val="12"/>
      </w:numPr>
      <w:tabs>
        <w:tab w:val="clear" w:pos="680"/>
      </w:tabs>
    </w:pPr>
  </w:style>
  <w:style w:type="paragraph" w:styleId="Index1">
    <w:name w:val="index 1"/>
    <w:basedOn w:val="Normal"/>
    <w:next w:val="Normal"/>
    <w:semiHidden/>
    <w:rsid w:val="000A2A46"/>
    <w:pPr>
      <w:keepNext w:val="0"/>
      <w:tabs>
        <w:tab w:val="right" w:pos="4176"/>
      </w:tabs>
      <w:ind w:left="198" w:hanging="198"/>
    </w:pPr>
    <w:rPr>
      <w:rFonts w:ascii="Garamond" w:hAnsi="Garamond"/>
    </w:rPr>
  </w:style>
  <w:style w:type="paragraph" w:styleId="IndexHeading">
    <w:name w:val="index heading"/>
    <w:basedOn w:val="Normal"/>
    <w:next w:val="Index1"/>
    <w:semiHidden/>
    <w:rsid w:val="000A2A46"/>
    <w:pPr>
      <w:spacing w:before="120" w:after="120"/>
    </w:pPr>
    <w:rPr>
      <w:rFonts w:ascii="Arial" w:hAnsi="Arial"/>
      <w:b/>
      <w:color w:val="918585"/>
      <w:sz w:val="24"/>
    </w:rPr>
  </w:style>
  <w:style w:type="paragraph" w:styleId="Header">
    <w:name w:val="header"/>
    <w:basedOn w:val="Normal"/>
    <w:link w:val="HeaderChar"/>
    <w:rsid w:val="000A2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A46"/>
    <w:rPr>
      <w:rFonts w:ascii="Times New Roman" w:eastAsia="Times New Roman" w:hAnsi="Times New Roman" w:cs="Times New Roman"/>
      <w:sz w:val="16"/>
      <w:szCs w:val="20"/>
      <w:lang w:val="en-GB" w:eastAsia="en-US"/>
    </w:rPr>
  </w:style>
  <w:style w:type="paragraph" w:customStyle="1" w:styleId="Chapter">
    <w:name w:val="Chapter"/>
    <w:basedOn w:val="Normal"/>
    <w:rsid w:val="000A2A46"/>
    <w:pPr>
      <w:spacing w:before="240"/>
    </w:pPr>
    <w:rPr>
      <w:rFonts w:ascii="Times New Roman" w:hAnsi="Times New Roman"/>
      <w:smallCaps/>
      <w:spacing w:val="80"/>
      <w:sz w:val="28"/>
    </w:rPr>
  </w:style>
  <w:style w:type="paragraph" w:customStyle="1" w:styleId="InChapter">
    <w:name w:val="InChapter"/>
    <w:basedOn w:val="Heading3"/>
    <w:rsid w:val="000A2A46"/>
    <w:pPr>
      <w:spacing w:after="240"/>
      <w:outlineLvl w:val="9"/>
    </w:pPr>
    <w:rPr>
      <w:noProof/>
    </w:rPr>
  </w:style>
  <w:style w:type="paragraph" w:styleId="Index2">
    <w:name w:val="index 2"/>
    <w:basedOn w:val="Normal"/>
    <w:next w:val="Normal"/>
    <w:semiHidden/>
    <w:rsid w:val="000A2A46"/>
    <w:pPr>
      <w:tabs>
        <w:tab w:val="right" w:pos="4176"/>
      </w:tabs>
      <w:ind w:left="568" w:hanging="284"/>
    </w:pPr>
    <w:rPr>
      <w:rFonts w:ascii="Garamond" w:hAnsi="Garamond"/>
    </w:rPr>
  </w:style>
  <w:style w:type="paragraph" w:customStyle="1" w:styleId="Byline">
    <w:name w:val="Byline"/>
    <w:rsid w:val="000A2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A46"/>
    <w:pPr>
      <w:tabs>
        <w:tab w:val="clear" w:pos="3600"/>
        <w:tab w:val="clear" w:pos="3958"/>
      </w:tabs>
      <w:jc w:val="right"/>
    </w:pPr>
  </w:style>
  <w:style w:type="character" w:styleId="Emphasis">
    <w:name w:val="Emphasis"/>
    <w:basedOn w:val="DefaultParagraphFont"/>
    <w:qFormat/>
    <w:rsid w:val="000A2A46"/>
    <w:rPr>
      <w:i/>
    </w:rPr>
  </w:style>
  <w:style w:type="paragraph" w:styleId="Caption">
    <w:name w:val="caption"/>
    <w:basedOn w:val="BodyText"/>
    <w:next w:val="Normal"/>
    <w:qFormat/>
    <w:rsid w:val="000A2A46"/>
    <w:pPr>
      <w:framePr w:w="2268" w:hSpace="181" w:vSpace="181" w:wrap="around" w:vAnchor="text" w:hAnchor="page" w:x="1135" w:y="285" w:anchorLock="1"/>
    </w:pPr>
    <w:rPr>
      <w:i/>
    </w:rPr>
  </w:style>
  <w:style w:type="paragraph" w:customStyle="1" w:styleId="MiniTOCTitle">
    <w:name w:val="MiniTOCTitle"/>
    <w:basedOn w:val="Heading4"/>
    <w:rsid w:val="000A2A46"/>
    <w:pPr>
      <w:spacing w:before="240"/>
      <w:outlineLvl w:val="9"/>
    </w:pPr>
    <w:rPr>
      <w:noProof/>
      <w:sz w:val="24"/>
    </w:rPr>
  </w:style>
  <w:style w:type="paragraph" w:customStyle="1" w:styleId="MiniTOCItem">
    <w:name w:val="MiniTOCItem"/>
    <w:basedOn w:val="ListBullet"/>
    <w:rsid w:val="000A2A46"/>
    <w:pPr>
      <w:numPr>
        <w:numId w:val="0"/>
      </w:numPr>
      <w:tabs>
        <w:tab w:val="right" w:leader="dot" w:pos="6521"/>
      </w:tabs>
      <w:spacing w:before="0" w:after="0"/>
    </w:pPr>
  </w:style>
  <w:style w:type="paragraph" w:customStyle="1" w:styleId="TOFTitle">
    <w:name w:val="TOFTitle"/>
    <w:basedOn w:val="TOCTitle"/>
    <w:rsid w:val="000A2A46"/>
  </w:style>
  <w:style w:type="paragraph" w:styleId="TableofFigures">
    <w:name w:val="table of figures"/>
    <w:basedOn w:val="Normal"/>
    <w:next w:val="Normal"/>
    <w:semiHidden/>
    <w:rsid w:val="000A2A46"/>
    <w:pPr>
      <w:tabs>
        <w:tab w:val="right" w:leader="dot" w:pos="9072"/>
      </w:tabs>
      <w:ind w:left="970" w:hanging="403"/>
    </w:pPr>
    <w:rPr>
      <w:rFonts w:ascii="Times New Roman" w:hAnsi="Times New Roman"/>
      <w:b/>
    </w:rPr>
  </w:style>
  <w:style w:type="paragraph" w:styleId="ListNumber">
    <w:name w:val="List Number"/>
    <w:basedOn w:val="List"/>
    <w:rsid w:val="000A2A46"/>
    <w:pPr>
      <w:numPr>
        <w:numId w:val="14"/>
      </w:numPr>
      <w:tabs>
        <w:tab w:val="clear" w:pos="340"/>
      </w:tabs>
    </w:pPr>
  </w:style>
  <w:style w:type="character" w:customStyle="1" w:styleId="WingdingSymbols">
    <w:name w:val="Wingding Symbols"/>
    <w:rsid w:val="000A2A46"/>
    <w:rPr>
      <w:rFonts w:ascii="Wingdings" w:hAnsi="Wingdings"/>
    </w:rPr>
  </w:style>
  <w:style w:type="paragraph" w:customStyle="1" w:styleId="TableHeading">
    <w:name w:val="Table Heading"/>
    <w:basedOn w:val="HeadingBase"/>
    <w:rsid w:val="000A2A46"/>
    <w:pPr>
      <w:keepLines/>
      <w:pBdr>
        <w:bottom w:val="single" w:sz="6" w:space="1" w:color="918585"/>
      </w:pBdr>
      <w:spacing w:before="240"/>
    </w:pPr>
  </w:style>
  <w:style w:type="character" w:customStyle="1" w:styleId="HotSpot">
    <w:name w:val="HotSpot"/>
    <w:rsid w:val="000A2A46"/>
    <w:rPr>
      <w:color w:val="0033CC"/>
      <w:u w:val="none"/>
    </w:rPr>
  </w:style>
  <w:style w:type="paragraph" w:customStyle="1" w:styleId="BodyTextRight">
    <w:name w:val="Body Text Right"/>
    <w:basedOn w:val="BodyText"/>
    <w:rsid w:val="000A2A46"/>
    <w:pPr>
      <w:spacing w:before="0" w:after="0"/>
      <w:jc w:val="right"/>
    </w:pPr>
  </w:style>
  <w:style w:type="paragraph" w:styleId="Index3">
    <w:name w:val="index 3"/>
    <w:basedOn w:val="ListNumber2"/>
    <w:next w:val="Normal"/>
    <w:semiHidden/>
    <w:rsid w:val="000A2A46"/>
    <w:pPr>
      <w:numPr>
        <w:numId w:val="0"/>
      </w:numPr>
      <w:tabs>
        <w:tab w:val="right" w:leader="dot" w:pos="4176"/>
      </w:tabs>
    </w:pPr>
  </w:style>
  <w:style w:type="paragraph" w:styleId="ListNumber2">
    <w:name w:val="List Number 2"/>
    <w:basedOn w:val="List2"/>
    <w:rsid w:val="000A2A46"/>
    <w:pPr>
      <w:numPr>
        <w:numId w:val="9"/>
      </w:numPr>
      <w:tabs>
        <w:tab w:val="clear" w:pos="1060"/>
      </w:tabs>
    </w:pPr>
  </w:style>
  <w:style w:type="paragraph" w:customStyle="1" w:styleId="MarginNote">
    <w:name w:val="Margin Note"/>
    <w:basedOn w:val="BodyText"/>
    <w:rsid w:val="000A2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A46"/>
    <w:rPr>
      <w:sz w:val="32"/>
    </w:rPr>
  </w:style>
  <w:style w:type="paragraph" w:customStyle="1" w:styleId="HeadingProcedure">
    <w:name w:val="Heading Procedure"/>
    <w:basedOn w:val="HeadingBase"/>
    <w:next w:val="Normal"/>
    <w:rsid w:val="000A2A46"/>
    <w:pPr>
      <w:tabs>
        <w:tab w:val="left" w:pos="0"/>
      </w:tabs>
      <w:spacing w:before="120" w:after="60"/>
    </w:pPr>
    <w:rPr>
      <w:i/>
      <w:color w:val="918585"/>
      <w:sz w:val="22"/>
    </w:rPr>
  </w:style>
  <w:style w:type="paragraph" w:customStyle="1" w:styleId="TableBodyText">
    <w:name w:val="Table Body Text"/>
    <w:basedOn w:val="BodyText"/>
    <w:rsid w:val="000A2A46"/>
    <w:pPr>
      <w:spacing w:before="60" w:after="60"/>
    </w:pPr>
  </w:style>
  <w:style w:type="paragraph" w:styleId="ListContinue">
    <w:name w:val="List Continue"/>
    <w:basedOn w:val="List"/>
    <w:rsid w:val="000A2A46"/>
    <w:pPr>
      <w:ind w:firstLine="0"/>
    </w:pPr>
  </w:style>
  <w:style w:type="paragraph" w:customStyle="1" w:styleId="ListNote">
    <w:name w:val="List Note"/>
    <w:basedOn w:val="List"/>
    <w:rsid w:val="000A2A46"/>
    <w:pPr>
      <w:pBdr>
        <w:top w:val="single" w:sz="6" w:space="2" w:color="918585"/>
        <w:bottom w:val="single" w:sz="6" w:space="2" w:color="918585"/>
      </w:pBdr>
      <w:tabs>
        <w:tab w:val="left" w:pos="1021"/>
      </w:tabs>
      <w:ind w:firstLine="0"/>
    </w:pPr>
  </w:style>
  <w:style w:type="paragraph" w:customStyle="1" w:styleId="Warning">
    <w:name w:val="Warning"/>
    <w:basedOn w:val="BodyText"/>
    <w:rsid w:val="000A2A46"/>
    <w:pPr>
      <w:shd w:val="clear" w:color="auto" w:fill="D9D9D9"/>
      <w:tabs>
        <w:tab w:val="left" w:pos="992"/>
      </w:tabs>
      <w:ind w:left="119" w:right="119"/>
    </w:pPr>
    <w:rPr>
      <w:sz w:val="20"/>
    </w:rPr>
  </w:style>
  <w:style w:type="paragraph" w:customStyle="1" w:styleId="MarginIcons">
    <w:name w:val="Margin Icons"/>
    <w:basedOn w:val="BodyText"/>
    <w:rsid w:val="000A2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A46"/>
    <w:rPr>
      <w:rFonts w:ascii="Courier New" w:hAnsi="Courier New"/>
    </w:rPr>
  </w:style>
  <w:style w:type="paragraph" w:customStyle="1" w:styleId="NoteBullet">
    <w:name w:val="Note Bullet"/>
    <w:basedOn w:val="Note"/>
    <w:rsid w:val="000A2A46"/>
    <w:pPr>
      <w:tabs>
        <w:tab w:val="clear" w:pos="680"/>
      </w:tabs>
      <w:spacing w:before="60" w:after="60"/>
    </w:pPr>
  </w:style>
  <w:style w:type="paragraph" w:customStyle="1" w:styleId="SubHeading2">
    <w:name w:val="SubHeading2"/>
    <w:basedOn w:val="HeadingBase"/>
    <w:rsid w:val="000A2A46"/>
    <w:pPr>
      <w:spacing w:before="240" w:after="60"/>
    </w:pPr>
    <w:rPr>
      <w:sz w:val="20"/>
    </w:rPr>
  </w:style>
  <w:style w:type="paragraph" w:customStyle="1" w:styleId="SubHeading1">
    <w:name w:val="SubHeading1"/>
    <w:basedOn w:val="HeadingBase"/>
    <w:rsid w:val="000A2A46"/>
    <w:pPr>
      <w:spacing w:before="240" w:after="60"/>
    </w:pPr>
    <w:rPr>
      <w:color w:val="918585"/>
      <w:sz w:val="22"/>
    </w:rPr>
  </w:style>
  <w:style w:type="paragraph" w:customStyle="1" w:styleId="SideHeading">
    <w:name w:val="Side Heading"/>
    <w:basedOn w:val="HeadingBase"/>
    <w:rsid w:val="000A2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A46"/>
    <w:pPr>
      <w:numPr>
        <w:numId w:val="10"/>
      </w:numPr>
    </w:pPr>
  </w:style>
  <w:style w:type="paragraph" w:styleId="PlainText">
    <w:name w:val="Plain Text"/>
    <w:basedOn w:val="Normal"/>
    <w:link w:val="PlainTextChar"/>
    <w:rsid w:val="000A2A46"/>
    <w:rPr>
      <w:sz w:val="20"/>
    </w:rPr>
  </w:style>
  <w:style w:type="character" w:customStyle="1" w:styleId="PlainTextChar">
    <w:name w:val="Plain Text Char"/>
    <w:basedOn w:val="DefaultParagraphFont"/>
    <w:link w:val="PlainText"/>
    <w:rsid w:val="000A2A46"/>
    <w:rPr>
      <w:rFonts w:ascii="Courier New" w:eastAsia="Times New Roman" w:hAnsi="Courier New" w:cs="Times New Roman"/>
      <w:sz w:val="20"/>
      <w:szCs w:val="20"/>
      <w:lang w:eastAsia="en-US"/>
    </w:rPr>
  </w:style>
  <w:style w:type="character" w:customStyle="1" w:styleId="MenuOption">
    <w:name w:val="Menu Option"/>
    <w:basedOn w:val="DefaultParagraphFont"/>
    <w:rsid w:val="000A2A46"/>
    <w:rPr>
      <w:b/>
      <w:smallCaps/>
    </w:rPr>
  </w:style>
  <w:style w:type="paragraph" w:customStyle="1" w:styleId="TableListNumber">
    <w:name w:val="Table List Number"/>
    <w:basedOn w:val="ListNumber"/>
    <w:rsid w:val="000A2A46"/>
    <w:pPr>
      <w:numPr>
        <w:numId w:val="0"/>
      </w:numPr>
    </w:pPr>
  </w:style>
  <w:style w:type="paragraph" w:styleId="TOC4">
    <w:name w:val="toc 4"/>
    <w:basedOn w:val="TOCBase"/>
    <w:next w:val="Normal"/>
    <w:semiHidden/>
    <w:rsid w:val="000A2A46"/>
    <w:pPr>
      <w:tabs>
        <w:tab w:val="right" w:leader="dot" w:pos="9071"/>
      </w:tabs>
      <w:ind w:left="1701"/>
    </w:pPr>
  </w:style>
  <w:style w:type="paragraph" w:customStyle="1" w:styleId="ListAlpha">
    <w:name w:val="List Alpha"/>
    <w:basedOn w:val="List"/>
    <w:rsid w:val="000A2A46"/>
    <w:pPr>
      <w:numPr>
        <w:numId w:val="8"/>
      </w:numPr>
    </w:pPr>
  </w:style>
  <w:style w:type="paragraph" w:customStyle="1" w:styleId="ListAlpha2">
    <w:name w:val="List Alpha 2"/>
    <w:basedOn w:val="List2"/>
    <w:rsid w:val="000A2A46"/>
    <w:pPr>
      <w:numPr>
        <w:numId w:val="7"/>
      </w:numPr>
    </w:pPr>
  </w:style>
  <w:style w:type="paragraph" w:styleId="List2">
    <w:name w:val="List 2"/>
    <w:basedOn w:val="BodyText"/>
    <w:rsid w:val="000A2A46"/>
    <w:pPr>
      <w:tabs>
        <w:tab w:val="left" w:pos="680"/>
      </w:tabs>
      <w:spacing w:before="60" w:after="60"/>
      <w:ind w:left="680" w:hanging="340"/>
    </w:pPr>
  </w:style>
  <w:style w:type="paragraph" w:styleId="List3">
    <w:name w:val="List 3"/>
    <w:basedOn w:val="BodyText"/>
    <w:rsid w:val="000A2A46"/>
    <w:pPr>
      <w:tabs>
        <w:tab w:val="left" w:pos="1021"/>
      </w:tabs>
      <w:spacing w:before="60" w:after="60"/>
      <w:ind w:left="1020" w:hanging="340"/>
    </w:pPr>
  </w:style>
  <w:style w:type="paragraph" w:styleId="List4">
    <w:name w:val="List 4"/>
    <w:basedOn w:val="BodyText"/>
    <w:rsid w:val="000A2A46"/>
    <w:pPr>
      <w:tabs>
        <w:tab w:val="left" w:pos="1361"/>
      </w:tabs>
      <w:spacing w:before="60" w:after="60"/>
      <w:ind w:left="1361" w:hanging="340"/>
    </w:pPr>
  </w:style>
  <w:style w:type="paragraph" w:styleId="List5">
    <w:name w:val="List 5"/>
    <w:basedOn w:val="BodyText"/>
    <w:rsid w:val="000A2A46"/>
    <w:pPr>
      <w:tabs>
        <w:tab w:val="left" w:pos="1701"/>
      </w:tabs>
      <w:spacing w:before="60" w:after="60"/>
      <w:ind w:left="1701" w:hanging="340"/>
    </w:pPr>
  </w:style>
  <w:style w:type="paragraph" w:styleId="ListBullet3">
    <w:name w:val="List Bullet 3"/>
    <w:basedOn w:val="List3"/>
    <w:rsid w:val="000A2A46"/>
    <w:pPr>
      <w:numPr>
        <w:numId w:val="13"/>
      </w:numPr>
      <w:tabs>
        <w:tab w:val="clear" w:pos="1021"/>
      </w:tabs>
      <w:ind w:left="1037" w:hanging="357"/>
    </w:pPr>
  </w:style>
  <w:style w:type="paragraph" w:styleId="ListBullet4">
    <w:name w:val="List Bullet 4"/>
    <w:basedOn w:val="List4"/>
    <w:rsid w:val="000A2A46"/>
    <w:pPr>
      <w:numPr>
        <w:numId w:val="2"/>
      </w:numPr>
      <w:tabs>
        <w:tab w:val="clear" w:pos="1361"/>
      </w:tabs>
    </w:pPr>
  </w:style>
  <w:style w:type="paragraph" w:styleId="ListBullet5">
    <w:name w:val="List Bullet 5"/>
    <w:basedOn w:val="List5"/>
    <w:rsid w:val="000A2A46"/>
    <w:pPr>
      <w:numPr>
        <w:numId w:val="3"/>
      </w:numPr>
    </w:pPr>
  </w:style>
  <w:style w:type="paragraph" w:styleId="ListContinue2">
    <w:name w:val="List Continue 2"/>
    <w:basedOn w:val="List2"/>
    <w:rsid w:val="000A2A46"/>
    <w:pPr>
      <w:ind w:firstLine="0"/>
    </w:pPr>
  </w:style>
  <w:style w:type="paragraph" w:styleId="ListContinue3">
    <w:name w:val="List Continue 3"/>
    <w:basedOn w:val="List3"/>
    <w:rsid w:val="000A2A46"/>
    <w:pPr>
      <w:ind w:left="1021" w:firstLine="0"/>
    </w:pPr>
  </w:style>
  <w:style w:type="paragraph" w:styleId="ListContinue4">
    <w:name w:val="List Continue 4"/>
    <w:basedOn w:val="List4"/>
    <w:rsid w:val="000A2A46"/>
    <w:pPr>
      <w:ind w:firstLine="0"/>
    </w:pPr>
  </w:style>
  <w:style w:type="paragraph" w:styleId="ListContinue5">
    <w:name w:val="List Continue 5"/>
    <w:basedOn w:val="List5"/>
    <w:rsid w:val="000A2A46"/>
    <w:pPr>
      <w:ind w:firstLine="0"/>
    </w:pPr>
  </w:style>
  <w:style w:type="paragraph" w:styleId="ListNumber3">
    <w:name w:val="List Number 3"/>
    <w:basedOn w:val="List3"/>
    <w:rsid w:val="000A2A46"/>
    <w:pPr>
      <w:numPr>
        <w:numId w:val="4"/>
      </w:numPr>
    </w:pPr>
  </w:style>
  <w:style w:type="paragraph" w:styleId="ListNumber4">
    <w:name w:val="List Number 4"/>
    <w:basedOn w:val="List4"/>
    <w:rsid w:val="000A2A46"/>
    <w:pPr>
      <w:numPr>
        <w:numId w:val="5"/>
      </w:numPr>
    </w:pPr>
  </w:style>
  <w:style w:type="paragraph" w:styleId="ListNumber5">
    <w:name w:val="List Number 5"/>
    <w:basedOn w:val="List5"/>
    <w:rsid w:val="000A2A46"/>
    <w:pPr>
      <w:numPr>
        <w:numId w:val="6"/>
      </w:numPr>
    </w:pPr>
  </w:style>
  <w:style w:type="paragraph" w:styleId="BlockText">
    <w:name w:val="Block Text"/>
    <w:basedOn w:val="Normal"/>
    <w:rsid w:val="000A2A46"/>
    <w:pPr>
      <w:spacing w:after="120"/>
      <w:ind w:left="1440" w:right="1440"/>
    </w:pPr>
  </w:style>
  <w:style w:type="character" w:customStyle="1" w:styleId="Subscript">
    <w:name w:val="Subscript"/>
    <w:basedOn w:val="DefaultParagraphFont"/>
    <w:rsid w:val="000A2A46"/>
    <w:rPr>
      <w:sz w:val="16"/>
      <w:vertAlign w:val="subscript"/>
    </w:rPr>
  </w:style>
  <w:style w:type="character" w:customStyle="1" w:styleId="Superscript">
    <w:name w:val="Superscript"/>
    <w:basedOn w:val="DefaultParagraphFont"/>
    <w:rsid w:val="000A2A46"/>
    <w:rPr>
      <w:sz w:val="16"/>
      <w:vertAlign w:val="superscript"/>
    </w:rPr>
  </w:style>
  <w:style w:type="character" w:customStyle="1" w:styleId="Symbols">
    <w:name w:val="Symbols"/>
    <w:basedOn w:val="DefaultParagraphFont"/>
    <w:rsid w:val="000A2A46"/>
    <w:rPr>
      <w:rFonts w:ascii="Symbol" w:hAnsi="Symbol"/>
    </w:rPr>
  </w:style>
  <w:style w:type="character" w:customStyle="1" w:styleId="MenuOptions">
    <w:name w:val="Menu Options"/>
    <w:basedOn w:val="DefaultParagraphFont"/>
    <w:rsid w:val="000A2A46"/>
    <w:rPr>
      <w:rFonts w:ascii="Arial Narrow" w:hAnsi="Arial Narrow"/>
      <w:smallCaps/>
    </w:rPr>
  </w:style>
  <w:style w:type="character" w:customStyle="1" w:styleId="Buttons">
    <w:name w:val="Buttons"/>
    <w:basedOn w:val="DefaultParagraphFont"/>
    <w:rsid w:val="000A2A46"/>
    <w:rPr>
      <w:b/>
    </w:rPr>
  </w:style>
  <w:style w:type="character" w:customStyle="1" w:styleId="Underlined">
    <w:name w:val="Underlined"/>
    <w:basedOn w:val="DefaultParagraphFont"/>
    <w:rsid w:val="000A2A46"/>
    <w:rPr>
      <w:u w:val="single"/>
    </w:rPr>
  </w:style>
  <w:style w:type="paragraph" w:customStyle="1" w:styleId="TableBodyTextRight">
    <w:name w:val="Table Body Text Right"/>
    <w:basedOn w:val="TableBodyText"/>
    <w:rsid w:val="000A2A46"/>
    <w:pPr>
      <w:widowControl w:val="0"/>
      <w:autoSpaceDE w:val="0"/>
      <w:autoSpaceDN w:val="0"/>
      <w:adjustRightInd w:val="0"/>
      <w:jc w:val="right"/>
    </w:pPr>
    <w:rPr>
      <w:rFonts w:cs="Arial"/>
      <w:szCs w:val="18"/>
    </w:rPr>
  </w:style>
  <w:style w:type="paragraph" w:customStyle="1" w:styleId="CopyrightText">
    <w:name w:val="Copyright Text"/>
    <w:basedOn w:val="BodyText"/>
    <w:rsid w:val="000A2A46"/>
    <w:rPr>
      <w:sz w:val="18"/>
    </w:rPr>
  </w:style>
  <w:style w:type="paragraph" w:customStyle="1" w:styleId="BodySmallRight">
    <w:name w:val="Body Small Right"/>
    <w:basedOn w:val="BodyTextRight"/>
    <w:rsid w:val="000A2A46"/>
    <w:rPr>
      <w:sz w:val="18"/>
      <w:szCs w:val="18"/>
    </w:rPr>
  </w:style>
  <w:style w:type="paragraph" w:customStyle="1" w:styleId="MarginEdition">
    <w:name w:val="Margin Edition"/>
    <w:basedOn w:val="MarginNote"/>
    <w:rsid w:val="000A2A46"/>
    <w:pPr>
      <w:spacing w:before="0" w:after="0"/>
    </w:pPr>
    <w:rPr>
      <w:rFonts w:ascii="Times New Roman" w:hAnsi="Times New Roman"/>
      <w:color w:val="999999"/>
    </w:rPr>
  </w:style>
  <w:style w:type="paragraph" w:customStyle="1" w:styleId="Spacer">
    <w:name w:val="Spacer"/>
    <w:basedOn w:val="Normal"/>
    <w:rsid w:val="000A2A46"/>
    <w:rPr>
      <w:sz w:val="2"/>
      <w:szCs w:val="2"/>
    </w:rPr>
  </w:style>
  <w:style w:type="character" w:customStyle="1" w:styleId="Small">
    <w:name w:val="Small"/>
    <w:basedOn w:val="DefaultParagraphFont"/>
    <w:rsid w:val="000A2A46"/>
    <w:rPr>
      <w:sz w:val="16"/>
    </w:rPr>
  </w:style>
  <w:style w:type="paragraph" w:customStyle="1" w:styleId="WideTable">
    <w:name w:val="Wide Table"/>
    <w:basedOn w:val="Normal"/>
    <w:rsid w:val="000A2A46"/>
    <w:pPr>
      <w:ind w:left="-1418"/>
    </w:pPr>
    <w:rPr>
      <w:sz w:val="2"/>
      <w:szCs w:val="2"/>
    </w:rPr>
  </w:style>
  <w:style w:type="character" w:styleId="PageNumber">
    <w:name w:val="page number"/>
    <w:basedOn w:val="DefaultParagraphFont"/>
    <w:rsid w:val="000A2A46"/>
  </w:style>
  <w:style w:type="paragraph" w:styleId="Quote">
    <w:name w:val="Quote"/>
    <w:basedOn w:val="Heading1"/>
    <w:link w:val="QuoteChar"/>
    <w:qFormat/>
    <w:rsid w:val="000A2A46"/>
    <w:rPr>
      <w:b w:val="0"/>
      <w:sz w:val="72"/>
      <w:szCs w:val="72"/>
      <w:lang w:val="en-NZ"/>
    </w:rPr>
  </w:style>
  <w:style w:type="character" w:customStyle="1" w:styleId="QuoteChar">
    <w:name w:val="Quote Char"/>
    <w:basedOn w:val="DefaultParagraphFont"/>
    <w:link w:val="Quote"/>
    <w:rsid w:val="000A2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A46"/>
    <w:pPr>
      <w:pageBreakBefore/>
    </w:pPr>
  </w:style>
  <w:style w:type="paragraph" w:customStyle="1" w:styleId="Border">
    <w:name w:val="Border"/>
    <w:basedOn w:val="Normal"/>
    <w:qFormat/>
    <w:rsid w:val="000A2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A46"/>
    <w:rPr>
      <w:b/>
      <w:bCs/>
      <w:i/>
      <w:iCs/>
      <w:color w:val="auto"/>
    </w:rPr>
  </w:style>
  <w:style w:type="paragraph" w:styleId="IntenseQuote">
    <w:name w:val="Intense Quote"/>
    <w:basedOn w:val="Normal"/>
    <w:next w:val="Normal"/>
    <w:link w:val="IntenseQuoteChar"/>
    <w:uiPriority w:val="30"/>
    <w:qFormat/>
    <w:rsid w:val="000A2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A46"/>
    <w:rPr>
      <w:smallCaps/>
      <w:color w:val="auto"/>
      <w:u w:val="single"/>
    </w:rPr>
  </w:style>
  <w:style w:type="character" w:styleId="IntenseReference">
    <w:name w:val="Intense Reference"/>
    <w:basedOn w:val="DefaultParagraphFont"/>
    <w:uiPriority w:val="32"/>
    <w:qFormat/>
    <w:rsid w:val="000A2A46"/>
    <w:rPr>
      <w:b/>
      <w:bCs/>
      <w:smallCaps/>
      <w:color w:val="auto"/>
      <w:spacing w:val="5"/>
      <w:u w:val="single"/>
    </w:rPr>
  </w:style>
  <w:style w:type="paragraph" w:customStyle="1" w:styleId="2ColumnHeading">
    <w:name w:val="2Column Heading"/>
    <w:basedOn w:val="BodyText"/>
    <w:qFormat/>
    <w:rsid w:val="000A2A46"/>
    <w:pPr>
      <w:spacing w:after="60"/>
      <w:ind w:left="-2268"/>
    </w:pPr>
    <w:rPr>
      <w:b/>
    </w:rPr>
  </w:style>
  <w:style w:type="paragraph" w:customStyle="1" w:styleId="Heading1TOC">
    <w:name w:val="Heading1 TOC"/>
    <w:basedOn w:val="Normal"/>
    <w:qFormat/>
    <w:rsid w:val="000A2A46"/>
    <w:pPr>
      <w:spacing w:before="240" w:after="120"/>
    </w:pPr>
    <w:rPr>
      <w:rFonts w:ascii="Times New Roman" w:hAnsi="Times New Roman"/>
      <w:b/>
      <w:sz w:val="32"/>
    </w:rPr>
  </w:style>
  <w:style w:type="paragraph" w:customStyle="1" w:styleId="Heading2TOC">
    <w:name w:val="Heading2 TOC"/>
    <w:basedOn w:val="Normal"/>
    <w:qFormat/>
    <w:rsid w:val="000A2A46"/>
    <w:pPr>
      <w:spacing w:before="240" w:after="60"/>
    </w:pPr>
    <w:rPr>
      <w:rFonts w:ascii="Times New Roman" w:hAnsi="Times New Roman"/>
      <w:b/>
      <w:sz w:val="28"/>
    </w:rPr>
  </w:style>
  <w:style w:type="character" w:customStyle="1" w:styleId="Underline">
    <w:name w:val="Underline"/>
    <w:basedOn w:val="DefaultParagraphFont"/>
    <w:qFormat/>
    <w:rsid w:val="000A2A46"/>
    <w:rPr>
      <w:u w:val="single"/>
    </w:rPr>
  </w:style>
  <w:style w:type="character" w:customStyle="1" w:styleId="BoldandItalics">
    <w:name w:val="Bold and Italics"/>
    <w:qFormat/>
    <w:rsid w:val="000A2A46"/>
    <w:rPr>
      <w:b/>
      <w:i/>
      <w:u w:val="none"/>
    </w:rPr>
  </w:style>
  <w:style w:type="paragraph" w:styleId="BalloonText">
    <w:name w:val="Balloon Text"/>
    <w:basedOn w:val="Normal"/>
    <w:link w:val="BalloonTextChar"/>
    <w:rsid w:val="000A2A46"/>
    <w:rPr>
      <w:rFonts w:ascii="Tahoma" w:hAnsi="Tahoma" w:cs="Tahoma"/>
      <w:sz w:val="16"/>
      <w:szCs w:val="16"/>
    </w:rPr>
  </w:style>
  <w:style w:type="character" w:customStyle="1" w:styleId="BalloonTextChar">
    <w:name w:val="Balloon Text Char"/>
    <w:basedOn w:val="DefaultParagraphFont"/>
    <w:link w:val="BalloonText"/>
    <w:rsid w:val="000A2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A46"/>
    <w:rPr>
      <w:b/>
      <w:color w:val="660033"/>
      <w:spacing w:val="0"/>
    </w:rPr>
  </w:style>
  <w:style w:type="paragraph" w:customStyle="1" w:styleId="Nameditemlist">
    <w:name w:val="Named item list"/>
    <w:basedOn w:val="BodyText"/>
    <w:qFormat/>
    <w:rsid w:val="000A2A46"/>
    <w:pPr>
      <w:tabs>
        <w:tab w:val="left" w:pos="2835"/>
      </w:tabs>
      <w:ind w:left="2835" w:hanging="2835"/>
    </w:pPr>
  </w:style>
  <w:style w:type="paragraph" w:customStyle="1" w:styleId="BodyTextnopadding">
    <w:name w:val="Body Text no padding"/>
    <w:basedOn w:val="BodyText"/>
    <w:qFormat/>
    <w:rsid w:val="000A2A46"/>
    <w:pPr>
      <w:spacing w:before="0" w:after="0"/>
    </w:pPr>
  </w:style>
  <w:style w:type="paragraph" w:customStyle="1" w:styleId="BodyTextBold">
    <w:name w:val="Body Text Bold"/>
    <w:basedOn w:val="BodyText"/>
    <w:qFormat/>
    <w:rsid w:val="000A2A46"/>
    <w:rPr>
      <w:b/>
    </w:rPr>
  </w:style>
  <w:style w:type="character" w:styleId="Hyperlink">
    <w:name w:val="Hyperlink"/>
    <w:basedOn w:val="DefaultParagraphFont"/>
    <w:uiPriority w:val="99"/>
    <w:unhideWhenUsed/>
    <w:rsid w:val="005E20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6358</Characters>
  <Application>Microsoft Office Word</Application>
  <DocSecurity>0</DocSecurity>
  <Lines>289</Lines>
  <Paragraphs>166</Paragraphs>
  <ScaleCrop>false</ScaleCrop>
  <Company>Author-it Software Corporation Ltd.</Company>
  <LinksUpToDate>false</LinksUpToDate>
  <CharactersWithSpaces>7150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UEGNSG116 Manage gas industry physical resources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2021-01-25T05:57:00Z</dcterms:created>
  <dcterms:modified xsi:type="dcterms:W3CDTF">2021-01-25T05:57:00Z</dcterms:modified>
</cp:coreProperties>
</file>