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974" w:rsidP="00200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UEGNSG102 Prepare safe design specifications of a gas system</w:t>
      </w:r>
      <w:r>
        <w:fldChar w:fldCharType="end"/>
      </w:r>
    </w:p>
    <w:p w:rsidR="00200974" w:rsidP="00200974">
      <w:pPr>
        <w:pStyle w:val="Version"/>
        <w:sectPr w:rsidSect="00570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D0E" w:rsidP="00570D0E">
      <w:pPr>
        <w:pStyle w:val="SuperHeading"/>
      </w:pPr>
      <w:r w:rsidRPr="00570D0E">
        <w:t>UEGNSG102 Prepare safe design specifications of a gas system</w:t>
      </w:r>
    </w:p>
    <w:p w:rsidR="00000000" w:rsidRPr="00570D0E" w:rsidP="00570D0E">
      <w:pPr>
        <w:pStyle w:val="Heading1"/>
      </w:pPr>
      <w:bookmarkStart w:id="1" w:name="O_1188016"/>
      <w:bookmarkEnd w:id="1"/>
      <w:r w:rsidRPr="00570D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Release 1. This is the first release of this unit of competency in the UEG Gas Industry Training Package.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2" w:name="O_1188017"/>
      <w:bookmarkEnd w:id="2"/>
      <w:r w:rsidRPr="00570D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This unit involves the skills and knowledge required to prepare safe design sp</w:t>
            </w:r>
            <w:r w:rsidRPr="00570D0E">
              <w:t>ecifications of a gas system.</w:t>
            </w:r>
          </w:p>
          <w:p w:rsidR="00000000" w:rsidRPr="00570D0E" w:rsidP="00570D0E">
            <w:pPr>
              <w:pStyle w:val="BodyText"/>
            </w:pPr>
            <w:r w:rsidRPr="00570D0E">
              <w:t xml:space="preserve">It includes identifying safe system/installation design specifications, preparing gas system input and output performance criteria, and assessing environment impact of a gas system. It also includes identifying and evaluating </w:t>
            </w:r>
            <w:r w:rsidRPr="00570D0E">
              <w:t>gas system options and preparing system specifications for fuel gases.</w:t>
            </w:r>
          </w:p>
          <w:p w:rsidR="00000000" w:rsidRPr="00570D0E" w:rsidP="00570D0E">
            <w:pPr>
              <w:pStyle w:val="BodyText"/>
            </w:pPr>
            <w:r w:rsidRPr="00570D0E">
              <w:t>This unit applies to safe work site where gas industry operations occur. It could also apply to other workplaces in the electricity supply industry (transmission and distribution and ge</w:t>
            </w:r>
            <w:r w:rsidRPr="00570D0E">
              <w:t>neration), the electrotechnology industry and the water industry, subject to work health and safety (WHS)/occupational health and safety (OHS) and duty of care requirements being met for the workplace.</w:t>
            </w:r>
          </w:p>
          <w:p w:rsidR="00000000" w:rsidRPr="00570D0E" w:rsidP="00570D0E">
            <w:pPr>
              <w:pStyle w:val="BodyText"/>
            </w:pPr>
            <w:r w:rsidRPr="00570D0E">
              <w:t xml:space="preserve">The application of the skills and knowledge described </w:t>
            </w:r>
            <w:r w:rsidRPr="00570D0E">
              <w:t xml:space="preserve">in this unit may require a licence/registration to practise in the workplace. </w:t>
            </w:r>
          </w:p>
          <w:p w:rsidR="00000000" w:rsidRPr="00570D0E" w:rsidP="00570D0E">
            <w:pPr>
              <w:pStyle w:val="BodyText"/>
            </w:pPr>
            <w:r w:rsidRPr="00570D0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3" w:name="O_1188018"/>
      <w:bookmarkEnd w:id="3"/>
      <w:r w:rsidRPr="00570D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Not applicable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4" w:name="O_1188019"/>
      <w:bookmarkEnd w:id="4"/>
      <w:r w:rsidRPr="00570D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Cross Discipline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5" w:name="O_1188020"/>
      <w:bookmarkEnd w:id="5"/>
      <w:r w:rsidRPr="00570D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Gas Industry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6" w:name="O_1188021"/>
      <w:bookmarkEnd w:id="6"/>
      <w:r w:rsidRPr="00570D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PERFORMANCE CRITERIA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Performance criteria describe the performance needed to demonstrate achievement of the element.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Prepare gas system</w:t>
            </w:r>
            <w:r w:rsidRPr="00570D0E">
              <w:t xml:space="preserve"> </w:t>
            </w:r>
            <w:r w:rsidRPr="00570D0E">
              <w:rPr>
                <w:rStyle w:val="SpecialBold"/>
              </w:rPr>
              <w:t>input and output performance criteria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WHS/OHS principles and practices and environmental and sustainable energy workplace procedures which may influence the systems are reviewed and determined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Proposed gas system usage is analysed and technical requirements of the system are investigate</w:t>
            </w:r>
            <w:r w:rsidRPr="00570D0E">
              <w:t>d and expected outcomes of design work are confirmed with the appropriate persons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Workplace policies and procedures for specifications of a gas system design are obtained or determined with appropriate persons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Testing parameters are determined and discussed with appropriate person/s to ascertain the gas system project brief in accordance with workplace policies and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Equipment, tools and personal protective equipment (PPE) are selected and coordi</w:t>
            </w:r>
            <w:r w:rsidRPr="00570D0E">
              <w:t>nated based on specified requirements and workplace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Work roles and tasks are allocated in accordance with design requirements and person/s competency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Work is prioritised and sequenced for the most effective outcome, completed withi</w:t>
            </w:r>
            <w:r w:rsidRPr="00570D0E">
              <w:t>n an acceptable timeframe to an industry quality standard and in accordance with workplace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 xml:space="preserve">Liaison and communication with authorised persons, authorities, clients and land owners are undertaken to resolve gas system issues and coordinate </w:t>
            </w:r>
            <w:r w:rsidRPr="00570D0E">
              <w:t>design work activities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Risk control measures are identified, prioritised and evaluated against the work schedule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Relevant work permits are secured to coordinate the performance of work in accordance with requirements and workplace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Assess impact of gas system on the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Gas system logistics are determined and environmental impact on interconnected systems is assessed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 xml:space="preserve">WHS/OHS and sustainable energy principles, </w:t>
            </w:r>
            <w:r w:rsidRPr="00570D0E">
              <w:t>functionality</w:t>
            </w:r>
            <w:r w:rsidRPr="00570D0E">
              <w:t xml:space="preserve"> and practices to reduce the incidents of accidents and minimise waste are incorporated into the gas system project in accordance with workplace requirements and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Practicable design decisions are made on basis of safety and effective outco</w:t>
            </w:r>
            <w:r w:rsidRPr="00570D0E">
              <w:t>mes in accordance with workplace requirements and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Mathematical modelling is used to analyse the effectiveness of the design specification in accordance with workplace requirements and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Technical advice is obtained related</w:t>
            </w:r>
            <w:r w:rsidRPr="00570D0E">
              <w:t xml:space="preserve"> to hazards, assessed risks and reasonably practicable risk control measures so that monitoring can be undertaken and appropriate authorities consulted, as required, in accordance with workplace requirements and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Specific data is analysed and compared with compliance specifications to ensure completion of the project within an agreed timeframe in accordance with requirements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Environmental testing is undertaken in accordance with workplace requirements and pr</w:t>
            </w:r>
            <w:r w:rsidRPr="00570D0E">
              <w:t>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Work teams are arranged to ensure planned goals are met in accordance with workplace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 xml:space="preserve">Solutions to unplanned events are responded to in accordance with workplace procedures, in a manner that minimises risk to personnel and </w:t>
            </w:r>
            <w:r w:rsidRPr="00570D0E">
              <w:t>equipment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Quality of work is monitored against performance agreement and workplace organisational and industry standards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Environmental strategic plans are developed incorporating organisational initiatives in accordance with workplace procedures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rPr>
                <w:rStyle w:val="SpecialBold"/>
              </w:rPr>
              <w:t>Identify and evaluate gas system options and prepare specifications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Review of gas system is undertaken to ensure design comp</w:t>
            </w:r>
            <w:r w:rsidRPr="00570D0E">
              <w:t>lies with requirements and includes specifications and documentation needed to complete the gas project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Design and construction resources option/s are identified, availability and price is determined, and maintenance requirements are documented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</w:t>
            </w:r>
            <w:r w:rsidRPr="00570D0E">
              <w:rPr>
                <w:rStyle w:val="SpecialBold"/>
              </w:rPr>
              <w:t>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Cost-benefit analysis is prepared and evaluation criteria are determined, any shortfalls in recommended option/s are justified and compliance requirements are met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Appropriate persons are notified of design completion and gas system reports and completion documents are finalised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Reports and completion documents are submitted to relevant persons for approval and as required, statutory or regulatory approval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Approved copies of documents are issued and controlled, and records are updated in accordance with workplace procedures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7" w:name="O_1188022"/>
      <w:bookmarkEnd w:id="7"/>
      <w:r w:rsidRPr="00570D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Foundation skills essential to performance are explicit in the performance criteria of this u</w:t>
            </w:r>
            <w:r w:rsidRPr="00570D0E">
              <w:t>nit of competency.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8" w:name="O_1188023"/>
      <w:bookmarkEnd w:id="8"/>
      <w:r w:rsidRPr="00570D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Range is restricted to essential operating conditions and any other variables essential to the work environment.</w:t>
            </w:r>
          </w:p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Non-essential conditions may be found in the UEG Gas Industry Training Package Companion Volume Implementation Guide.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constants and variables must include: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gas system</w:t>
            </w:r>
          </w:p>
          <w:p w:rsidR="00000000" w:rsidRPr="00570D0E" w:rsidP="00570D0E">
            <w:pPr>
              <w:pStyle w:val="ListBullet"/>
            </w:pPr>
            <w:r w:rsidRPr="00570D0E">
              <w:t>environmental hazards</w:t>
            </w:r>
          </w:p>
          <w:p w:rsidR="00000000" w:rsidRPr="00570D0E" w:rsidP="00570D0E">
            <w:pPr>
              <w:pStyle w:val="ListBullet"/>
            </w:pPr>
            <w:r w:rsidRPr="00570D0E">
              <w:t>system logistics</w:t>
            </w:r>
          </w:p>
          <w:p w:rsidR="00000000" w:rsidRPr="00570D0E" w:rsidP="00570D0E">
            <w:pPr>
              <w:pStyle w:val="ListBullet"/>
            </w:pPr>
            <w:r w:rsidRPr="00570D0E">
              <w:t>resources</w:t>
            </w:r>
          </w:p>
          <w:p w:rsidR="00000000" w:rsidRPr="00570D0E" w:rsidP="00570D0E">
            <w:pPr>
              <w:pStyle w:val="ListBullet"/>
            </w:pPr>
            <w:r w:rsidRPr="00570D0E">
              <w:t>relevant documentation</w:t>
            </w:r>
          </w:p>
          <w:p w:rsidR="00000000" w:rsidRPr="00570D0E" w:rsidP="00570D0E">
            <w:pPr>
              <w:pStyle w:val="ListBullet"/>
            </w:pPr>
            <w:r w:rsidRPr="00570D0E">
              <w:t>l</w:t>
            </w:r>
            <w:r w:rsidRPr="00570D0E">
              <w:t>egislative compliance</w:t>
            </w:r>
          </w:p>
          <w:p w:rsidR="00000000" w:rsidRPr="00570D0E" w:rsidP="00570D0E">
            <w:pPr>
              <w:pStyle w:val="ListBullet"/>
            </w:pPr>
            <w:r w:rsidRPr="00570D0E">
              <w:t>safe design principles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relevant authorities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gas systems must include at least six (6) of the following (at least the first three, OR the last three):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natural gas systems</w:t>
            </w:r>
          </w:p>
          <w:p w:rsidR="00000000" w:rsidRPr="00570D0E" w:rsidP="00570D0E">
            <w:pPr>
              <w:pStyle w:val="ListBullet"/>
            </w:pPr>
            <w:r w:rsidRPr="00570D0E">
              <w:t>transmission and distribution pipelines</w:t>
            </w:r>
          </w:p>
          <w:p w:rsidR="00000000" w:rsidRPr="00570D0E" w:rsidP="00570D0E">
            <w:pPr>
              <w:pStyle w:val="ListBullet"/>
            </w:pPr>
            <w:r w:rsidRPr="00570D0E">
              <w:t>control systems</w:t>
            </w:r>
          </w:p>
          <w:p w:rsidR="00000000" w:rsidRPr="00570D0E" w:rsidP="00570D0E">
            <w:pPr>
              <w:pStyle w:val="ListBullet"/>
            </w:pPr>
            <w:r w:rsidRPr="00570D0E">
              <w:t>custod</w:t>
            </w:r>
            <w:r w:rsidRPr="00570D0E">
              <w:t>y transfer stations</w:t>
            </w:r>
          </w:p>
          <w:p w:rsidR="00000000" w:rsidRPr="00570D0E" w:rsidP="00570D0E">
            <w:pPr>
              <w:pStyle w:val="ListBullet"/>
            </w:pPr>
            <w:r w:rsidRPr="00570D0E">
              <w:t>odorising plant</w:t>
            </w:r>
          </w:p>
          <w:p w:rsidR="00000000" w:rsidRPr="00570D0E" w:rsidP="00570D0E">
            <w:pPr>
              <w:pStyle w:val="ListBullet"/>
            </w:pPr>
            <w:r w:rsidRPr="00570D0E">
              <w:t>corrosion control</w:t>
            </w:r>
          </w:p>
          <w:p w:rsidR="00000000" w:rsidRPr="00570D0E" w:rsidP="00570D0E">
            <w:pPr>
              <w:pStyle w:val="ListBullet"/>
            </w:pPr>
            <w:r w:rsidRPr="00570D0E">
              <w:t>hydrogen gas systems</w:t>
            </w:r>
          </w:p>
          <w:p w:rsidR="00000000" w:rsidRPr="00570D0E" w:rsidP="00570D0E">
            <w:pPr>
              <w:pStyle w:val="ListBullet"/>
            </w:pPr>
            <w:r w:rsidRPr="00570D0E">
              <w:t>interconnecting system</w:t>
            </w:r>
          </w:p>
          <w:p w:rsidR="00000000" w:rsidRPr="00570D0E" w:rsidP="00570D0E">
            <w:pPr>
              <w:pStyle w:val="ListBullet"/>
            </w:pPr>
            <w:r w:rsidRPr="00570D0E">
              <w:t>LPG storage greater than 50 kL</w:t>
            </w:r>
          </w:p>
          <w:p w:rsidR="00000000" w:rsidRPr="00570D0E" w:rsidP="00570D0E">
            <w:pPr>
              <w:pStyle w:val="ListBullet"/>
            </w:pPr>
            <w:r w:rsidRPr="00570D0E">
              <w:t>underground storage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tankers and ships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environmental hazards must include at least three (3)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hazards associated with LPG</w:t>
            </w:r>
          </w:p>
          <w:p w:rsidR="00000000" w:rsidRPr="00570D0E" w:rsidP="00570D0E">
            <w:pPr>
              <w:pStyle w:val="ListBullet"/>
            </w:pPr>
            <w:r w:rsidRPr="00570D0E">
              <w:t>hazards associated with natural gas</w:t>
            </w:r>
          </w:p>
          <w:p w:rsidR="00000000" w:rsidRPr="00570D0E" w:rsidP="00570D0E">
            <w:pPr>
              <w:pStyle w:val="ListBullet"/>
            </w:pPr>
            <w:r w:rsidRPr="00570D0E">
              <w:t>geological features</w:t>
            </w:r>
          </w:p>
          <w:p w:rsidR="00000000" w:rsidRPr="00570D0E" w:rsidP="00570D0E">
            <w:pPr>
              <w:pStyle w:val="ListBullet"/>
            </w:pPr>
            <w:r w:rsidRPr="00570D0E">
              <w:t>soil types</w:t>
            </w:r>
          </w:p>
          <w:p w:rsidR="00000000" w:rsidRPr="00570D0E" w:rsidP="00570D0E">
            <w:pPr>
              <w:pStyle w:val="ListBullet"/>
            </w:pPr>
            <w:r w:rsidRPr="00570D0E">
              <w:t>neighbouring plants</w:t>
            </w:r>
          </w:p>
          <w:p w:rsidR="00000000" w:rsidRPr="00570D0E" w:rsidP="00570D0E">
            <w:pPr>
              <w:pStyle w:val="ListBullet"/>
            </w:pPr>
            <w:r w:rsidRPr="00570D0E">
              <w:t>residential areas</w:t>
            </w:r>
          </w:p>
          <w:p w:rsidR="00000000" w:rsidRPr="00570D0E" w:rsidP="00570D0E">
            <w:pPr>
              <w:pStyle w:val="ListBullet"/>
            </w:pPr>
            <w:r w:rsidRPr="00570D0E">
              <w:t>separation distances and emission and contamination hazards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 xml:space="preserve">hazards associated with hydrogen gas 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gas system logistics mus</w:t>
            </w:r>
            <w:r w:rsidRPr="00570D0E">
              <w:t>t include at least one (1)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land and sea transport routes and equipment</w:t>
            </w:r>
          </w:p>
          <w:p w:rsidR="00000000" w:rsidRPr="00570D0E" w:rsidP="00570D0E">
            <w:pPr>
              <w:pStyle w:val="ListBullet"/>
            </w:pPr>
            <w:r w:rsidRPr="00570D0E">
              <w:t>transmission and distribution pipelines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land ownership and easements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relevant persons must include at least two (2)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company planners and marketers</w:t>
            </w:r>
          </w:p>
          <w:p w:rsidR="00000000" w:rsidRPr="00570D0E" w:rsidP="00570D0E">
            <w:pPr>
              <w:pStyle w:val="ListBullet"/>
            </w:pPr>
            <w:r w:rsidRPr="00570D0E">
              <w:t>department heads</w:t>
            </w:r>
          </w:p>
          <w:p w:rsidR="00000000" w:rsidRPr="00570D0E" w:rsidP="00570D0E">
            <w:pPr>
              <w:pStyle w:val="ListBullet"/>
            </w:pPr>
            <w:r w:rsidRPr="00570D0E">
              <w:t>business unit managers</w:t>
            </w:r>
          </w:p>
          <w:p w:rsidR="00000000" w:rsidRPr="00570D0E" w:rsidP="00570D0E">
            <w:pPr>
              <w:pStyle w:val="ListBullet"/>
            </w:pPr>
            <w:r w:rsidRPr="00570D0E">
              <w:t>company engineers and consultant engineers</w:t>
            </w:r>
          </w:p>
          <w:p w:rsidR="00000000" w:rsidRPr="00570D0E" w:rsidP="00570D0E">
            <w:pPr>
              <w:pStyle w:val="ListBullet"/>
            </w:pPr>
            <w:r w:rsidRPr="00570D0E">
              <w:t>technical specialists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statutory authorities and environmental specialists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legislative requirements must include at least two (2)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WHS/OHS legislation</w:t>
            </w:r>
          </w:p>
          <w:p w:rsidR="00000000" w:rsidRPr="00570D0E" w:rsidP="00570D0E">
            <w:pPr>
              <w:pStyle w:val="ListBullet"/>
            </w:pPr>
            <w:r w:rsidRPr="00570D0E">
              <w:t>rel</w:t>
            </w:r>
            <w:r w:rsidRPr="00570D0E">
              <w:t>evant government acts, regulations and codes of practice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local government traffic management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relevant authorities must include at least two (2)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local and shire councils</w:t>
            </w:r>
          </w:p>
          <w:p w:rsidR="00000000" w:rsidRPr="00570D0E" w:rsidP="00570D0E">
            <w:pPr>
              <w:pStyle w:val="ListBullet"/>
            </w:pPr>
            <w:r w:rsidRPr="00570D0E">
              <w:t>local government authorities</w:t>
            </w:r>
          </w:p>
          <w:p w:rsidR="00000000" w:rsidRPr="00570D0E" w:rsidP="00570D0E">
            <w:pPr>
              <w:pStyle w:val="ListBullet"/>
            </w:pPr>
            <w:r w:rsidRPr="00570D0E">
              <w:t>emergency transport authorities</w:t>
            </w:r>
          </w:p>
          <w:p w:rsidR="00000000" w:rsidRPr="00570D0E" w:rsidP="00570D0E">
            <w:pPr>
              <w:pStyle w:val="ListBullet"/>
            </w:pPr>
            <w:r w:rsidRPr="00570D0E">
              <w:t>rail departments</w:t>
            </w:r>
          </w:p>
          <w:p w:rsidR="00000000" w:rsidP="00570D0E">
            <w:pPr>
              <w:pStyle w:val="ListBullet"/>
              <w:rPr>
                <w:lang w:val="en-NZ"/>
              </w:rPr>
            </w:pPr>
            <w:r w:rsidRPr="00570D0E">
              <w:t>landowners/traditional land owners</w:t>
            </w:r>
          </w:p>
        </w:tc>
      </w:tr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D0E">
            <w:pPr>
              <w:pStyle w:val="BodyText"/>
              <w:rPr>
                <w:lang w:val="en-NZ"/>
              </w:rPr>
            </w:pPr>
            <w:r w:rsidRPr="00570D0E">
              <w:t>relevant documentation must include at least eight (8)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ListBullet"/>
            </w:pPr>
            <w:r w:rsidRPr="00570D0E">
              <w:t>contracts</w:t>
            </w:r>
          </w:p>
          <w:p w:rsidR="00000000" w:rsidRPr="00570D0E" w:rsidP="00570D0E">
            <w:pPr>
              <w:pStyle w:val="ListBullet"/>
            </w:pPr>
            <w:r w:rsidRPr="00570D0E">
              <w:t>specifications/drawings/plans</w:t>
            </w:r>
          </w:p>
          <w:p w:rsidR="00000000" w:rsidRPr="00570D0E" w:rsidP="00570D0E">
            <w:pPr>
              <w:pStyle w:val="ListBullet"/>
            </w:pPr>
            <w:r w:rsidRPr="00570D0E">
              <w:t>manufacturer specifications</w:t>
            </w:r>
          </w:p>
          <w:p w:rsidR="00000000" w:rsidRPr="00570D0E" w:rsidP="00570D0E">
            <w:pPr>
              <w:pStyle w:val="ListBullet"/>
            </w:pPr>
            <w:r w:rsidRPr="00570D0E">
              <w:t>work permits</w:t>
            </w:r>
          </w:p>
          <w:p w:rsidR="00000000" w:rsidRPr="00570D0E" w:rsidP="00570D0E">
            <w:pPr>
              <w:pStyle w:val="ListBullet"/>
            </w:pPr>
            <w:r w:rsidRPr="00570D0E">
              <w:t>company standard operation and safety procedures</w:t>
            </w:r>
          </w:p>
          <w:p w:rsidR="00000000" w:rsidRPr="00570D0E" w:rsidP="00570D0E">
            <w:pPr>
              <w:pStyle w:val="ListBullet"/>
            </w:pPr>
            <w:r w:rsidRPr="00570D0E">
              <w:t>company management plans and policies</w:t>
            </w:r>
          </w:p>
          <w:p w:rsidR="00000000" w:rsidRPr="00570D0E" w:rsidP="00570D0E">
            <w:pPr>
              <w:pStyle w:val="ListBullet"/>
            </w:pPr>
            <w:r w:rsidRPr="00570D0E">
              <w:t>hot work permits</w:t>
            </w:r>
          </w:p>
          <w:p w:rsidR="00000000" w:rsidRPr="00570D0E" w:rsidP="00570D0E">
            <w:pPr>
              <w:pStyle w:val="ListBullet"/>
            </w:pPr>
            <w:r w:rsidRPr="00570D0E">
              <w:t>company forms and files</w:t>
            </w:r>
          </w:p>
          <w:p w:rsidR="00000000" w:rsidRPr="00570D0E" w:rsidP="00570D0E">
            <w:pPr>
              <w:pStyle w:val="ListBullet"/>
            </w:pPr>
            <w:r w:rsidRPr="00570D0E">
              <w:t>WHS/OHS legislation and codes of practice</w:t>
            </w:r>
          </w:p>
          <w:p w:rsidR="00000000" w:rsidRPr="00570D0E" w:rsidP="00570D0E">
            <w:pPr>
              <w:pStyle w:val="ListBullet"/>
            </w:pPr>
            <w:r w:rsidRPr="00570D0E">
              <w:t>other government legislation</w:t>
            </w:r>
          </w:p>
          <w:p w:rsidR="00000000" w:rsidRPr="00570D0E" w:rsidP="00570D0E">
            <w:pPr>
              <w:pStyle w:val="ListBullet"/>
            </w:pPr>
            <w:r w:rsidRPr="00570D0E">
              <w:t>pipeline licenses</w:t>
            </w:r>
          </w:p>
          <w:p w:rsidR="00000000" w:rsidRPr="00570D0E" w:rsidP="00570D0E">
            <w:pPr>
              <w:pStyle w:val="ListBullet"/>
            </w:pPr>
            <w:r w:rsidRPr="00570D0E">
              <w:t>quality assurance</w:t>
            </w:r>
          </w:p>
          <w:p w:rsidR="00000000" w:rsidRPr="00570D0E" w:rsidP="00570D0E">
            <w:pPr>
              <w:pStyle w:val="ListBullet"/>
            </w:pPr>
            <w:r w:rsidRPr="00570D0E">
              <w:t>commercial agreements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9" w:name="O_1188024"/>
      <w:bookmarkEnd w:id="9"/>
      <w:r w:rsidRPr="00570D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D0E" w:rsidP="00570D0E">
            <w:pPr>
              <w:pStyle w:val="BodyText"/>
            </w:pPr>
            <w:r w:rsidRPr="00570D0E">
              <w:t>This unit replaces and is equivalent to UEGNSG121 Prepare safe design specifications of a gas system</w:t>
            </w:r>
          </w:p>
        </w:tc>
      </w:tr>
    </w:tbl>
    <w:p w:rsidR="00000000" w:rsidRPr="00570D0E" w:rsidP="00570D0E">
      <w:pPr>
        <w:pStyle w:val="NoPaddingFontSize1"/>
      </w:pPr>
    </w:p>
    <w:p w:rsidR="00000000" w:rsidRPr="00570D0E" w:rsidP="00570D0E">
      <w:pPr>
        <w:pStyle w:val="AllowPageBreak"/>
      </w:pPr>
    </w:p>
    <w:p w:rsidR="00000000" w:rsidRPr="00570D0E" w:rsidP="00570D0E">
      <w:pPr>
        <w:pStyle w:val="Heading1"/>
      </w:pPr>
      <w:bookmarkStart w:id="10" w:name="O_1188031"/>
      <w:bookmarkEnd w:id="10"/>
      <w:r w:rsidRPr="00570D0E">
        <w:t>Links</w:t>
      </w:r>
    </w:p>
    <w:p w:rsidR="00000000" w:rsidRPr="00570D0E" w:rsidP="00200974">
      <w:pPr>
        <w:pStyle w:val="BodyText"/>
      </w:pPr>
      <w:r w:rsidRPr="00570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77CE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70D0E" w:rsidP="00570D0E"/>
    <w:sectPr w:rsidSect="00570D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D0E" w:rsidRPr="00200974" w:rsidP="00200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74" w:rsidP="00570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0974" w:rsidP="00570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0974" w:rsidP="00570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D0E" w:rsidRPr="00200974" w:rsidP="00200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74" w:rsidRPr="002D2AF8" w:rsidP="00570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UEGNSG102 Prepare safe design specifications of a gas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00974" w:rsidP="00570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E0E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EB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D0E"/>
  </w:style>
  <w:style w:type="character" w:customStyle="1" w:styleId="Heading1Char">
    <w:name w:val="Heading 1 Char"/>
    <w:basedOn w:val="DefaultParagraphFont"/>
    <w:link w:val="Heading1"/>
    <w:rsid w:val="00570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D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D0E"/>
    <w:rPr>
      <w:b/>
      <w:spacing w:val="0"/>
    </w:rPr>
  </w:style>
  <w:style w:type="paragraph" w:customStyle="1" w:styleId="SuperHeading">
    <w:name w:val="SuperHeading"/>
    <w:basedOn w:val="Normal"/>
    <w:rsid w:val="00570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0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D0E"/>
    <w:rPr>
      <w:i/>
    </w:rPr>
  </w:style>
  <w:style w:type="paragraph" w:styleId="Caption">
    <w:name w:val="caption"/>
    <w:basedOn w:val="BodyText"/>
    <w:next w:val="Normal"/>
    <w:qFormat/>
    <w:rsid w:val="00570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D0E"/>
  </w:style>
  <w:style w:type="paragraph" w:styleId="TableofFigures">
    <w:name w:val="table of figures"/>
    <w:basedOn w:val="Normal"/>
    <w:next w:val="Normal"/>
    <w:semiHidden/>
    <w:rsid w:val="00570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D0E"/>
    <w:rPr>
      <w:rFonts w:ascii="Wingdings" w:hAnsi="Wingdings"/>
    </w:rPr>
  </w:style>
  <w:style w:type="paragraph" w:customStyle="1" w:styleId="TableHeading">
    <w:name w:val="Table Heading"/>
    <w:basedOn w:val="HeadingBase"/>
    <w:rsid w:val="00570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D0E"/>
    <w:rPr>
      <w:color w:val="0033CC"/>
      <w:u w:val="none"/>
    </w:rPr>
  </w:style>
  <w:style w:type="paragraph" w:customStyle="1" w:styleId="BodyTextRight">
    <w:name w:val="Body Text Right"/>
    <w:basedOn w:val="BodyText"/>
    <w:rsid w:val="00570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D0E"/>
    <w:rPr>
      <w:sz w:val="32"/>
    </w:rPr>
  </w:style>
  <w:style w:type="paragraph" w:customStyle="1" w:styleId="HeadingProcedure">
    <w:name w:val="Heading Procedure"/>
    <w:basedOn w:val="HeadingBase"/>
    <w:next w:val="Normal"/>
    <w:rsid w:val="00570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D0E"/>
    <w:pPr>
      <w:spacing w:before="60" w:after="60"/>
    </w:pPr>
  </w:style>
  <w:style w:type="paragraph" w:styleId="ListContinue">
    <w:name w:val="List Continue"/>
    <w:basedOn w:val="List"/>
    <w:rsid w:val="00570D0E"/>
    <w:pPr>
      <w:ind w:firstLine="0"/>
    </w:pPr>
  </w:style>
  <w:style w:type="paragraph" w:customStyle="1" w:styleId="ListNote">
    <w:name w:val="List Note"/>
    <w:basedOn w:val="List"/>
    <w:rsid w:val="00570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D0E"/>
    <w:rPr>
      <w:rFonts w:ascii="Courier New" w:hAnsi="Courier New"/>
    </w:rPr>
  </w:style>
  <w:style w:type="paragraph" w:customStyle="1" w:styleId="NoteBullet">
    <w:name w:val="Note Bullet"/>
    <w:basedOn w:val="Note"/>
    <w:rsid w:val="00570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D0E"/>
    <w:rPr>
      <w:b/>
      <w:smallCaps/>
    </w:rPr>
  </w:style>
  <w:style w:type="paragraph" w:customStyle="1" w:styleId="TableListNumber">
    <w:name w:val="Table List Number"/>
    <w:basedOn w:val="ListNumber"/>
    <w:rsid w:val="00570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D0E"/>
    <w:pPr>
      <w:numPr>
        <w:numId w:val="8"/>
      </w:numPr>
    </w:pPr>
  </w:style>
  <w:style w:type="paragraph" w:customStyle="1" w:styleId="ListAlpha2">
    <w:name w:val="List Alpha 2"/>
    <w:basedOn w:val="List2"/>
    <w:rsid w:val="00570D0E"/>
    <w:pPr>
      <w:numPr>
        <w:numId w:val="7"/>
      </w:numPr>
    </w:pPr>
  </w:style>
  <w:style w:type="paragraph" w:styleId="List2">
    <w:name w:val="List 2"/>
    <w:basedOn w:val="BodyText"/>
    <w:rsid w:val="00570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D0E"/>
    <w:pPr>
      <w:numPr>
        <w:numId w:val="3"/>
      </w:numPr>
    </w:pPr>
  </w:style>
  <w:style w:type="paragraph" w:styleId="ListContinue2">
    <w:name w:val="List Continue 2"/>
    <w:basedOn w:val="List2"/>
    <w:rsid w:val="00570D0E"/>
    <w:pPr>
      <w:ind w:firstLine="0"/>
    </w:pPr>
  </w:style>
  <w:style w:type="paragraph" w:styleId="ListContinue3">
    <w:name w:val="List Continue 3"/>
    <w:basedOn w:val="List3"/>
    <w:rsid w:val="00570D0E"/>
    <w:pPr>
      <w:ind w:left="1021" w:firstLine="0"/>
    </w:pPr>
  </w:style>
  <w:style w:type="paragraph" w:styleId="ListContinue4">
    <w:name w:val="List Continue 4"/>
    <w:basedOn w:val="List4"/>
    <w:rsid w:val="00570D0E"/>
    <w:pPr>
      <w:ind w:firstLine="0"/>
    </w:pPr>
  </w:style>
  <w:style w:type="paragraph" w:styleId="ListContinue5">
    <w:name w:val="List Continue 5"/>
    <w:basedOn w:val="List5"/>
    <w:rsid w:val="00570D0E"/>
    <w:pPr>
      <w:ind w:firstLine="0"/>
    </w:pPr>
  </w:style>
  <w:style w:type="paragraph" w:styleId="ListNumber3">
    <w:name w:val="List Number 3"/>
    <w:basedOn w:val="List3"/>
    <w:rsid w:val="00570D0E"/>
    <w:pPr>
      <w:numPr>
        <w:numId w:val="4"/>
      </w:numPr>
    </w:pPr>
  </w:style>
  <w:style w:type="paragraph" w:styleId="ListNumber4">
    <w:name w:val="List Number 4"/>
    <w:basedOn w:val="List4"/>
    <w:rsid w:val="00570D0E"/>
    <w:pPr>
      <w:numPr>
        <w:numId w:val="5"/>
      </w:numPr>
    </w:pPr>
  </w:style>
  <w:style w:type="paragraph" w:styleId="ListNumber5">
    <w:name w:val="List Number 5"/>
    <w:basedOn w:val="List5"/>
    <w:rsid w:val="00570D0E"/>
    <w:pPr>
      <w:numPr>
        <w:numId w:val="6"/>
      </w:numPr>
    </w:pPr>
  </w:style>
  <w:style w:type="paragraph" w:styleId="BlockText">
    <w:name w:val="Block Text"/>
    <w:basedOn w:val="Normal"/>
    <w:rsid w:val="00570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D0E"/>
    <w:rPr>
      <w:sz w:val="16"/>
      <w:vertAlign w:val="superscript"/>
    </w:rPr>
  </w:style>
  <w:style w:type="character" w:customStyle="1" w:styleId="Symbols">
    <w:name w:val="Symbols"/>
    <w:basedOn w:val="DefaultParagraphFont"/>
    <w:rsid w:val="00570D0E"/>
    <w:rPr>
      <w:rFonts w:ascii="Symbol" w:hAnsi="Symbol"/>
    </w:rPr>
  </w:style>
  <w:style w:type="character" w:customStyle="1" w:styleId="MenuOptions">
    <w:name w:val="Menu Options"/>
    <w:basedOn w:val="DefaultParagraphFont"/>
    <w:rsid w:val="00570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D0E"/>
    <w:rPr>
      <w:b/>
    </w:rPr>
  </w:style>
  <w:style w:type="character" w:customStyle="1" w:styleId="Underlined">
    <w:name w:val="Underlined"/>
    <w:basedOn w:val="DefaultParagraphFont"/>
    <w:rsid w:val="00570D0E"/>
    <w:rPr>
      <w:u w:val="single"/>
    </w:rPr>
  </w:style>
  <w:style w:type="paragraph" w:customStyle="1" w:styleId="TableBodyTextRight">
    <w:name w:val="Table Body Text Right"/>
    <w:basedOn w:val="TableBodyText"/>
    <w:rsid w:val="00570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D0E"/>
    <w:rPr>
      <w:sz w:val="18"/>
    </w:rPr>
  </w:style>
  <w:style w:type="paragraph" w:customStyle="1" w:styleId="BodySmallRight">
    <w:name w:val="Body Small Right"/>
    <w:basedOn w:val="BodyTextRight"/>
    <w:rsid w:val="00570D0E"/>
    <w:rPr>
      <w:sz w:val="18"/>
      <w:szCs w:val="18"/>
    </w:rPr>
  </w:style>
  <w:style w:type="paragraph" w:customStyle="1" w:styleId="MarginEdition">
    <w:name w:val="Margin Edition"/>
    <w:basedOn w:val="MarginNote"/>
    <w:rsid w:val="00570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D0E"/>
    <w:rPr>
      <w:sz w:val="2"/>
      <w:szCs w:val="2"/>
    </w:rPr>
  </w:style>
  <w:style w:type="character" w:customStyle="1" w:styleId="Small">
    <w:name w:val="Small"/>
    <w:basedOn w:val="DefaultParagraphFont"/>
    <w:rsid w:val="00570D0E"/>
    <w:rPr>
      <w:sz w:val="16"/>
    </w:rPr>
  </w:style>
  <w:style w:type="paragraph" w:customStyle="1" w:styleId="WideTable">
    <w:name w:val="Wide Table"/>
    <w:basedOn w:val="Normal"/>
    <w:rsid w:val="00570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D0E"/>
  </w:style>
  <w:style w:type="paragraph" w:styleId="Quote">
    <w:name w:val="Quote"/>
    <w:basedOn w:val="Heading1"/>
    <w:link w:val="QuoteChar"/>
    <w:qFormat/>
    <w:rsid w:val="00570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D0E"/>
    <w:pPr>
      <w:pageBreakBefore/>
    </w:pPr>
  </w:style>
  <w:style w:type="paragraph" w:customStyle="1" w:styleId="Border">
    <w:name w:val="Border"/>
    <w:basedOn w:val="Normal"/>
    <w:qFormat/>
    <w:rsid w:val="00570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D0E"/>
    <w:rPr>
      <w:u w:val="single"/>
    </w:rPr>
  </w:style>
  <w:style w:type="character" w:customStyle="1" w:styleId="BoldandItalics">
    <w:name w:val="Bold and Italics"/>
    <w:qFormat/>
    <w:rsid w:val="00570D0E"/>
    <w:rPr>
      <w:b/>
      <w:i/>
      <w:u w:val="none"/>
    </w:rPr>
  </w:style>
  <w:style w:type="paragraph" w:styleId="BalloonText">
    <w:name w:val="Balloon Text"/>
    <w:basedOn w:val="Normal"/>
    <w:link w:val="BalloonTextChar"/>
    <w:rsid w:val="00570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D0E"/>
    <w:pPr>
      <w:spacing w:before="0" w:after="0"/>
    </w:pPr>
  </w:style>
  <w:style w:type="paragraph" w:customStyle="1" w:styleId="BodyTextBold">
    <w:name w:val="Body Text Bold"/>
    <w:basedOn w:val="BodyText"/>
    <w:qFormat/>
    <w:rsid w:val="00570D0E"/>
    <w:rPr>
      <w:b/>
    </w:rPr>
  </w:style>
  <w:style w:type="character" w:styleId="Hyperlink">
    <w:name w:val="Hyperlink"/>
    <w:basedOn w:val="DefaultParagraphFont"/>
    <w:uiPriority w:val="99"/>
    <w:unhideWhenUsed/>
    <w:rsid w:val="00200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1200</Words>
  <Characters>7646</Characters>
  <Application>Microsoft Office Word</Application>
  <DocSecurity>0</DocSecurity>
  <Lines>332</Lines>
  <Paragraphs>184</Paragraphs>
  <ScaleCrop>false</ScaleCrop>
  <Company>Author-it Software Corporation Ltd.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UEGNSG102 Prepare safe design specifications of a gas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