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C3F" w:rsidP="00443C3F">
      <w:pPr>
        <w:pStyle w:val="Title"/>
      </w:pPr>
      <w:r>
        <w:fldChar w:fldCharType="begin"/>
      </w:r>
      <w:r>
        <w:instrText xml:space="preserve"> TITLE   \* MERGEFORMAT </w:instrText>
      </w:r>
      <w:r>
        <w:fldChar w:fldCharType="separate"/>
      </w:r>
      <w:r>
        <w:t>UEGNSG020 Load, unload, exchange and connect industrial gas cylinders</w:t>
      </w:r>
      <w:r>
        <w:fldChar w:fldCharType="end"/>
      </w:r>
    </w:p>
    <w:p w:rsidR="00443C3F" w:rsidP="00443C3F">
      <w:pPr>
        <w:pStyle w:val="Version"/>
        <w:sectPr w:rsidSect="006C3C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C7C" w:rsidP="006C3C7C">
      <w:pPr>
        <w:pStyle w:val="SuperHeading"/>
      </w:pPr>
      <w:r w:rsidRPr="006C3C7C">
        <w:t>UEGNSG020 Load, unload, exchange and connect industrial gas cylinders</w:t>
      </w:r>
    </w:p>
    <w:p w:rsidR="00000000" w:rsidRPr="006C3C7C" w:rsidP="006C3C7C">
      <w:pPr>
        <w:pStyle w:val="Heading1"/>
      </w:pPr>
      <w:bookmarkStart w:id="1" w:name="O_1243834"/>
      <w:bookmarkEnd w:id="1"/>
      <w:r w:rsidRPr="006C3C7C">
        <w:t>Modification History</w:t>
      </w:r>
    </w:p>
    <w:tbl>
      <w:tblPr>
        <w:tblW w:w="9497" w:type="dxa"/>
        <w:tblLayout w:type="fixed"/>
        <w:tblCellMar>
          <w:left w:w="62" w:type="dxa"/>
          <w:right w:w="62" w:type="dxa"/>
        </w:tblCellMar>
        <w:tblLook w:val="0000"/>
      </w:tblPr>
      <w:tblGrid>
        <w:gridCol w:w="9497"/>
      </w:tblGrid>
      <w:tr w:rsidTr="006C3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3C7C" w:rsidP="006C3C7C">
            <w:pPr>
              <w:pStyle w:val="BodyText"/>
            </w:pPr>
            <w:r w:rsidRPr="006C3C7C">
              <w:rPr>
                <w:rStyle w:val="SpecialBold"/>
              </w:rPr>
              <w:t xml:space="preserve">Release 1. </w:t>
            </w:r>
            <w:r w:rsidRPr="006C3C7C">
              <w:t>This is the first release of this unit of competency in the UEG Gas Industry Training Package.</w:t>
            </w:r>
          </w:p>
        </w:tc>
      </w:tr>
    </w:tbl>
    <w:p w:rsidR="00000000" w:rsidRPr="006C3C7C" w:rsidP="006C3C7C">
      <w:pPr>
        <w:pStyle w:val="NoPaddingFontSize1"/>
      </w:pPr>
    </w:p>
    <w:p w:rsidR="00000000" w:rsidRPr="006C3C7C" w:rsidP="006C3C7C">
      <w:pPr>
        <w:pStyle w:val="AllowPageBreak"/>
      </w:pPr>
    </w:p>
    <w:p w:rsidR="00000000" w:rsidRPr="006C3C7C" w:rsidP="006C3C7C">
      <w:pPr>
        <w:pStyle w:val="Heading1"/>
      </w:pPr>
      <w:bookmarkStart w:id="2" w:name="O_1243835"/>
      <w:bookmarkEnd w:id="2"/>
      <w:r w:rsidRPr="006C3C7C">
        <w:t>Application</w:t>
      </w:r>
    </w:p>
    <w:tbl>
      <w:tblPr>
        <w:tblW w:w="9497" w:type="dxa"/>
        <w:tblLayout w:type="fixed"/>
        <w:tblCellMar>
          <w:left w:w="62" w:type="dxa"/>
          <w:right w:w="62" w:type="dxa"/>
        </w:tblCellMar>
        <w:tblLook w:val="0000"/>
      </w:tblPr>
      <w:tblGrid>
        <w:gridCol w:w="9497"/>
      </w:tblGrid>
      <w:tr w:rsidTr="006C3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3C7C" w:rsidP="006C3C7C">
            <w:pPr>
              <w:pStyle w:val="BodyText"/>
            </w:pPr>
            <w:r w:rsidRPr="006C3C7C">
              <w:t>This unit involves the skills and knowledge required to load, unload, exchange and connect industrial gas cylinders to an approved installation in accordance with relevant legislation, codes of practice, regulations and workplace procedures.</w:t>
            </w:r>
          </w:p>
          <w:p w:rsidR="00000000" w:rsidRPr="006C3C7C" w:rsidP="006C3C7C">
            <w:pPr>
              <w:pStyle w:val="BodyText"/>
            </w:pPr>
            <w:r w:rsidRPr="006C3C7C">
              <w:t>It includes fo</w:t>
            </w:r>
            <w:r w:rsidRPr="006C3C7C">
              <w:t>llowing procedures to correctly and safely carry out the work using appropriate materials, tools and equipment.</w:t>
            </w:r>
          </w:p>
          <w:p w:rsidR="00000000" w:rsidRPr="006C3C7C" w:rsidP="006C3C7C">
            <w:pPr>
              <w:pStyle w:val="BodyText"/>
            </w:pPr>
            <w:r w:rsidRPr="006C3C7C">
              <w:t>This unit applies to worksites where the distribution of industrial gas cylinders occurs, including cylinder delivery drivers and service/instal</w:t>
            </w:r>
            <w:r w:rsidRPr="006C3C7C">
              <w:t>lation gas fitters who exchange industrial gas cylinders connected to an approved gas installation.</w:t>
            </w:r>
          </w:p>
          <w:p w:rsidR="00000000" w:rsidRPr="006C3C7C" w:rsidP="006C3C7C">
            <w:pPr>
              <w:pStyle w:val="BodyText"/>
            </w:pPr>
            <w:r w:rsidRPr="006C3C7C">
              <w:t>No licensing, legislative or certification requirements apply to this unit at the time of publication.</w:t>
            </w:r>
          </w:p>
        </w:tc>
      </w:tr>
    </w:tbl>
    <w:p w:rsidR="00000000" w:rsidRPr="006C3C7C" w:rsidP="006C3C7C">
      <w:pPr>
        <w:pStyle w:val="NoPaddingFontSize1"/>
      </w:pPr>
    </w:p>
    <w:p w:rsidR="00000000" w:rsidRPr="006C3C7C" w:rsidP="006C3C7C">
      <w:pPr>
        <w:pStyle w:val="AllowPageBreak"/>
      </w:pPr>
    </w:p>
    <w:p w:rsidR="00000000" w:rsidRPr="006C3C7C" w:rsidP="006C3C7C">
      <w:pPr>
        <w:pStyle w:val="Heading1"/>
      </w:pPr>
      <w:bookmarkStart w:id="3" w:name="O_1243836"/>
      <w:bookmarkEnd w:id="3"/>
      <w:r w:rsidRPr="006C3C7C">
        <w:t>Pre-requisite Unit</w:t>
      </w:r>
    </w:p>
    <w:tbl>
      <w:tblPr>
        <w:tblW w:w="9497" w:type="dxa"/>
        <w:tblLayout w:type="fixed"/>
        <w:tblCellMar>
          <w:left w:w="62" w:type="dxa"/>
          <w:right w:w="62" w:type="dxa"/>
        </w:tblCellMar>
        <w:tblLook w:val="0000"/>
      </w:tblPr>
      <w:tblGrid>
        <w:gridCol w:w="9497"/>
      </w:tblGrid>
      <w:tr w:rsidTr="006C3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3C7C" w:rsidP="006C3C7C">
            <w:pPr>
              <w:pStyle w:val="BodyText"/>
            </w:pPr>
            <w:r w:rsidRPr="006C3C7C">
              <w:t>Not applicabl</w:t>
            </w:r>
            <w:r w:rsidRPr="006C3C7C">
              <w:t>e</w:t>
            </w:r>
          </w:p>
        </w:tc>
      </w:tr>
    </w:tbl>
    <w:p w:rsidR="00000000" w:rsidRPr="006C3C7C" w:rsidP="006C3C7C">
      <w:pPr>
        <w:pStyle w:val="NoPaddingFontSize1"/>
      </w:pPr>
    </w:p>
    <w:p w:rsidR="00000000" w:rsidRPr="006C3C7C" w:rsidP="006C3C7C">
      <w:pPr>
        <w:pStyle w:val="AllowPageBreak"/>
      </w:pPr>
    </w:p>
    <w:p w:rsidR="00000000" w:rsidRPr="006C3C7C" w:rsidP="006C3C7C">
      <w:pPr>
        <w:pStyle w:val="Heading1"/>
      </w:pPr>
      <w:bookmarkStart w:id="4" w:name="O_1243837"/>
      <w:bookmarkEnd w:id="4"/>
      <w:r w:rsidRPr="006C3C7C">
        <w:t>Competency Field</w:t>
      </w:r>
    </w:p>
    <w:tbl>
      <w:tblPr>
        <w:tblW w:w="9497" w:type="dxa"/>
        <w:tblLayout w:type="fixed"/>
        <w:tblCellMar>
          <w:left w:w="62" w:type="dxa"/>
          <w:right w:w="62" w:type="dxa"/>
        </w:tblCellMar>
        <w:tblLook w:val="0000"/>
      </w:tblPr>
      <w:tblGrid>
        <w:gridCol w:w="9497"/>
      </w:tblGrid>
      <w:tr w:rsidTr="006C3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3C7C" w:rsidP="006C3C7C">
            <w:pPr>
              <w:pStyle w:val="BodyText"/>
            </w:pPr>
            <w:r w:rsidRPr="006C3C7C">
              <w:t>Gaseous Fuel Vessels</w:t>
            </w:r>
          </w:p>
        </w:tc>
      </w:tr>
    </w:tbl>
    <w:p w:rsidR="00000000" w:rsidRPr="006C3C7C" w:rsidP="006C3C7C">
      <w:pPr>
        <w:pStyle w:val="NoPaddingFontSize1"/>
      </w:pPr>
    </w:p>
    <w:p w:rsidR="00000000" w:rsidRPr="006C3C7C" w:rsidP="006C3C7C">
      <w:pPr>
        <w:pStyle w:val="AllowPageBreak"/>
      </w:pPr>
    </w:p>
    <w:p w:rsidR="00000000" w:rsidRPr="006C3C7C" w:rsidP="006C3C7C">
      <w:pPr>
        <w:pStyle w:val="Heading1"/>
      </w:pPr>
      <w:bookmarkStart w:id="5" w:name="O_1243838"/>
      <w:bookmarkEnd w:id="5"/>
      <w:r w:rsidRPr="006C3C7C">
        <w:t>Unit Sector</w:t>
      </w:r>
    </w:p>
    <w:tbl>
      <w:tblPr>
        <w:tblW w:w="9497" w:type="dxa"/>
        <w:tblLayout w:type="fixed"/>
        <w:tblCellMar>
          <w:left w:w="62" w:type="dxa"/>
          <w:right w:w="62" w:type="dxa"/>
        </w:tblCellMar>
        <w:tblLook w:val="0000"/>
      </w:tblPr>
      <w:tblGrid>
        <w:gridCol w:w="9497"/>
      </w:tblGrid>
      <w:tr w:rsidTr="006C3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3C7C" w:rsidP="006C3C7C">
            <w:pPr>
              <w:pStyle w:val="BodyText"/>
            </w:pPr>
            <w:r w:rsidRPr="006C3C7C">
              <w:t>Gas Industry</w:t>
            </w:r>
          </w:p>
        </w:tc>
      </w:tr>
    </w:tbl>
    <w:p w:rsidR="00000000" w:rsidRPr="006C3C7C" w:rsidP="006C3C7C">
      <w:pPr>
        <w:pStyle w:val="NoPaddingFontSize1"/>
      </w:pPr>
    </w:p>
    <w:p w:rsidR="00000000" w:rsidRPr="006C3C7C" w:rsidP="006C3C7C">
      <w:pPr>
        <w:pStyle w:val="AllowPageBreak"/>
      </w:pPr>
    </w:p>
    <w:p w:rsidR="00000000" w:rsidRPr="006C3C7C" w:rsidP="006C3C7C">
      <w:pPr>
        <w:pStyle w:val="Heading1"/>
      </w:pPr>
      <w:bookmarkStart w:id="6" w:name="O_1243839"/>
      <w:bookmarkEnd w:id="6"/>
      <w:r w:rsidRPr="006C3C7C">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6C3C7C">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6C3C7C" w:rsidP="006C3C7C">
            <w:pPr>
              <w:pStyle w:val="BodyText"/>
            </w:pPr>
            <w:r w:rsidRPr="006C3C7C">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PERFORMANCE CRITERIA</w:t>
            </w:r>
          </w:p>
        </w:tc>
      </w:tr>
      <w:tr w:rsidTr="006C3C7C">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Performance criteria describe the performance needed to demonstrate achievement of the element.</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C3C7C" w:rsidP="006C3C7C">
            <w:pPr>
              <w:pStyle w:val="BodyText"/>
            </w:pPr>
            <w:r w:rsidRPr="006C3C7C">
              <w:rPr>
                <w:rStyle w:val="SpecialBold"/>
              </w:rPr>
              <w:t xml:space="preserve">1 </w:t>
            </w:r>
          </w:p>
        </w:tc>
        <w:tc>
          <w:tcPr>
            <w:tcW w:w="2855" w:type="dxa"/>
            <w:tcBorders>
              <w:top w:val="nil"/>
              <w:left w:val="nil"/>
              <w:bottom w:val="nil"/>
              <w:right w:val="nil"/>
            </w:tcBorders>
            <w:tcMar>
              <w:top w:w="0" w:type="dxa"/>
              <w:left w:w="62" w:type="dxa"/>
              <w:bottom w:w="0" w:type="dxa"/>
              <w:right w:w="62" w:type="dxa"/>
            </w:tcMar>
          </w:tcPr>
          <w:p w:rsidR="00000000" w:rsidRPr="006C3C7C" w:rsidP="006C3C7C">
            <w:pPr>
              <w:pStyle w:val="BodyText"/>
            </w:pPr>
            <w:r w:rsidRPr="006C3C7C">
              <w:rPr>
                <w:rStyle w:val="SpecialBold"/>
              </w:rPr>
              <w:t xml:space="preserve">Prepare to load/unload truck, exchange and </w:t>
            </w:r>
            <w:r w:rsidRPr="006C3C7C">
              <w:rPr>
                <w:rStyle w:val="SpecialBold"/>
              </w:rPr>
              <w:t>connect industrial gas cylinders</w:t>
            </w: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 xml:space="preserve">Workplace safety, environmental and sustainable energy practices for the site are identified, obtained and </w:t>
            </w:r>
            <w:r w:rsidRPr="006C3C7C">
              <w:t xml:space="preserve">understood </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 xml:space="preserve">Job requirements are obtained and interpreted from plans, specifications and instructions </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Relevant job requirements and workplace procedures for work activities are discussed with relevant person/s, including third parties, to determine and confirm work schedule and respective responsibilities</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1.4</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 xml:space="preserve">Recommendations to assist with the loading, </w:t>
            </w:r>
            <w:r w:rsidRPr="006C3C7C">
              <w:t>applying cylinder load restraint, unloading and exchanging of gas cylinders are made to others involved in the work as required</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1.5</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Hazards are identified, workplace safety and environmental risks are assessed, and control measures are prioritised, impl</w:t>
            </w:r>
            <w:r w:rsidRPr="006C3C7C">
              <w:t xml:space="preserve">emented and monitored in accordance with workplace procedures </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1.6</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Scope of responsibility under the relevant job requirements, including all work permits and/or relevant notifications, is determined and confirmed to access the services and perform work</w:t>
            </w:r>
            <w:r w:rsidRPr="006C3C7C">
              <w:t xml:space="preserve"> in accordance with job requirements and workplace procedures</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1.7</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Equipment, tools and personal protective equipment (PPE) needed to carry out work activities are identified, obtained and checked for correct operation and safety in accordance with workp</w:t>
            </w:r>
            <w:r w:rsidRPr="006C3C7C">
              <w:t>lace procedures and manufacturer instructions</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1.8</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Materials, plans, diagrams, drawings and resources required for work are confirmed and obtained in accordance with workplace procedures</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C3C7C" w:rsidP="006C3C7C">
            <w:pPr>
              <w:pStyle w:val="BodyText"/>
            </w:pPr>
            <w:r w:rsidRPr="006C3C7C">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6C3C7C" w:rsidP="006C3C7C">
            <w:pPr>
              <w:pStyle w:val="BodyText"/>
            </w:pPr>
            <w:r w:rsidRPr="006C3C7C">
              <w:rPr>
                <w:rStyle w:val="SpecialBold"/>
              </w:rPr>
              <w:t>Load/unload truck, exchange and connect industrial gas cylinders</w:t>
            </w: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Workplace safety and environmental risk control measures, schedule of work and workplace procedures for carrying out work are followed</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Appropriate materials, tools and equipment are selected and used safely in accordance with manufacturer instr</w:t>
            </w:r>
            <w:r w:rsidRPr="006C3C7C">
              <w:t xml:space="preserve">uctions and workplace procedures </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Work is completed within agreed timeframe and to industry standards in accordance with job requirements and workplace procedures</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2.4</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Hazardous activities are conducted safely in accordance with regulatory requirements and workplace procedures</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2.5</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Truck is correctly positioned for the loading, unloading and exchanging of gas cylinders to ensure completion in agreed timeframes with a m</w:t>
            </w:r>
            <w:r w:rsidRPr="006C3C7C">
              <w:t xml:space="preserve">inimum of waste and to industry standards </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2.6</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Loading, applying cylinder load restraint, transporting, unloading, exchanging and connecting of gas cylinders is conducted in accordance with job instructions and workplace procedures</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2.7</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Gas connection</w:t>
            </w:r>
            <w:r w:rsidRPr="006C3C7C">
              <w:t xml:space="preserve"> between cylinder and gas installation is leak tested to ensure gas tightness</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2.8</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Faults and operational conditions of the components are identified, repaired or replaced, and reported in accordance with organisational job requirements</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2.9</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Unplanned events are referred to the relevant person/s for directions in accordance with workplace procedures</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6C3C7C" w:rsidP="006C3C7C">
            <w:pPr>
              <w:pStyle w:val="BodyText"/>
            </w:pPr>
            <w:r w:rsidRPr="006C3C7C">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6C3C7C" w:rsidP="006C3C7C">
            <w:pPr>
              <w:pStyle w:val="BodyText"/>
            </w:pPr>
            <w:r w:rsidRPr="006C3C7C">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Workplace safety risk control measures for work completion are followed</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 xml:space="preserve">Quality and safety </w:t>
            </w:r>
            <w:r w:rsidRPr="006C3C7C">
              <w:t>checks of the work are conducted in accordance with job requirements, workplace procedures and community and industry standards</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3.3</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 xml:space="preserve">Worksite is cleaned, reinstated, and made safe in accordance with workplace procedures </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3.4</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Tools, equipment, and any surplus resources/materials are cleaned, checked and securely stored in accordance with workplace procedures</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3.5</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Incidents are reported and followed up as required in accordance with workplace procedures</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3.6</w:t>
            </w:r>
          </w:p>
        </w:tc>
        <w:tc>
          <w:tcPr>
            <w:tcW w:w="5542"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t>Relevant person/</w:t>
            </w:r>
            <w:r w:rsidRPr="006C3C7C">
              <w:t>s is notified of work completion in accordance with workplace procedures</w:t>
            </w:r>
          </w:p>
        </w:tc>
      </w:tr>
      <w:tr w:rsidTr="006C3C7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6C3C7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C3C7C">
            <w:pPr>
              <w:pStyle w:val="BodyText"/>
              <w:rPr>
                <w:lang w:val="en-NZ"/>
              </w:rPr>
            </w:pPr>
            <w:r w:rsidRPr="006C3C7C">
              <w:rPr>
                <w:rStyle w:val="SpecialBold"/>
              </w:rPr>
              <w:t>3.7</w:t>
            </w:r>
          </w:p>
        </w:tc>
        <w:tc>
          <w:tcPr>
            <w:tcW w:w="5542" w:type="dxa"/>
            <w:tcBorders>
              <w:top w:val="nil"/>
              <w:left w:val="nil"/>
              <w:bottom w:val="nil"/>
              <w:right w:val="nil"/>
            </w:tcBorders>
            <w:tcMar>
              <w:top w:w="0" w:type="dxa"/>
              <w:left w:w="62" w:type="dxa"/>
              <w:bottom w:w="0" w:type="dxa"/>
              <w:right w:w="62" w:type="dxa"/>
            </w:tcMar>
          </w:tcPr>
          <w:p w:rsidR="00000000" w:rsidRPr="006C3C7C" w:rsidP="006C3C7C">
            <w:pPr>
              <w:pStyle w:val="BodyText"/>
            </w:pPr>
            <w:r w:rsidRPr="006C3C7C">
              <w:t>Delivery documentation and work completion documentation is completed accurately and provided to relevant person/s in accordance with workplace procedures</w:t>
            </w:r>
          </w:p>
        </w:tc>
      </w:tr>
    </w:tbl>
    <w:p w:rsidR="00000000" w:rsidRPr="006C3C7C" w:rsidP="006C3C7C">
      <w:pPr>
        <w:pStyle w:val="NoPaddingFontSize1"/>
      </w:pPr>
    </w:p>
    <w:p w:rsidR="00000000" w:rsidRPr="006C3C7C" w:rsidP="006C3C7C">
      <w:pPr>
        <w:pStyle w:val="AllowPageBreak"/>
      </w:pPr>
    </w:p>
    <w:p w:rsidR="00000000" w:rsidRPr="006C3C7C" w:rsidP="006C3C7C">
      <w:pPr>
        <w:pStyle w:val="Heading1"/>
      </w:pPr>
      <w:bookmarkStart w:id="7" w:name="O_1243840"/>
      <w:bookmarkEnd w:id="7"/>
      <w:r w:rsidRPr="006C3C7C">
        <w:t>Foundation Skills</w:t>
      </w:r>
    </w:p>
    <w:tbl>
      <w:tblPr>
        <w:tblW w:w="9497" w:type="dxa"/>
        <w:tblLayout w:type="fixed"/>
        <w:tblCellMar>
          <w:left w:w="62" w:type="dxa"/>
          <w:right w:w="62" w:type="dxa"/>
        </w:tblCellMar>
        <w:tblLook w:val="0000"/>
      </w:tblPr>
      <w:tblGrid>
        <w:gridCol w:w="9497"/>
      </w:tblGrid>
      <w:tr w:rsidTr="006C3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3C7C" w:rsidP="006C3C7C">
            <w:pPr>
              <w:pStyle w:val="BodyText"/>
            </w:pPr>
            <w:r w:rsidRPr="006C3C7C">
              <w:t>Foundation skills essential to performance are explicit in the performance criteria of this unit of competency.</w:t>
            </w:r>
          </w:p>
        </w:tc>
      </w:tr>
    </w:tbl>
    <w:p w:rsidR="00000000" w:rsidRPr="006C3C7C" w:rsidP="006C3C7C">
      <w:pPr>
        <w:pStyle w:val="NoPaddingFontSize1"/>
      </w:pPr>
    </w:p>
    <w:p w:rsidR="00000000" w:rsidRPr="006C3C7C" w:rsidP="006C3C7C">
      <w:pPr>
        <w:pStyle w:val="AllowPageBreak"/>
      </w:pPr>
    </w:p>
    <w:p w:rsidR="00000000" w:rsidRPr="006C3C7C" w:rsidP="006C3C7C">
      <w:pPr>
        <w:pStyle w:val="Heading1"/>
      </w:pPr>
      <w:bookmarkStart w:id="8" w:name="O_1243841"/>
      <w:bookmarkEnd w:id="8"/>
      <w:r w:rsidRPr="006C3C7C">
        <w:t>Range of Conditions</w:t>
      </w:r>
    </w:p>
    <w:tbl>
      <w:tblPr>
        <w:tblW w:w="9497" w:type="dxa"/>
        <w:tblLayout w:type="fixed"/>
        <w:tblCellMar>
          <w:left w:w="62" w:type="dxa"/>
          <w:right w:w="62" w:type="dxa"/>
        </w:tblCellMar>
        <w:tblLook w:val="0000"/>
      </w:tblPr>
      <w:tblGrid>
        <w:gridCol w:w="9497"/>
      </w:tblGrid>
      <w:tr w:rsidTr="006C3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3C7C" w:rsidP="006C3C7C">
            <w:pPr>
              <w:pStyle w:val="BodyText"/>
            </w:pPr>
            <w:r w:rsidRPr="006C3C7C">
              <w:t>Range is restricted to essential operating conditions and any other variables essential to the work environment.</w:t>
            </w:r>
          </w:p>
          <w:p w:rsidR="00000000" w:rsidRPr="006C3C7C" w:rsidP="006C3C7C">
            <w:pPr>
              <w:pStyle w:val="BodyText"/>
            </w:pPr>
            <w:r w:rsidRPr="006C3C7C">
              <w:t>Non-essential conditions may be found in the UEG Gas Industry Training Package Companion Volume Implementation Guide.</w:t>
            </w:r>
          </w:p>
        </w:tc>
      </w:tr>
    </w:tbl>
    <w:p w:rsidR="00000000" w:rsidRPr="006C3C7C" w:rsidP="006C3C7C">
      <w:pPr>
        <w:pStyle w:val="NoPaddingFontSize1"/>
      </w:pPr>
    </w:p>
    <w:p w:rsidR="00000000" w:rsidRPr="006C3C7C" w:rsidP="006C3C7C">
      <w:pPr>
        <w:pStyle w:val="AllowPageBreak"/>
      </w:pPr>
    </w:p>
    <w:p w:rsidR="00000000" w:rsidRPr="006C3C7C" w:rsidP="006C3C7C">
      <w:pPr>
        <w:pStyle w:val="Heading1"/>
      </w:pPr>
      <w:bookmarkStart w:id="9" w:name="O_1243842"/>
      <w:bookmarkEnd w:id="9"/>
      <w:r w:rsidRPr="006C3C7C">
        <w:t>Unit</w:t>
      </w:r>
      <w:r w:rsidRPr="006C3C7C">
        <w:t xml:space="preserve"> Mapping Information</w:t>
      </w:r>
    </w:p>
    <w:tbl>
      <w:tblPr>
        <w:tblW w:w="9497" w:type="dxa"/>
        <w:tblLayout w:type="fixed"/>
        <w:tblCellMar>
          <w:left w:w="62" w:type="dxa"/>
          <w:right w:w="62" w:type="dxa"/>
        </w:tblCellMar>
        <w:tblLook w:val="0000"/>
      </w:tblPr>
      <w:tblGrid>
        <w:gridCol w:w="9497"/>
      </w:tblGrid>
      <w:tr w:rsidTr="006C3C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3C7C" w:rsidP="006C3C7C">
            <w:pPr>
              <w:pStyle w:val="BodyText"/>
            </w:pPr>
            <w:r w:rsidRPr="006C3C7C">
              <w:t>This unit supersedes and is equivalent to UEGNSG614 Load, unload, exchange and connect LPG cylinders.</w:t>
            </w:r>
          </w:p>
        </w:tc>
      </w:tr>
    </w:tbl>
    <w:p w:rsidR="00000000" w:rsidRPr="006C3C7C" w:rsidP="006C3C7C">
      <w:pPr>
        <w:pStyle w:val="NoPaddingFontSize1"/>
      </w:pPr>
    </w:p>
    <w:p w:rsidR="00000000" w:rsidRPr="006C3C7C" w:rsidP="006C3C7C">
      <w:pPr>
        <w:pStyle w:val="AllowPageBreak"/>
      </w:pPr>
    </w:p>
    <w:p w:rsidR="00000000" w:rsidRPr="006C3C7C" w:rsidP="006C3C7C">
      <w:pPr>
        <w:pStyle w:val="Heading1"/>
      </w:pPr>
      <w:bookmarkStart w:id="10" w:name="O_1243849"/>
      <w:bookmarkEnd w:id="10"/>
      <w:r w:rsidRPr="006C3C7C">
        <w:t>Links</w:t>
      </w:r>
    </w:p>
    <w:p w:rsidR="00000000" w:rsidRPr="006C3C7C" w:rsidP="00443C3F">
      <w:pPr>
        <w:pStyle w:val="BodyText"/>
      </w:pPr>
      <w:r w:rsidRPr="006C3C7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1397A">
        <w:rPr>
          <w:rStyle w:val="Hyperlink"/>
        </w:rPr>
        <w:t>https://vetnet.gov.au/Pages/TrainingDocs.aspx?q=6a6c032e-ffcb-4f3d-8063-415efbd261e8</w:t>
      </w:r>
      <w:r>
        <w:fldChar w:fldCharType="end"/>
      </w:r>
    </w:p>
    <w:p w:rsidR="00000000" w:rsidRPr="006C3C7C" w:rsidP="006C3C7C"/>
    <w:sectPr w:rsidSect="006C3C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7C" w:rsidRPr="00443C3F" w:rsidP="00443C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3F" w:rsidP="006C3C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3C3F" w:rsidP="006C3C7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43C3F" w:rsidP="006C3C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3C7C" w:rsidRPr="00443C3F" w:rsidP="00443C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C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3F" w:rsidRPr="002D2AF8" w:rsidP="006C3C7C">
    <w:pPr>
      <w:pStyle w:val="Header"/>
      <w:framePr w:wrap="around"/>
    </w:pPr>
    <w:r>
      <w:fldChar w:fldCharType="begin"/>
    </w:r>
    <w:r>
      <w:instrText xml:space="preserve"> TITLE   \* MERGEFORMAT </w:instrText>
    </w:r>
    <w:r>
      <w:fldChar w:fldCharType="separate"/>
    </w:r>
    <w:r>
      <w:t>UEGNSG020 Load, unload, exchange and connect industrial gas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43C3F" w:rsidP="006C3C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C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3C7C"/>
    <w:pPr>
      <w:spacing w:before="360" w:after="60"/>
      <w:outlineLvl w:val="0"/>
    </w:pPr>
    <w:rPr>
      <w:sz w:val="32"/>
    </w:rPr>
  </w:style>
  <w:style w:type="paragraph" w:styleId="Heading2">
    <w:name w:val="heading 2"/>
    <w:basedOn w:val="HeadingBase"/>
    <w:next w:val="BodyText"/>
    <w:link w:val="Heading2Char"/>
    <w:qFormat/>
    <w:rsid w:val="006C3C7C"/>
    <w:pPr>
      <w:keepLines/>
      <w:spacing w:before="240" w:after="120"/>
      <w:outlineLvl w:val="1"/>
    </w:pPr>
    <w:rPr>
      <w:sz w:val="28"/>
      <w:szCs w:val="40"/>
    </w:rPr>
  </w:style>
  <w:style w:type="paragraph" w:styleId="Heading3">
    <w:name w:val="heading 3"/>
    <w:basedOn w:val="HeadingBase"/>
    <w:next w:val="BodyText"/>
    <w:link w:val="Heading3Char"/>
    <w:qFormat/>
    <w:rsid w:val="006C3C7C"/>
    <w:pPr>
      <w:spacing w:before="180" w:after="120"/>
      <w:outlineLvl w:val="2"/>
    </w:pPr>
    <w:rPr>
      <w:spacing w:val="-10"/>
      <w:kern w:val="32"/>
    </w:rPr>
  </w:style>
  <w:style w:type="paragraph" w:styleId="Heading4">
    <w:name w:val="heading 4"/>
    <w:basedOn w:val="HeadingBase"/>
    <w:next w:val="BodyText"/>
    <w:link w:val="Heading4Char"/>
    <w:qFormat/>
    <w:rsid w:val="006C3C7C"/>
    <w:pPr>
      <w:spacing w:before="160" w:after="120"/>
      <w:outlineLvl w:val="3"/>
    </w:pPr>
    <w:rPr>
      <w:sz w:val="22"/>
    </w:rPr>
  </w:style>
  <w:style w:type="paragraph" w:styleId="Heading5">
    <w:name w:val="heading 5"/>
    <w:basedOn w:val="HeadingBase"/>
    <w:next w:val="Normal"/>
    <w:link w:val="Heading5Char"/>
    <w:qFormat/>
    <w:rsid w:val="006C3C7C"/>
    <w:pPr>
      <w:spacing w:before="80"/>
      <w:outlineLvl w:val="4"/>
    </w:pPr>
    <w:rPr>
      <w:color w:val="918585"/>
      <w:sz w:val="20"/>
    </w:rPr>
  </w:style>
  <w:style w:type="paragraph" w:styleId="Heading6">
    <w:name w:val="heading 6"/>
    <w:basedOn w:val="HeadingBase"/>
    <w:next w:val="Normal"/>
    <w:link w:val="Heading6Char"/>
    <w:qFormat/>
    <w:rsid w:val="006C3C7C"/>
    <w:pPr>
      <w:spacing w:before="60"/>
      <w:outlineLvl w:val="5"/>
    </w:pPr>
    <w:rPr>
      <w:color w:val="918585"/>
      <w:sz w:val="20"/>
    </w:rPr>
  </w:style>
  <w:style w:type="paragraph" w:styleId="Heading7">
    <w:name w:val="heading 7"/>
    <w:basedOn w:val="Normal"/>
    <w:next w:val="Normal"/>
    <w:link w:val="Heading7Char"/>
    <w:qFormat/>
    <w:rsid w:val="006C3C7C"/>
    <w:pPr>
      <w:ind w:left="720"/>
      <w:outlineLvl w:val="6"/>
    </w:pPr>
    <w:rPr>
      <w:i/>
    </w:rPr>
  </w:style>
  <w:style w:type="paragraph" w:styleId="Heading8">
    <w:name w:val="heading 8"/>
    <w:basedOn w:val="Normal"/>
    <w:next w:val="Normal"/>
    <w:link w:val="Heading8Char"/>
    <w:qFormat/>
    <w:rsid w:val="006C3C7C"/>
    <w:pPr>
      <w:ind w:left="720"/>
      <w:outlineLvl w:val="7"/>
    </w:pPr>
    <w:rPr>
      <w:i/>
    </w:rPr>
  </w:style>
  <w:style w:type="paragraph" w:styleId="Heading9">
    <w:name w:val="heading 9"/>
    <w:basedOn w:val="Normal"/>
    <w:next w:val="Normal"/>
    <w:link w:val="Heading9Char"/>
    <w:qFormat/>
    <w:rsid w:val="006C3C7C"/>
    <w:pPr>
      <w:ind w:left="720"/>
      <w:outlineLvl w:val="8"/>
    </w:pPr>
    <w:rPr>
      <w:i/>
    </w:rPr>
  </w:style>
  <w:style w:type="character" w:default="1" w:styleId="DefaultParagraphFont">
    <w:name w:val="Default Paragraph Font"/>
    <w:uiPriority w:val="1"/>
    <w:unhideWhenUsed/>
    <w:rsid w:val="006C3C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C7C"/>
  </w:style>
  <w:style w:type="character" w:customStyle="1" w:styleId="Heading1Char">
    <w:name w:val="Heading 1 Char"/>
    <w:basedOn w:val="DefaultParagraphFont"/>
    <w:link w:val="Heading1"/>
    <w:rsid w:val="006C3C7C"/>
    <w:rPr>
      <w:rFonts w:ascii="Times New Roman" w:eastAsia="Times New Roman" w:hAnsi="Times New Roman" w:cs="Times New Roman"/>
      <w:b/>
      <w:sz w:val="32"/>
      <w:szCs w:val="20"/>
      <w:lang w:eastAsia="en-US"/>
    </w:rPr>
  </w:style>
  <w:style w:type="paragraph" w:styleId="BodyText">
    <w:name w:val="Body Text"/>
    <w:basedOn w:val="Normal"/>
    <w:link w:val="BodyTextChar"/>
    <w:rsid w:val="006C3C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3C7C"/>
    <w:rPr>
      <w:rFonts w:ascii="Times New Roman" w:eastAsia="Times New Roman" w:hAnsi="Times New Roman" w:cs="Times New Roman"/>
      <w:sz w:val="24"/>
      <w:lang w:eastAsia="en-US"/>
    </w:rPr>
  </w:style>
  <w:style w:type="character" w:customStyle="1" w:styleId="SpecialBold">
    <w:name w:val="Special Bold"/>
    <w:basedOn w:val="DefaultParagraphFont"/>
    <w:rsid w:val="006C3C7C"/>
    <w:rPr>
      <w:b/>
      <w:spacing w:val="0"/>
    </w:rPr>
  </w:style>
  <w:style w:type="paragraph" w:customStyle="1" w:styleId="SuperHeading">
    <w:name w:val="SuperHeading"/>
    <w:basedOn w:val="Normal"/>
    <w:rsid w:val="006C3C7C"/>
    <w:pPr>
      <w:spacing w:before="240" w:after="120"/>
      <w:outlineLvl w:val="0"/>
    </w:pPr>
    <w:rPr>
      <w:rFonts w:ascii="Times New Roman" w:hAnsi="Times New Roman"/>
      <w:b/>
      <w:sz w:val="32"/>
    </w:rPr>
  </w:style>
  <w:style w:type="paragraph" w:customStyle="1" w:styleId="AllowPageBreak">
    <w:name w:val="AllowPageBreak"/>
    <w:rsid w:val="006C3C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3C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C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C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C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C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C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3C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3C7C"/>
    <w:rPr>
      <w:rFonts w:ascii="Courier New" w:eastAsia="Times New Roman" w:hAnsi="Courier New" w:cs="Times New Roman"/>
      <w:i/>
      <w:szCs w:val="20"/>
      <w:lang w:eastAsia="en-US"/>
    </w:rPr>
  </w:style>
  <w:style w:type="paragraph" w:customStyle="1" w:styleId="HeadingBase">
    <w:name w:val="Heading Base"/>
    <w:rsid w:val="006C3C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C7C"/>
    <w:pPr>
      <w:tabs>
        <w:tab w:val="right" w:leader="dot" w:pos="9072"/>
      </w:tabs>
      <w:ind w:left="567"/>
    </w:pPr>
    <w:rPr>
      <w:szCs w:val="22"/>
    </w:rPr>
  </w:style>
  <w:style w:type="paragraph" w:customStyle="1" w:styleId="TOCBase">
    <w:name w:val="TOC Base"/>
    <w:rsid w:val="006C3C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C7C"/>
    <w:pPr>
      <w:tabs>
        <w:tab w:val="right" w:leader="dot" w:pos="9072"/>
      </w:tabs>
      <w:spacing w:before="40" w:after="40"/>
      <w:ind w:left="284"/>
    </w:pPr>
    <w:rPr>
      <w:rFonts w:ascii="Times New Roman" w:hAnsi="Times New Roman"/>
    </w:rPr>
  </w:style>
  <w:style w:type="paragraph" w:styleId="TOC1">
    <w:name w:val="toc 1"/>
    <w:basedOn w:val="TOCBase"/>
    <w:next w:val="Normal"/>
    <w:rsid w:val="006C3C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3C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C7C"/>
    <w:rPr>
      <w:rFonts w:ascii="Times New Roman" w:eastAsia="Times New Roman" w:hAnsi="Times New Roman" w:cs="Times New Roman"/>
      <w:sz w:val="16"/>
      <w:lang w:eastAsia="en-US"/>
    </w:rPr>
  </w:style>
  <w:style w:type="paragraph" w:styleId="Title">
    <w:name w:val="Title"/>
    <w:basedOn w:val="HeadingBase"/>
    <w:link w:val="TitleChar"/>
    <w:qFormat/>
    <w:rsid w:val="006C3C7C"/>
    <w:pPr>
      <w:spacing w:before="5040"/>
      <w:jc w:val="center"/>
    </w:pPr>
    <w:rPr>
      <w:sz w:val="48"/>
      <w:szCs w:val="72"/>
      <w:lang w:val="en-US"/>
    </w:rPr>
  </w:style>
  <w:style w:type="character" w:customStyle="1" w:styleId="TitleChar">
    <w:name w:val="Title Char"/>
    <w:basedOn w:val="DefaultParagraphFont"/>
    <w:link w:val="Title"/>
    <w:rsid w:val="006C3C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C7C"/>
    <w:pPr>
      <w:tabs>
        <w:tab w:val="left" w:pos="3600"/>
        <w:tab w:val="left" w:pos="3958"/>
      </w:tabs>
    </w:pPr>
  </w:style>
  <w:style w:type="paragraph" w:styleId="List">
    <w:name w:val="List"/>
    <w:basedOn w:val="BodyText"/>
    <w:next w:val="BodyText"/>
    <w:rsid w:val="006C3C7C"/>
    <w:pPr>
      <w:tabs>
        <w:tab w:val="left" w:pos="340"/>
      </w:tabs>
      <w:spacing w:before="60" w:after="60"/>
      <w:ind w:left="340" w:hanging="340"/>
    </w:pPr>
  </w:style>
  <w:style w:type="paragraph" w:styleId="ListBullet">
    <w:name w:val="List Bullet"/>
    <w:basedOn w:val="List"/>
    <w:rsid w:val="006C3C7C"/>
    <w:pPr>
      <w:numPr>
        <w:numId w:val="10"/>
      </w:numPr>
      <w:tabs>
        <w:tab w:val="clear" w:pos="340"/>
      </w:tabs>
      <w:spacing w:before="40" w:after="40"/>
    </w:pPr>
  </w:style>
  <w:style w:type="paragraph" w:customStyle="1" w:styleId="Note">
    <w:name w:val="Note"/>
    <w:basedOn w:val="BodyText"/>
    <w:rsid w:val="006C3C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C7C"/>
    <w:pPr>
      <w:framePr w:wrap="auto" w:hAnchor="text" w:y="6049"/>
    </w:pPr>
    <w:rPr>
      <w:color w:val="000000"/>
      <w:sz w:val="40"/>
    </w:rPr>
  </w:style>
  <w:style w:type="paragraph" w:customStyle="1" w:styleId="TOCTitle">
    <w:name w:val="TOCTitle"/>
    <w:basedOn w:val="Heading1"/>
    <w:rsid w:val="006C3C7C"/>
    <w:pPr>
      <w:spacing w:after="240"/>
      <w:jc w:val="center"/>
      <w:outlineLvl w:val="9"/>
    </w:pPr>
    <w:rPr>
      <w:caps/>
    </w:rPr>
  </w:style>
  <w:style w:type="paragraph" w:customStyle="1" w:styleId="Version">
    <w:name w:val="Version"/>
    <w:rsid w:val="006C3C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3C7C"/>
    <w:pPr>
      <w:numPr>
        <w:numId w:val="11"/>
      </w:numPr>
      <w:tabs>
        <w:tab w:val="clear" w:pos="680"/>
      </w:tabs>
    </w:pPr>
  </w:style>
  <w:style w:type="paragraph" w:styleId="Index1">
    <w:name w:val="index 1"/>
    <w:basedOn w:val="Normal"/>
    <w:next w:val="Normal"/>
    <w:semiHidden/>
    <w:rsid w:val="006C3C7C"/>
    <w:pPr>
      <w:keepNext w:val="0"/>
      <w:tabs>
        <w:tab w:val="right" w:pos="4176"/>
      </w:tabs>
      <w:ind w:left="198" w:hanging="198"/>
    </w:pPr>
    <w:rPr>
      <w:rFonts w:ascii="Garamond" w:hAnsi="Garamond"/>
    </w:rPr>
  </w:style>
  <w:style w:type="paragraph" w:styleId="IndexHeading">
    <w:name w:val="index heading"/>
    <w:basedOn w:val="Normal"/>
    <w:next w:val="Index1"/>
    <w:semiHidden/>
    <w:rsid w:val="006C3C7C"/>
    <w:pPr>
      <w:spacing w:before="120" w:after="120"/>
    </w:pPr>
    <w:rPr>
      <w:rFonts w:ascii="Arial" w:hAnsi="Arial"/>
      <w:b/>
      <w:color w:val="918585"/>
      <w:sz w:val="24"/>
    </w:rPr>
  </w:style>
  <w:style w:type="paragraph" w:styleId="Header">
    <w:name w:val="header"/>
    <w:basedOn w:val="Normal"/>
    <w:link w:val="HeaderChar"/>
    <w:rsid w:val="006C3C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C7C"/>
    <w:rPr>
      <w:rFonts w:ascii="Times New Roman" w:eastAsia="Times New Roman" w:hAnsi="Times New Roman" w:cs="Times New Roman"/>
      <w:sz w:val="16"/>
      <w:szCs w:val="20"/>
      <w:lang w:val="en-GB" w:eastAsia="en-US"/>
    </w:rPr>
  </w:style>
  <w:style w:type="paragraph" w:customStyle="1" w:styleId="Chapter">
    <w:name w:val="Chapter"/>
    <w:basedOn w:val="Normal"/>
    <w:rsid w:val="006C3C7C"/>
    <w:pPr>
      <w:spacing w:before="240"/>
    </w:pPr>
    <w:rPr>
      <w:rFonts w:ascii="Times New Roman" w:hAnsi="Times New Roman"/>
      <w:smallCaps/>
      <w:spacing w:val="80"/>
      <w:sz w:val="28"/>
    </w:rPr>
  </w:style>
  <w:style w:type="paragraph" w:customStyle="1" w:styleId="InChapter">
    <w:name w:val="InChapter"/>
    <w:basedOn w:val="Heading3"/>
    <w:rsid w:val="006C3C7C"/>
    <w:pPr>
      <w:spacing w:after="240"/>
      <w:outlineLvl w:val="9"/>
    </w:pPr>
    <w:rPr>
      <w:noProof/>
    </w:rPr>
  </w:style>
  <w:style w:type="paragraph" w:styleId="Index2">
    <w:name w:val="index 2"/>
    <w:basedOn w:val="Normal"/>
    <w:next w:val="Normal"/>
    <w:semiHidden/>
    <w:rsid w:val="006C3C7C"/>
    <w:pPr>
      <w:tabs>
        <w:tab w:val="right" w:pos="4176"/>
      </w:tabs>
      <w:ind w:left="568" w:hanging="284"/>
    </w:pPr>
    <w:rPr>
      <w:rFonts w:ascii="Garamond" w:hAnsi="Garamond"/>
    </w:rPr>
  </w:style>
  <w:style w:type="paragraph" w:customStyle="1" w:styleId="Byline">
    <w:name w:val="Byline"/>
    <w:rsid w:val="006C3C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C7C"/>
    <w:pPr>
      <w:tabs>
        <w:tab w:val="clear" w:pos="3600"/>
        <w:tab w:val="clear" w:pos="3958"/>
      </w:tabs>
      <w:jc w:val="right"/>
    </w:pPr>
  </w:style>
  <w:style w:type="character" w:styleId="Emphasis">
    <w:name w:val="Emphasis"/>
    <w:basedOn w:val="DefaultParagraphFont"/>
    <w:qFormat/>
    <w:rsid w:val="006C3C7C"/>
    <w:rPr>
      <w:i/>
    </w:rPr>
  </w:style>
  <w:style w:type="paragraph" w:styleId="Caption">
    <w:name w:val="caption"/>
    <w:basedOn w:val="BodyText"/>
    <w:next w:val="Normal"/>
    <w:qFormat/>
    <w:rsid w:val="006C3C7C"/>
    <w:pPr>
      <w:framePr w:w="2268" w:hSpace="181" w:vSpace="181" w:wrap="around" w:vAnchor="text" w:hAnchor="page" w:x="1135" w:y="285" w:anchorLock="1"/>
    </w:pPr>
    <w:rPr>
      <w:i/>
    </w:rPr>
  </w:style>
  <w:style w:type="paragraph" w:customStyle="1" w:styleId="MiniTOCTitle">
    <w:name w:val="MiniTOCTitle"/>
    <w:basedOn w:val="Heading4"/>
    <w:rsid w:val="006C3C7C"/>
    <w:pPr>
      <w:spacing w:before="240"/>
      <w:outlineLvl w:val="9"/>
    </w:pPr>
    <w:rPr>
      <w:noProof/>
      <w:sz w:val="24"/>
    </w:rPr>
  </w:style>
  <w:style w:type="paragraph" w:customStyle="1" w:styleId="MiniTOCItem">
    <w:name w:val="MiniTOCItem"/>
    <w:basedOn w:val="ListBullet"/>
    <w:rsid w:val="006C3C7C"/>
    <w:pPr>
      <w:numPr>
        <w:numId w:val="0"/>
      </w:numPr>
      <w:tabs>
        <w:tab w:val="right" w:leader="dot" w:pos="6521"/>
      </w:tabs>
      <w:spacing w:before="0" w:after="0"/>
    </w:pPr>
  </w:style>
  <w:style w:type="paragraph" w:customStyle="1" w:styleId="TOFTitle">
    <w:name w:val="TOFTitle"/>
    <w:basedOn w:val="TOCTitle"/>
    <w:rsid w:val="006C3C7C"/>
  </w:style>
  <w:style w:type="paragraph" w:styleId="TableofFigures">
    <w:name w:val="table of figures"/>
    <w:basedOn w:val="Normal"/>
    <w:next w:val="Normal"/>
    <w:semiHidden/>
    <w:rsid w:val="006C3C7C"/>
    <w:pPr>
      <w:tabs>
        <w:tab w:val="right" w:leader="dot" w:pos="9072"/>
      </w:tabs>
      <w:ind w:left="970" w:hanging="403"/>
    </w:pPr>
    <w:rPr>
      <w:rFonts w:ascii="Times New Roman" w:hAnsi="Times New Roman"/>
      <w:b/>
    </w:rPr>
  </w:style>
  <w:style w:type="paragraph" w:styleId="ListNumber">
    <w:name w:val="List Number"/>
    <w:basedOn w:val="List"/>
    <w:rsid w:val="006C3C7C"/>
    <w:pPr>
      <w:numPr>
        <w:numId w:val="13"/>
      </w:numPr>
      <w:tabs>
        <w:tab w:val="clear" w:pos="340"/>
      </w:tabs>
    </w:pPr>
  </w:style>
  <w:style w:type="character" w:customStyle="1" w:styleId="WingdingSymbols">
    <w:name w:val="Wingding Symbols"/>
    <w:rsid w:val="006C3C7C"/>
    <w:rPr>
      <w:rFonts w:ascii="Wingdings" w:hAnsi="Wingdings"/>
    </w:rPr>
  </w:style>
  <w:style w:type="paragraph" w:customStyle="1" w:styleId="TableHeading">
    <w:name w:val="Table Heading"/>
    <w:basedOn w:val="HeadingBase"/>
    <w:rsid w:val="006C3C7C"/>
    <w:pPr>
      <w:keepLines/>
      <w:pBdr>
        <w:bottom w:val="single" w:sz="6" w:space="1" w:color="918585"/>
      </w:pBdr>
      <w:spacing w:before="240"/>
    </w:pPr>
  </w:style>
  <w:style w:type="character" w:customStyle="1" w:styleId="HotSpot">
    <w:name w:val="HotSpot"/>
    <w:rsid w:val="006C3C7C"/>
    <w:rPr>
      <w:color w:val="0033CC"/>
      <w:u w:val="none"/>
    </w:rPr>
  </w:style>
  <w:style w:type="paragraph" w:customStyle="1" w:styleId="BodyTextRight">
    <w:name w:val="Body Text Right"/>
    <w:basedOn w:val="BodyText"/>
    <w:rsid w:val="006C3C7C"/>
    <w:pPr>
      <w:spacing w:before="0" w:after="0"/>
      <w:jc w:val="right"/>
    </w:pPr>
  </w:style>
  <w:style w:type="paragraph" w:styleId="Index3">
    <w:name w:val="index 3"/>
    <w:basedOn w:val="ListNumber2"/>
    <w:next w:val="Normal"/>
    <w:semiHidden/>
    <w:rsid w:val="006C3C7C"/>
    <w:pPr>
      <w:numPr>
        <w:numId w:val="0"/>
      </w:numPr>
      <w:tabs>
        <w:tab w:val="right" w:leader="dot" w:pos="4176"/>
      </w:tabs>
    </w:pPr>
  </w:style>
  <w:style w:type="paragraph" w:styleId="ListNumber2">
    <w:name w:val="List Number 2"/>
    <w:basedOn w:val="List2"/>
    <w:rsid w:val="006C3C7C"/>
    <w:pPr>
      <w:numPr>
        <w:numId w:val="8"/>
      </w:numPr>
      <w:tabs>
        <w:tab w:val="clear" w:pos="1060"/>
      </w:tabs>
    </w:pPr>
  </w:style>
  <w:style w:type="paragraph" w:customStyle="1" w:styleId="MarginNote">
    <w:name w:val="Margin Note"/>
    <w:basedOn w:val="BodyText"/>
    <w:rsid w:val="006C3C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C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C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3C7C"/>
    <w:rPr>
      <w:sz w:val="32"/>
    </w:rPr>
  </w:style>
  <w:style w:type="paragraph" w:customStyle="1" w:styleId="HeadingProcedure">
    <w:name w:val="Heading Procedure"/>
    <w:basedOn w:val="HeadingBase"/>
    <w:next w:val="Normal"/>
    <w:rsid w:val="006C3C7C"/>
    <w:pPr>
      <w:tabs>
        <w:tab w:val="left" w:pos="0"/>
      </w:tabs>
      <w:spacing w:before="120" w:after="60"/>
    </w:pPr>
    <w:rPr>
      <w:i/>
      <w:color w:val="918585"/>
      <w:sz w:val="22"/>
    </w:rPr>
  </w:style>
  <w:style w:type="paragraph" w:customStyle="1" w:styleId="TableBodyText">
    <w:name w:val="Table Body Text"/>
    <w:basedOn w:val="BodyText"/>
    <w:rsid w:val="006C3C7C"/>
    <w:pPr>
      <w:spacing w:before="60" w:after="60"/>
    </w:pPr>
  </w:style>
  <w:style w:type="paragraph" w:styleId="ListContinue">
    <w:name w:val="List Continue"/>
    <w:basedOn w:val="List"/>
    <w:rsid w:val="006C3C7C"/>
    <w:pPr>
      <w:ind w:firstLine="0"/>
    </w:pPr>
  </w:style>
  <w:style w:type="paragraph" w:customStyle="1" w:styleId="ListNote">
    <w:name w:val="List Note"/>
    <w:basedOn w:val="List"/>
    <w:rsid w:val="006C3C7C"/>
    <w:pPr>
      <w:pBdr>
        <w:top w:val="single" w:sz="6" w:space="2" w:color="918585"/>
        <w:bottom w:val="single" w:sz="6" w:space="2" w:color="918585"/>
      </w:pBdr>
      <w:tabs>
        <w:tab w:val="left" w:pos="1021"/>
      </w:tabs>
      <w:ind w:firstLine="0"/>
    </w:pPr>
  </w:style>
  <w:style w:type="paragraph" w:customStyle="1" w:styleId="Warning">
    <w:name w:val="Warning"/>
    <w:basedOn w:val="BodyText"/>
    <w:rsid w:val="006C3C7C"/>
    <w:pPr>
      <w:shd w:val="clear" w:color="auto" w:fill="D9D9D9"/>
      <w:tabs>
        <w:tab w:val="left" w:pos="992"/>
      </w:tabs>
      <w:ind w:left="119" w:right="119"/>
    </w:pPr>
    <w:rPr>
      <w:sz w:val="20"/>
    </w:rPr>
  </w:style>
  <w:style w:type="paragraph" w:customStyle="1" w:styleId="MarginIcons">
    <w:name w:val="Margin Icons"/>
    <w:basedOn w:val="BodyText"/>
    <w:rsid w:val="006C3C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C7C"/>
    <w:rPr>
      <w:rFonts w:ascii="Courier New" w:hAnsi="Courier New"/>
    </w:rPr>
  </w:style>
  <w:style w:type="paragraph" w:customStyle="1" w:styleId="NoteBullet">
    <w:name w:val="Note Bullet"/>
    <w:basedOn w:val="Note"/>
    <w:rsid w:val="006C3C7C"/>
    <w:pPr>
      <w:tabs>
        <w:tab w:val="clear" w:pos="680"/>
      </w:tabs>
      <w:spacing w:before="60" w:after="60"/>
    </w:pPr>
  </w:style>
  <w:style w:type="paragraph" w:customStyle="1" w:styleId="SubHeading2">
    <w:name w:val="SubHeading2"/>
    <w:basedOn w:val="HeadingBase"/>
    <w:rsid w:val="006C3C7C"/>
    <w:pPr>
      <w:spacing w:before="240" w:after="60"/>
    </w:pPr>
    <w:rPr>
      <w:sz w:val="20"/>
    </w:rPr>
  </w:style>
  <w:style w:type="paragraph" w:customStyle="1" w:styleId="SubHeading1">
    <w:name w:val="SubHeading1"/>
    <w:basedOn w:val="HeadingBase"/>
    <w:rsid w:val="006C3C7C"/>
    <w:pPr>
      <w:spacing w:before="240" w:after="60"/>
    </w:pPr>
    <w:rPr>
      <w:color w:val="918585"/>
      <w:sz w:val="22"/>
    </w:rPr>
  </w:style>
  <w:style w:type="paragraph" w:customStyle="1" w:styleId="SideHeading">
    <w:name w:val="Side Heading"/>
    <w:basedOn w:val="HeadingBase"/>
    <w:rsid w:val="006C3C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C7C"/>
    <w:pPr>
      <w:numPr>
        <w:numId w:val="9"/>
      </w:numPr>
    </w:pPr>
  </w:style>
  <w:style w:type="paragraph" w:styleId="PlainText">
    <w:name w:val="Plain Text"/>
    <w:basedOn w:val="Normal"/>
    <w:link w:val="PlainTextChar"/>
    <w:rsid w:val="006C3C7C"/>
    <w:rPr>
      <w:sz w:val="20"/>
    </w:rPr>
  </w:style>
  <w:style w:type="character" w:customStyle="1" w:styleId="PlainTextChar">
    <w:name w:val="Plain Text Char"/>
    <w:basedOn w:val="DefaultParagraphFont"/>
    <w:link w:val="PlainText"/>
    <w:rsid w:val="006C3C7C"/>
    <w:rPr>
      <w:rFonts w:ascii="Courier New" w:eastAsia="Times New Roman" w:hAnsi="Courier New" w:cs="Times New Roman"/>
      <w:sz w:val="20"/>
      <w:szCs w:val="20"/>
      <w:lang w:eastAsia="en-US"/>
    </w:rPr>
  </w:style>
  <w:style w:type="character" w:customStyle="1" w:styleId="MenuOption">
    <w:name w:val="Menu Option"/>
    <w:basedOn w:val="DefaultParagraphFont"/>
    <w:rsid w:val="006C3C7C"/>
    <w:rPr>
      <w:b/>
      <w:smallCaps/>
    </w:rPr>
  </w:style>
  <w:style w:type="paragraph" w:customStyle="1" w:styleId="TableListNumber">
    <w:name w:val="Table List Number"/>
    <w:basedOn w:val="ListNumber"/>
    <w:rsid w:val="006C3C7C"/>
    <w:pPr>
      <w:numPr>
        <w:numId w:val="0"/>
      </w:numPr>
    </w:pPr>
  </w:style>
  <w:style w:type="paragraph" w:styleId="TOC4">
    <w:name w:val="toc 4"/>
    <w:basedOn w:val="TOCBase"/>
    <w:next w:val="Normal"/>
    <w:semiHidden/>
    <w:rsid w:val="006C3C7C"/>
    <w:pPr>
      <w:tabs>
        <w:tab w:val="right" w:leader="dot" w:pos="9071"/>
      </w:tabs>
      <w:ind w:left="1701"/>
    </w:pPr>
  </w:style>
  <w:style w:type="paragraph" w:customStyle="1" w:styleId="ListAlpha">
    <w:name w:val="List Alpha"/>
    <w:basedOn w:val="List"/>
    <w:rsid w:val="006C3C7C"/>
    <w:pPr>
      <w:numPr>
        <w:numId w:val="7"/>
      </w:numPr>
    </w:pPr>
  </w:style>
  <w:style w:type="paragraph" w:customStyle="1" w:styleId="ListAlpha2">
    <w:name w:val="List Alpha 2"/>
    <w:basedOn w:val="List2"/>
    <w:rsid w:val="006C3C7C"/>
    <w:pPr>
      <w:numPr>
        <w:numId w:val="6"/>
      </w:numPr>
    </w:pPr>
  </w:style>
  <w:style w:type="paragraph" w:styleId="List2">
    <w:name w:val="List 2"/>
    <w:basedOn w:val="BodyText"/>
    <w:rsid w:val="006C3C7C"/>
    <w:pPr>
      <w:tabs>
        <w:tab w:val="left" w:pos="680"/>
      </w:tabs>
      <w:spacing w:before="60" w:after="60"/>
      <w:ind w:left="680" w:hanging="340"/>
    </w:pPr>
  </w:style>
  <w:style w:type="paragraph" w:styleId="List3">
    <w:name w:val="List 3"/>
    <w:basedOn w:val="BodyText"/>
    <w:rsid w:val="006C3C7C"/>
    <w:pPr>
      <w:tabs>
        <w:tab w:val="left" w:pos="1021"/>
      </w:tabs>
      <w:spacing w:before="60" w:after="60"/>
      <w:ind w:left="1020" w:hanging="340"/>
    </w:pPr>
  </w:style>
  <w:style w:type="paragraph" w:styleId="List4">
    <w:name w:val="List 4"/>
    <w:basedOn w:val="BodyText"/>
    <w:rsid w:val="006C3C7C"/>
    <w:pPr>
      <w:tabs>
        <w:tab w:val="left" w:pos="1361"/>
      </w:tabs>
      <w:spacing w:before="60" w:after="60"/>
      <w:ind w:left="1361" w:hanging="340"/>
    </w:pPr>
  </w:style>
  <w:style w:type="paragraph" w:styleId="List5">
    <w:name w:val="List 5"/>
    <w:basedOn w:val="BodyText"/>
    <w:rsid w:val="006C3C7C"/>
    <w:pPr>
      <w:tabs>
        <w:tab w:val="left" w:pos="1701"/>
      </w:tabs>
      <w:spacing w:before="60" w:after="60"/>
      <w:ind w:left="1701" w:hanging="340"/>
    </w:pPr>
  </w:style>
  <w:style w:type="paragraph" w:styleId="ListBullet3">
    <w:name w:val="List Bullet 3"/>
    <w:basedOn w:val="List3"/>
    <w:rsid w:val="006C3C7C"/>
    <w:pPr>
      <w:numPr>
        <w:numId w:val="12"/>
      </w:numPr>
      <w:tabs>
        <w:tab w:val="clear" w:pos="1021"/>
      </w:tabs>
      <w:ind w:left="1037" w:hanging="357"/>
    </w:pPr>
  </w:style>
  <w:style w:type="paragraph" w:styleId="ListBullet4">
    <w:name w:val="List Bullet 4"/>
    <w:basedOn w:val="List4"/>
    <w:rsid w:val="006C3C7C"/>
    <w:pPr>
      <w:numPr>
        <w:numId w:val="1"/>
      </w:numPr>
      <w:tabs>
        <w:tab w:val="clear" w:pos="1361"/>
      </w:tabs>
    </w:pPr>
  </w:style>
  <w:style w:type="paragraph" w:styleId="ListBullet5">
    <w:name w:val="List Bullet 5"/>
    <w:basedOn w:val="List5"/>
    <w:rsid w:val="006C3C7C"/>
    <w:pPr>
      <w:numPr>
        <w:numId w:val="2"/>
      </w:numPr>
    </w:pPr>
  </w:style>
  <w:style w:type="paragraph" w:styleId="ListContinue2">
    <w:name w:val="List Continue 2"/>
    <w:basedOn w:val="List2"/>
    <w:rsid w:val="006C3C7C"/>
    <w:pPr>
      <w:ind w:firstLine="0"/>
    </w:pPr>
  </w:style>
  <w:style w:type="paragraph" w:styleId="ListContinue3">
    <w:name w:val="List Continue 3"/>
    <w:basedOn w:val="List3"/>
    <w:rsid w:val="006C3C7C"/>
    <w:pPr>
      <w:ind w:left="1021" w:firstLine="0"/>
    </w:pPr>
  </w:style>
  <w:style w:type="paragraph" w:styleId="ListContinue4">
    <w:name w:val="List Continue 4"/>
    <w:basedOn w:val="List4"/>
    <w:rsid w:val="006C3C7C"/>
    <w:pPr>
      <w:ind w:firstLine="0"/>
    </w:pPr>
  </w:style>
  <w:style w:type="paragraph" w:styleId="ListContinue5">
    <w:name w:val="List Continue 5"/>
    <w:basedOn w:val="List5"/>
    <w:rsid w:val="006C3C7C"/>
    <w:pPr>
      <w:ind w:firstLine="0"/>
    </w:pPr>
  </w:style>
  <w:style w:type="paragraph" w:styleId="ListNumber3">
    <w:name w:val="List Number 3"/>
    <w:basedOn w:val="List3"/>
    <w:rsid w:val="006C3C7C"/>
    <w:pPr>
      <w:numPr>
        <w:numId w:val="3"/>
      </w:numPr>
    </w:pPr>
  </w:style>
  <w:style w:type="paragraph" w:styleId="ListNumber4">
    <w:name w:val="List Number 4"/>
    <w:basedOn w:val="List4"/>
    <w:rsid w:val="006C3C7C"/>
    <w:pPr>
      <w:numPr>
        <w:numId w:val="4"/>
      </w:numPr>
    </w:pPr>
  </w:style>
  <w:style w:type="paragraph" w:styleId="ListNumber5">
    <w:name w:val="List Number 5"/>
    <w:basedOn w:val="List5"/>
    <w:rsid w:val="006C3C7C"/>
    <w:pPr>
      <w:numPr>
        <w:numId w:val="5"/>
      </w:numPr>
    </w:pPr>
  </w:style>
  <w:style w:type="paragraph" w:styleId="BlockText">
    <w:name w:val="Block Text"/>
    <w:basedOn w:val="Normal"/>
    <w:rsid w:val="006C3C7C"/>
    <w:pPr>
      <w:spacing w:after="120"/>
      <w:ind w:left="1440" w:right="1440"/>
    </w:pPr>
  </w:style>
  <w:style w:type="character" w:customStyle="1" w:styleId="Subscript">
    <w:name w:val="Subscript"/>
    <w:basedOn w:val="DefaultParagraphFont"/>
    <w:rsid w:val="006C3C7C"/>
    <w:rPr>
      <w:sz w:val="16"/>
      <w:vertAlign w:val="subscript"/>
    </w:rPr>
  </w:style>
  <w:style w:type="character" w:customStyle="1" w:styleId="Superscript">
    <w:name w:val="Superscript"/>
    <w:basedOn w:val="DefaultParagraphFont"/>
    <w:rsid w:val="006C3C7C"/>
    <w:rPr>
      <w:sz w:val="16"/>
      <w:vertAlign w:val="superscript"/>
    </w:rPr>
  </w:style>
  <w:style w:type="character" w:customStyle="1" w:styleId="Symbols">
    <w:name w:val="Symbols"/>
    <w:basedOn w:val="DefaultParagraphFont"/>
    <w:rsid w:val="006C3C7C"/>
    <w:rPr>
      <w:rFonts w:ascii="Symbol" w:hAnsi="Symbol"/>
    </w:rPr>
  </w:style>
  <w:style w:type="character" w:customStyle="1" w:styleId="MenuOptions">
    <w:name w:val="Menu Options"/>
    <w:basedOn w:val="DefaultParagraphFont"/>
    <w:rsid w:val="006C3C7C"/>
    <w:rPr>
      <w:rFonts w:ascii="Arial Narrow" w:hAnsi="Arial Narrow"/>
      <w:smallCaps/>
    </w:rPr>
  </w:style>
  <w:style w:type="character" w:customStyle="1" w:styleId="Buttons">
    <w:name w:val="Buttons"/>
    <w:basedOn w:val="DefaultParagraphFont"/>
    <w:rsid w:val="006C3C7C"/>
    <w:rPr>
      <w:b/>
    </w:rPr>
  </w:style>
  <w:style w:type="character" w:customStyle="1" w:styleId="Underlined">
    <w:name w:val="Underlined"/>
    <w:basedOn w:val="DefaultParagraphFont"/>
    <w:rsid w:val="006C3C7C"/>
    <w:rPr>
      <w:u w:val="single"/>
    </w:rPr>
  </w:style>
  <w:style w:type="paragraph" w:customStyle="1" w:styleId="TableBodyTextRight">
    <w:name w:val="Table Body Text Right"/>
    <w:basedOn w:val="TableBodyText"/>
    <w:rsid w:val="006C3C7C"/>
    <w:pPr>
      <w:widowControl w:val="0"/>
      <w:autoSpaceDE w:val="0"/>
      <w:autoSpaceDN w:val="0"/>
      <w:adjustRightInd w:val="0"/>
      <w:jc w:val="right"/>
    </w:pPr>
    <w:rPr>
      <w:rFonts w:cs="Arial"/>
      <w:szCs w:val="18"/>
    </w:rPr>
  </w:style>
  <w:style w:type="paragraph" w:customStyle="1" w:styleId="CopyrightText">
    <w:name w:val="Copyright Text"/>
    <w:basedOn w:val="BodyText"/>
    <w:rsid w:val="006C3C7C"/>
    <w:rPr>
      <w:sz w:val="18"/>
    </w:rPr>
  </w:style>
  <w:style w:type="paragraph" w:customStyle="1" w:styleId="BodySmallRight">
    <w:name w:val="Body Small Right"/>
    <w:basedOn w:val="BodyTextRight"/>
    <w:rsid w:val="006C3C7C"/>
    <w:rPr>
      <w:sz w:val="18"/>
      <w:szCs w:val="18"/>
    </w:rPr>
  </w:style>
  <w:style w:type="paragraph" w:customStyle="1" w:styleId="MarginEdition">
    <w:name w:val="Margin Edition"/>
    <w:basedOn w:val="MarginNote"/>
    <w:rsid w:val="006C3C7C"/>
    <w:pPr>
      <w:spacing w:before="0" w:after="0"/>
    </w:pPr>
    <w:rPr>
      <w:rFonts w:ascii="Times New Roman" w:hAnsi="Times New Roman"/>
      <w:color w:val="999999"/>
    </w:rPr>
  </w:style>
  <w:style w:type="paragraph" w:customStyle="1" w:styleId="Spacer">
    <w:name w:val="Spacer"/>
    <w:basedOn w:val="Normal"/>
    <w:rsid w:val="006C3C7C"/>
    <w:rPr>
      <w:sz w:val="2"/>
      <w:szCs w:val="2"/>
    </w:rPr>
  </w:style>
  <w:style w:type="character" w:customStyle="1" w:styleId="Small">
    <w:name w:val="Small"/>
    <w:basedOn w:val="DefaultParagraphFont"/>
    <w:rsid w:val="006C3C7C"/>
    <w:rPr>
      <w:sz w:val="16"/>
    </w:rPr>
  </w:style>
  <w:style w:type="paragraph" w:customStyle="1" w:styleId="WideTable">
    <w:name w:val="Wide Table"/>
    <w:basedOn w:val="Normal"/>
    <w:rsid w:val="006C3C7C"/>
    <w:pPr>
      <w:ind w:left="-1418"/>
    </w:pPr>
    <w:rPr>
      <w:sz w:val="2"/>
      <w:szCs w:val="2"/>
    </w:rPr>
  </w:style>
  <w:style w:type="character" w:styleId="PageNumber">
    <w:name w:val="page number"/>
    <w:basedOn w:val="DefaultParagraphFont"/>
    <w:rsid w:val="006C3C7C"/>
  </w:style>
  <w:style w:type="paragraph" w:styleId="Quote">
    <w:name w:val="Quote"/>
    <w:basedOn w:val="Heading1"/>
    <w:link w:val="QuoteChar"/>
    <w:qFormat/>
    <w:rsid w:val="006C3C7C"/>
    <w:rPr>
      <w:b w:val="0"/>
      <w:sz w:val="72"/>
      <w:szCs w:val="72"/>
      <w:lang w:val="en-NZ"/>
    </w:rPr>
  </w:style>
  <w:style w:type="character" w:customStyle="1" w:styleId="QuoteChar">
    <w:name w:val="Quote Char"/>
    <w:basedOn w:val="DefaultParagraphFont"/>
    <w:link w:val="Quote"/>
    <w:rsid w:val="006C3C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C7C"/>
    <w:pPr>
      <w:pageBreakBefore/>
    </w:pPr>
  </w:style>
  <w:style w:type="paragraph" w:customStyle="1" w:styleId="Border">
    <w:name w:val="Border"/>
    <w:basedOn w:val="Normal"/>
    <w:qFormat/>
    <w:rsid w:val="006C3C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C7C"/>
    <w:rPr>
      <w:b/>
      <w:bCs/>
      <w:i/>
      <w:iCs/>
      <w:color w:val="auto"/>
    </w:rPr>
  </w:style>
  <w:style w:type="paragraph" w:styleId="IntenseQuote">
    <w:name w:val="Intense Quote"/>
    <w:basedOn w:val="Normal"/>
    <w:next w:val="Normal"/>
    <w:link w:val="IntenseQuoteChar"/>
    <w:uiPriority w:val="30"/>
    <w:qFormat/>
    <w:rsid w:val="006C3C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C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3C7C"/>
    <w:rPr>
      <w:smallCaps/>
      <w:color w:val="auto"/>
      <w:u w:val="single"/>
    </w:rPr>
  </w:style>
  <w:style w:type="character" w:styleId="IntenseReference">
    <w:name w:val="Intense Reference"/>
    <w:basedOn w:val="DefaultParagraphFont"/>
    <w:uiPriority w:val="32"/>
    <w:qFormat/>
    <w:rsid w:val="006C3C7C"/>
    <w:rPr>
      <w:b/>
      <w:bCs/>
      <w:smallCaps/>
      <w:color w:val="auto"/>
      <w:spacing w:val="5"/>
      <w:u w:val="single"/>
    </w:rPr>
  </w:style>
  <w:style w:type="paragraph" w:customStyle="1" w:styleId="2ColumnHeading">
    <w:name w:val="2Column Heading"/>
    <w:basedOn w:val="BodyText"/>
    <w:qFormat/>
    <w:rsid w:val="006C3C7C"/>
    <w:pPr>
      <w:spacing w:after="60"/>
      <w:ind w:left="-2268"/>
    </w:pPr>
    <w:rPr>
      <w:b/>
    </w:rPr>
  </w:style>
  <w:style w:type="paragraph" w:customStyle="1" w:styleId="Heading1TOC">
    <w:name w:val="Heading1 TOC"/>
    <w:basedOn w:val="Normal"/>
    <w:qFormat/>
    <w:rsid w:val="006C3C7C"/>
    <w:pPr>
      <w:spacing w:before="240" w:after="120"/>
    </w:pPr>
    <w:rPr>
      <w:rFonts w:ascii="Times New Roman" w:hAnsi="Times New Roman"/>
      <w:b/>
      <w:sz w:val="32"/>
    </w:rPr>
  </w:style>
  <w:style w:type="paragraph" w:customStyle="1" w:styleId="Heading2TOC">
    <w:name w:val="Heading2 TOC"/>
    <w:basedOn w:val="Normal"/>
    <w:qFormat/>
    <w:rsid w:val="006C3C7C"/>
    <w:pPr>
      <w:spacing w:before="240" w:after="60"/>
    </w:pPr>
    <w:rPr>
      <w:rFonts w:ascii="Times New Roman" w:hAnsi="Times New Roman"/>
      <w:b/>
      <w:sz w:val="28"/>
    </w:rPr>
  </w:style>
  <w:style w:type="character" w:customStyle="1" w:styleId="Underline">
    <w:name w:val="Underline"/>
    <w:basedOn w:val="DefaultParagraphFont"/>
    <w:qFormat/>
    <w:rsid w:val="006C3C7C"/>
    <w:rPr>
      <w:u w:val="single"/>
    </w:rPr>
  </w:style>
  <w:style w:type="character" w:customStyle="1" w:styleId="BoldandItalics">
    <w:name w:val="Bold and Italics"/>
    <w:qFormat/>
    <w:rsid w:val="006C3C7C"/>
    <w:rPr>
      <w:b/>
      <w:i/>
      <w:u w:val="none"/>
    </w:rPr>
  </w:style>
  <w:style w:type="paragraph" w:styleId="BalloonText">
    <w:name w:val="Balloon Text"/>
    <w:basedOn w:val="Normal"/>
    <w:link w:val="BalloonTextChar"/>
    <w:rsid w:val="006C3C7C"/>
    <w:rPr>
      <w:rFonts w:ascii="Tahoma" w:hAnsi="Tahoma" w:cs="Tahoma"/>
      <w:sz w:val="16"/>
      <w:szCs w:val="16"/>
    </w:rPr>
  </w:style>
  <w:style w:type="character" w:customStyle="1" w:styleId="BalloonTextChar">
    <w:name w:val="Balloon Text Char"/>
    <w:basedOn w:val="DefaultParagraphFont"/>
    <w:link w:val="BalloonText"/>
    <w:rsid w:val="006C3C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3C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3C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3C7C"/>
    <w:rPr>
      <w:b/>
      <w:color w:val="660033"/>
      <w:spacing w:val="0"/>
    </w:rPr>
  </w:style>
  <w:style w:type="paragraph" w:customStyle="1" w:styleId="Nameditemlist">
    <w:name w:val="Named item list"/>
    <w:basedOn w:val="BodyText"/>
    <w:qFormat/>
    <w:rsid w:val="006C3C7C"/>
    <w:pPr>
      <w:tabs>
        <w:tab w:val="left" w:pos="2835"/>
      </w:tabs>
      <w:ind w:left="2835" w:hanging="2835"/>
    </w:pPr>
  </w:style>
  <w:style w:type="paragraph" w:customStyle="1" w:styleId="BodyTextnopadding">
    <w:name w:val="Body Text no padding"/>
    <w:basedOn w:val="BodyText"/>
    <w:qFormat/>
    <w:rsid w:val="006C3C7C"/>
    <w:pPr>
      <w:spacing w:before="0" w:after="0"/>
    </w:pPr>
  </w:style>
  <w:style w:type="paragraph" w:customStyle="1" w:styleId="BodyTextBold">
    <w:name w:val="Body Text Bold"/>
    <w:basedOn w:val="BodyText"/>
    <w:qFormat/>
    <w:rsid w:val="006C3C7C"/>
    <w:rPr>
      <w:b/>
    </w:rPr>
  </w:style>
  <w:style w:type="character" w:styleId="Hyperlink">
    <w:name w:val="Hyperlink"/>
    <w:basedOn w:val="DefaultParagraphFont"/>
    <w:uiPriority w:val="99"/>
    <w:unhideWhenUsed/>
    <w:rsid w:val="00443C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802</Words>
  <Characters>5117</Characters>
  <Application>Microsoft Office Word</Application>
  <DocSecurity>0</DocSecurity>
  <Lines>232</Lines>
  <Paragraphs>100</Paragraphs>
  <ScaleCrop>false</ScaleCrop>
  <Company>Author-it Software Corporation Ltd.</Company>
  <LinksUpToDate>false</LinksUpToDate>
  <CharactersWithSpaces>5819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UEGNSG020 Load, unload, exchange and connect industrial gas cylinders</dc:title>
  <dc:subject>Approved</dc:subject>
  <dc:creator>Powering Skills Organisation</dc:creator>
  <cp:keywords>Release: 1</cp:keywords>
  <dc:description>Review Date: 12 April 2008</dc:description>
  <cp:lastModifiedBy>HSD_TPCMSd.prod</cp:lastModifiedBy>
  <cp:revision>3</cp:revision>
  <dcterms:created xsi:type="dcterms:W3CDTF">2024-07-12T07:21:00Z</dcterms:created>
  <dcterms:modified xsi:type="dcterms:W3CDTF">2024-07-12T07:21:00Z</dcterms:modified>
</cp:coreProperties>
</file>