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BEB" w:rsidP="00376BEB">
      <w:pPr>
        <w:pStyle w:val="Title"/>
      </w:pPr>
      <w:r>
        <w:fldChar w:fldCharType="begin"/>
      </w:r>
      <w:r>
        <w:instrText xml:space="preserve"> TITLE   \* MERGEFORMAT </w:instrText>
      </w:r>
      <w:r>
        <w:fldChar w:fldCharType="separate"/>
      </w:r>
      <w:r>
        <w:t>UEGNSG020 Load, unload, exchange and connect industrial gas cylinders</w:t>
      </w:r>
      <w:r>
        <w:fldChar w:fldCharType="end"/>
      </w:r>
    </w:p>
    <w:p w:rsidR="00376BEB" w:rsidP="00376BEB">
      <w:pPr>
        <w:pStyle w:val="Version"/>
        <w:sectPr w:rsidSect="006E7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005" w:rsidP="006E7005">
      <w:pPr>
        <w:pStyle w:val="SuperHeading"/>
      </w:pPr>
      <w:r w:rsidRPr="006E7005">
        <w:t>UEGNSG020 Load, unload, exchange and connect industrial gas cylinders</w:t>
      </w:r>
    </w:p>
    <w:p w:rsidR="00000000" w:rsidRPr="006E7005" w:rsidP="006E7005">
      <w:pPr>
        <w:pStyle w:val="Heading1"/>
      </w:pPr>
      <w:bookmarkStart w:id="1" w:name="O_1243834"/>
      <w:bookmarkEnd w:id="1"/>
      <w:r w:rsidRPr="006E7005">
        <w:t>Modification History</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 xml:space="preserve">Release 1. </w:t>
            </w:r>
            <w:r w:rsidRPr="006E7005">
              <w:t>This is the first release of this unit of competency in the UEG Gas Industry Training Package.</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2" w:name="O_1243835"/>
      <w:bookmarkEnd w:id="2"/>
      <w:r w:rsidRPr="006E7005">
        <w:t>Application</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This unit involves the skills and knowledge required to load, unload, exchange and connect industrial gas cylinders to an approved installation in accordance with relevant legislation, codes of practice, regulations and workplace procedures.</w:t>
            </w:r>
          </w:p>
          <w:p w:rsidR="00000000" w:rsidRPr="006E7005" w:rsidP="006E7005">
            <w:pPr>
              <w:pStyle w:val="BodyText"/>
            </w:pPr>
            <w:r w:rsidRPr="006E7005">
              <w:t>It includes fo</w:t>
            </w:r>
            <w:r w:rsidRPr="006E7005">
              <w:t>llowing procedures to correctly and safely carry out the work using appropriate materials, tools and equipment.</w:t>
            </w:r>
          </w:p>
          <w:p w:rsidR="00000000" w:rsidRPr="006E7005" w:rsidP="006E7005">
            <w:pPr>
              <w:pStyle w:val="BodyText"/>
            </w:pPr>
            <w:r w:rsidRPr="006E7005">
              <w:t>This unit applies to worksites where the distribution of industrial gas cylinders occurs, including cylinder delivery drivers and service/instal</w:t>
            </w:r>
            <w:r w:rsidRPr="006E7005">
              <w:t>lation gas fitters who exchange industrial gas cylinders connected to an approved gas installation.</w:t>
            </w:r>
          </w:p>
          <w:p w:rsidR="00000000" w:rsidRPr="006E7005" w:rsidP="006E7005">
            <w:pPr>
              <w:pStyle w:val="BodyText"/>
            </w:pPr>
            <w:r w:rsidRPr="006E7005">
              <w:t>No licensing, legislative or certification requirements apply to this unit at the time of publication.</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3" w:name="O_1243836"/>
      <w:bookmarkEnd w:id="3"/>
      <w:r w:rsidRPr="006E7005">
        <w:t>Pre-requisite Unit</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Not applicabl</w:t>
            </w:r>
            <w:r w:rsidRPr="006E7005">
              <w:t>e</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4" w:name="O_1243837"/>
      <w:bookmarkEnd w:id="4"/>
      <w:r w:rsidRPr="006E7005">
        <w:t>Competency Field</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Gaseous Fuel Vessels</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5" w:name="O_1243838"/>
      <w:bookmarkEnd w:id="5"/>
      <w:r w:rsidRPr="006E7005">
        <w:t>Unit Sector</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Gas Industry</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6" w:name="O_1243839"/>
      <w:bookmarkEnd w:id="6"/>
      <w:r w:rsidRPr="006E7005">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6E700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PERFORMANCE CRITERIA</w:t>
            </w:r>
          </w:p>
        </w:tc>
      </w:tr>
      <w:tr w:rsidTr="006E7005">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Performance criteria describe the performance needed to demonstrate achievement of the element.</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 xml:space="preserve">1 </w:t>
            </w:r>
          </w:p>
        </w:tc>
        <w:tc>
          <w:tcPr>
            <w:tcW w:w="2855"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 xml:space="preserve">Prepare to load/unload truck, exchange and </w:t>
            </w:r>
            <w:r w:rsidRPr="006E7005">
              <w:rPr>
                <w:rStyle w:val="SpecialBold"/>
              </w:rPr>
              <w:t>connect industrial gas cylinders</w:t>
            </w: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Workplace safety, environmental and sustainable energy practices for the si</w:t>
            </w:r>
            <w:r w:rsidRPr="006E7005">
              <w:t xml:space="preserve">te are identified, obtained and </w:t>
            </w:r>
            <w:r w:rsidRPr="006E7005">
              <w:t xml:space="preserve">understood </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 xml:space="preserve">Job requirements are obtained and interpreted from plans, specifications and instructions </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Relevant job requirements and workplace procedures for work activities are discussed with relevant person/s, including third parties, to determine and confirm work schedule and respective responsibilities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 xml:space="preserve">Recommendations to assist with the loading, </w:t>
            </w:r>
            <w:r w:rsidRPr="006E7005">
              <w:t>applying cylinder load restraint, unloading and exchanging of gas cylinders are made to others involved in the work as required</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Hazards are identified, workplace safety and environmental risks are assessed, and control measures are prioritised, impl</w:t>
            </w:r>
            <w:r w:rsidRPr="006E7005">
              <w:t xml:space="preserve">emented and monitored in accordance with workplace procedures </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1.6</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Scope of responsibility under the relevant job requirements, including all work permits and/or relevant notifications, is determined and confirmed to access the services and perform work</w:t>
            </w:r>
            <w:r w:rsidRPr="006E7005">
              <w:t xml:space="preserve"> in accordance with job requirements and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1.7</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Equipment, tools and personal protective equipment (PPE) needed to carry out work activities are identified, obtained and checked for correct operation and safety in accordance with workp</w:t>
            </w:r>
            <w:r w:rsidRPr="006E7005">
              <w:t>lace procedures and manufacturer instructions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1.8</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Materials, plans, diagrams, drawings and resources required for work are confirmed and obtained in accordance with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Load/unload truck, exchange and connect industrial gas cylinders</w:t>
            </w: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Workplace safety and environmental risk control measures, schedule of work and workplace procedures for carrying out work are followed</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Appropriate materials, tools and equipment are selected and used safely in accordance with manufacturer instr</w:t>
            </w:r>
            <w:r w:rsidRPr="006E7005">
              <w:t xml:space="preserve">uctions and workplace procedures </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Work is completed within agreed timeframe and to industry standards in accordance with job requirements and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Hazardous activities are conducted safely in accordance with regulatory requirements and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Truck is correctly positioned for the loading, unloading and exchanging of gas cylinders to ensure completion in agreed timeframes with a m</w:t>
            </w:r>
            <w:r w:rsidRPr="006E7005">
              <w:t xml:space="preserve">inimum of waste and to industry standards </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Loading, applying cylinder load restraint, transporting, unloading, exchanging and connecting of gas cylinders is conducted in accordance with job instructions and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2.7</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Gas connection</w:t>
            </w:r>
            <w:r w:rsidRPr="006E7005">
              <w:t xml:space="preserve"> between cylinder and gas installation is leak tested to ensure gas tightness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2.8</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Faults and operational conditions of the components are identified, repaired or replaced, and reported in accordance with organisational job requirements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2.9</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Unplanned events are referred to the relevant person/s for directions in accordance with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Workplace safety risk control measures for work completion are followed</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 xml:space="preserve">Quality and safety </w:t>
            </w:r>
            <w:r w:rsidRPr="006E7005">
              <w:t>checks of the work are conducted in accordance with job requirements, workplace procedures and community and industry standards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 xml:space="preserve">Worksite is cleaned, reinstated, and made safe in accordance with workplace procedures </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Tools, equipment, and any surplus resources/materials are cleaned, checked and securely stored in accordance with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Incidents are reported and followed up as required in accordance with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Relevant person/</w:t>
            </w:r>
            <w:r w:rsidRPr="006E7005">
              <w:t>s is notified of work completion in accordance with workplace procedures</w:t>
            </w:r>
          </w:p>
        </w:tc>
      </w:tr>
      <w:tr w:rsidTr="006E700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E70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rPr>
                <w:rStyle w:val="SpecialBold"/>
              </w:rPr>
              <w:t>3.7</w:t>
            </w:r>
          </w:p>
        </w:tc>
        <w:tc>
          <w:tcPr>
            <w:tcW w:w="5542"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Delivery documentation and work completion documentation is completed accurately and provided to relevant person/s in accordance with workplace procedures</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7" w:name="O_1243840"/>
      <w:bookmarkEnd w:id="7"/>
      <w:r w:rsidRPr="006E7005">
        <w:t>Foundation Skills</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Foundation skills essential to performance are explicit in the performance criteria of this unit of competency.</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8" w:name="O_1243841"/>
      <w:bookmarkEnd w:id="8"/>
      <w:r w:rsidRPr="006E7005">
        <w:t>Range of Conditions</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Range is restricted to essential operating conditions and any other variables essenti</w:t>
            </w:r>
            <w:r w:rsidRPr="006E7005">
              <w:t>al to the work environment.</w:t>
            </w:r>
          </w:p>
          <w:p w:rsidR="00000000" w:rsidRPr="006E7005" w:rsidP="006E7005">
            <w:pPr>
              <w:pStyle w:val="BodyText"/>
            </w:pPr>
            <w:r w:rsidRPr="006E7005">
              <w:t>Non-essential conditions may be found in the UEG Gas Industry Training Package Companion Volume Implementation Guide.</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9" w:name="O_1243842"/>
      <w:bookmarkEnd w:id="9"/>
      <w:r w:rsidRPr="006E7005">
        <w:t>Unit Mapping Information</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This unit supersedes and is equivalent to UEGNSG614 Load, unload</w:t>
            </w:r>
            <w:r w:rsidRPr="006E7005">
              <w:t>, exchange and connect LPG cylinders.</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10" w:name="O_1243849"/>
      <w:bookmarkEnd w:id="10"/>
      <w:r w:rsidRPr="006E7005">
        <w:t>Links</w:t>
      </w:r>
    </w:p>
    <w:p w:rsidR="00000000" w:rsidRPr="006E7005" w:rsidP="00376BEB">
      <w:pPr>
        <w:pStyle w:val="BodyText"/>
      </w:pPr>
      <w:r w:rsidRPr="006E700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A11C4">
        <w:rPr>
          <w:rStyle w:val="Hyperlink"/>
        </w:rPr>
        <w:t>https://vetnet.gov.au/Pages/TrainingDocs.aspx?q=6a6c032e-ffcb-4f3d-8063-415efbd261e8</w:t>
      </w:r>
      <w:r>
        <w:fldChar w:fldCharType="end"/>
      </w:r>
    </w:p>
    <w:p w:rsidR="00000000" w:rsidRPr="006E7005" w:rsidP="00376BEB">
      <w:pPr>
        <w:pStyle w:val="BodyText"/>
        <w:sectPr w:rsidSect="006E7005">
          <w:headerReference w:type="default" r:id="rId10"/>
          <w:footerReference w:type="default" r:id="rId11"/>
          <w:pgSz w:w="11908" w:h="16833"/>
          <w:pgMar w:top="1702" w:right="1418" w:bottom="1702" w:left="1418" w:header="992" w:footer="992" w:gutter="0"/>
          <w:cols w:space="720"/>
          <w:noEndnote/>
          <w:docGrid w:linePitch="299"/>
        </w:sectPr>
      </w:pPr>
    </w:p>
    <w:p w:rsidR="00000000" w:rsidRPr="006E7005" w:rsidP="006E7005">
      <w:pPr>
        <w:pStyle w:val="SuperHeading"/>
      </w:pPr>
      <w:r w:rsidRPr="006E7005">
        <w:t>Assessment Requirements for UEGNSG020 Load, unload, exchange and connect industrial gas cylinders</w:t>
      </w:r>
    </w:p>
    <w:p w:rsidR="00000000" w:rsidRPr="006E7005" w:rsidP="006E7005">
      <w:pPr>
        <w:pStyle w:val="Heading1"/>
      </w:pPr>
      <w:bookmarkStart w:id="11" w:name="O_1243844"/>
      <w:bookmarkEnd w:id="11"/>
      <w:r w:rsidRPr="006E7005">
        <w:t>Modification History</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rPr>
                <w:rStyle w:val="SpecialBold"/>
              </w:rPr>
              <w:t xml:space="preserve">Release 1. </w:t>
            </w:r>
            <w:r w:rsidRPr="006E7005">
              <w:t>This is the first release of this unit of competency in the UEG Gas Industry Training Package.</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12" w:name="O_1243845"/>
      <w:bookmarkEnd w:id="12"/>
      <w:r w:rsidRPr="006E7005">
        <w:t>Performance Evidence</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 xml:space="preserve">Evidence required to demonstrate competence in this unit must be relevant to and satisfy all of the requirements of the elements and performance criteria on at least two separate occasions and include: </w:t>
            </w:r>
          </w:p>
        </w:tc>
      </w:tr>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ListBullet"/>
            </w:pPr>
            <w:r w:rsidRPr="006E7005">
              <w:t>applying rel</w:t>
            </w:r>
            <w:r w:rsidRPr="006E7005">
              <w:t>evant industry standards, guidelines, codes of practice and regulations</w:t>
            </w:r>
          </w:p>
          <w:p w:rsidR="00000000" w:rsidRPr="006E7005" w:rsidP="006E7005">
            <w:pPr>
              <w:pStyle w:val="ListBullet"/>
            </w:pPr>
            <w:r w:rsidRPr="006E7005">
              <w:t>applying relevant workplace safety requirements, including:</w:t>
            </w:r>
          </w:p>
          <w:p w:rsidR="00000000" w:rsidRPr="006E7005" w:rsidP="006E7005">
            <w:pPr>
              <w:pStyle w:val="ListBullet2"/>
            </w:pPr>
            <w:r w:rsidRPr="006E7005">
              <w:t>working safely with hazardous materials and equipment</w:t>
            </w:r>
          </w:p>
          <w:p w:rsidR="00000000" w:rsidRPr="006E7005" w:rsidP="006E7005">
            <w:pPr>
              <w:pStyle w:val="ListBullet2"/>
            </w:pPr>
            <w:r w:rsidRPr="006E7005">
              <w:t>identifying and reporting hazards</w:t>
            </w:r>
          </w:p>
          <w:p w:rsidR="00000000" w:rsidRPr="006E7005" w:rsidP="006E7005">
            <w:pPr>
              <w:pStyle w:val="ListBullet2"/>
            </w:pPr>
            <w:r w:rsidRPr="006E7005">
              <w:t xml:space="preserve">implementing risk control measures </w:t>
            </w:r>
          </w:p>
          <w:p w:rsidR="00000000" w:rsidRPr="006E7005" w:rsidP="006E7005">
            <w:pPr>
              <w:pStyle w:val="ListBullet2"/>
            </w:pPr>
            <w:r w:rsidRPr="006E7005">
              <w:t xml:space="preserve">selecting and using correct personal protective equipment (PPE) </w:t>
            </w:r>
          </w:p>
          <w:p w:rsidR="00000000" w:rsidRPr="006E7005" w:rsidP="006E7005">
            <w:pPr>
              <w:pStyle w:val="ListBullet2"/>
            </w:pPr>
            <w:r w:rsidRPr="006E7005">
              <w:t>following emergency procedures and response actions</w:t>
            </w:r>
          </w:p>
          <w:p w:rsidR="00000000" w:rsidRPr="006E7005" w:rsidP="006E7005">
            <w:pPr>
              <w:pStyle w:val="ListBullet"/>
            </w:pPr>
            <w:r w:rsidRPr="006E7005">
              <w:t xml:space="preserve">applying sustainable energy and environmental principles and practices </w:t>
            </w:r>
          </w:p>
          <w:p w:rsidR="00000000" w:rsidRPr="006E7005" w:rsidP="006E7005">
            <w:pPr>
              <w:pStyle w:val="ListBullet"/>
            </w:pPr>
            <w:r w:rsidRPr="006E7005">
              <w:t>communicating with relevant person/s</w:t>
            </w:r>
          </w:p>
          <w:p w:rsidR="00000000" w:rsidRPr="006E7005" w:rsidP="006E7005">
            <w:pPr>
              <w:pStyle w:val="ListBullet"/>
            </w:pPr>
            <w:r w:rsidRPr="006E7005">
              <w:t>completing work and relevant</w:t>
            </w:r>
            <w:r w:rsidRPr="006E7005">
              <w:t xml:space="preserve"> documentation</w:t>
            </w:r>
          </w:p>
          <w:p w:rsidR="00000000" w:rsidRPr="006E7005" w:rsidP="006E7005">
            <w:pPr>
              <w:pStyle w:val="ListBullet"/>
            </w:pPr>
            <w:r w:rsidRPr="006E7005">
              <w:t>conducting quality and safety checks</w:t>
            </w:r>
          </w:p>
          <w:p w:rsidR="00000000" w:rsidRPr="006E7005" w:rsidP="006E7005">
            <w:pPr>
              <w:pStyle w:val="ListBullet"/>
            </w:pPr>
            <w:r w:rsidRPr="006E7005">
              <w:t>dealing with unplanned events/situations in accordance with workplace procedures in a manner that minimises risk to personnel and equipment</w:t>
            </w:r>
          </w:p>
          <w:p w:rsidR="00000000" w:rsidRPr="006E7005" w:rsidP="006E7005">
            <w:pPr>
              <w:pStyle w:val="ListBullet"/>
            </w:pPr>
            <w:r w:rsidRPr="006E7005">
              <w:t>exchanging and connecting industrial gas cylinders</w:t>
            </w:r>
          </w:p>
          <w:p w:rsidR="00000000" w:rsidRPr="006E7005" w:rsidP="006E7005">
            <w:pPr>
              <w:pStyle w:val="ListBullet"/>
            </w:pPr>
            <w:r w:rsidRPr="006E7005">
              <w:t>following wor</w:t>
            </w:r>
            <w:r w:rsidRPr="006E7005">
              <w:t>kplace procedures</w:t>
            </w:r>
          </w:p>
          <w:p w:rsidR="00000000" w:rsidRPr="006E7005" w:rsidP="006E7005">
            <w:pPr>
              <w:pStyle w:val="ListBullet"/>
            </w:pPr>
            <w:r w:rsidRPr="006E7005">
              <w:t>loading and unloading cylinders and applying cylinder load restraint</w:t>
            </w:r>
          </w:p>
          <w:p w:rsidR="00000000" w:rsidRPr="006E7005" w:rsidP="006E7005">
            <w:pPr>
              <w:pStyle w:val="ListBullet"/>
            </w:pPr>
            <w:r w:rsidRPr="006E7005">
              <w:t>obtaining and using relevant equipment and tools, including:</w:t>
            </w:r>
          </w:p>
          <w:p w:rsidR="00000000" w:rsidRPr="006E7005" w:rsidP="006E7005">
            <w:pPr>
              <w:pStyle w:val="ListBullet2"/>
            </w:pPr>
            <w:r w:rsidRPr="006E7005">
              <w:t>cylinder trolleys</w:t>
            </w:r>
          </w:p>
          <w:p w:rsidR="00000000" w:rsidRPr="006E7005" w:rsidP="006E7005">
            <w:pPr>
              <w:pStyle w:val="ListBullet2"/>
            </w:pPr>
            <w:r w:rsidRPr="006E7005">
              <w:t>hoses and fittings</w:t>
            </w:r>
          </w:p>
          <w:p w:rsidR="00000000" w:rsidRPr="006E7005" w:rsidP="006E7005">
            <w:pPr>
              <w:pStyle w:val="ListBullet2"/>
            </w:pPr>
            <w:r w:rsidRPr="006E7005">
              <w:t xml:space="preserve">hand tools </w:t>
            </w:r>
          </w:p>
          <w:p w:rsidR="00000000" w:rsidRPr="006E7005" w:rsidP="006E7005">
            <w:pPr>
              <w:pStyle w:val="ListBullet2"/>
            </w:pPr>
            <w:r w:rsidRPr="006E7005">
              <w:t>leak detection fluid</w:t>
            </w:r>
          </w:p>
          <w:p w:rsidR="00000000" w:rsidRPr="006E7005" w:rsidP="006E7005">
            <w:pPr>
              <w:pStyle w:val="ListBullet2"/>
            </w:pPr>
            <w:r w:rsidRPr="006E7005">
              <w:t>truck tail gate loader</w:t>
            </w:r>
          </w:p>
          <w:p w:rsidR="00000000" w:rsidRPr="006E7005" w:rsidP="006E7005">
            <w:pPr>
              <w:pStyle w:val="ListBullet2"/>
            </w:pPr>
            <w:r w:rsidRPr="006E7005">
              <w:t>tray gates and ropes</w:t>
            </w:r>
          </w:p>
          <w:p w:rsidR="00000000" w:rsidRPr="006E7005" w:rsidP="006E7005">
            <w:pPr>
              <w:pStyle w:val="ListBullet"/>
            </w:pPr>
            <w:r w:rsidRPr="006E7005">
              <w:t>positioning truck correctly</w:t>
            </w:r>
          </w:p>
          <w:p w:rsidR="00000000" w:rsidRPr="006E7005" w:rsidP="006E7005">
            <w:pPr>
              <w:pStyle w:val="ListBullet"/>
            </w:pPr>
            <w:r w:rsidRPr="006E7005">
              <w:t>preparing to load/unload truck, exchange and connect industrial gas cylinders.</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13" w:name="O_1243846"/>
      <w:bookmarkEnd w:id="13"/>
      <w:r w:rsidRPr="006E7005">
        <w:t>Knowledge Evidence</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E7005">
            <w:pPr>
              <w:pStyle w:val="BodyText"/>
              <w:rPr>
                <w:lang w:val="en-NZ"/>
              </w:rPr>
            </w:pPr>
            <w:r w:rsidRPr="006E7005">
              <w:t xml:space="preserve">Evidence required to demonstrate competence in this unit must be relevant to and satisfy all of the requirements of the elements and performance criteria and include knowledge of: </w:t>
            </w:r>
          </w:p>
        </w:tc>
      </w:tr>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ListBullet"/>
            </w:pPr>
            <w:r w:rsidRPr="006E7005">
              <w:t>hazardous activities, including lifting, climbing, working in confined sp</w:t>
            </w:r>
            <w:r w:rsidRPr="006E7005">
              <w:t>aces and aloft, and use of power tools</w:t>
            </w:r>
          </w:p>
          <w:p w:rsidR="00000000" w:rsidRPr="006E7005" w:rsidP="006E7005">
            <w:pPr>
              <w:pStyle w:val="ListBullet"/>
            </w:pPr>
            <w:r w:rsidRPr="006E7005">
              <w:t>fault-finding and troubleshooting techniques</w:t>
            </w:r>
          </w:p>
          <w:p w:rsidR="00000000" w:rsidRPr="006E7005" w:rsidP="006E7005">
            <w:pPr>
              <w:pStyle w:val="ListBullet"/>
            </w:pPr>
            <w:r w:rsidRPr="006E7005">
              <w:t>leak detection methods</w:t>
            </w:r>
          </w:p>
          <w:p w:rsidR="00000000" w:rsidRPr="006E7005" w:rsidP="006E7005">
            <w:pPr>
              <w:pStyle w:val="ListBullet"/>
            </w:pPr>
            <w:r w:rsidRPr="006E7005">
              <w:t>industrial gas cylinders, including:</w:t>
            </w:r>
          </w:p>
          <w:p w:rsidR="00000000" w:rsidRPr="006E7005" w:rsidP="006E7005">
            <w:pPr>
              <w:pStyle w:val="ListBullet2"/>
            </w:pPr>
            <w:r w:rsidRPr="006E7005">
              <w:t>cylinder installation requirements</w:t>
            </w:r>
          </w:p>
          <w:p w:rsidR="00000000" w:rsidRPr="006E7005" w:rsidP="006E7005">
            <w:pPr>
              <w:pStyle w:val="ListBullet2"/>
            </w:pPr>
            <w:r w:rsidRPr="006E7005">
              <w:t>industrial gas, character</w:t>
            </w:r>
            <w:r w:rsidRPr="006E7005">
              <w:t>istics and properties, including but not limited to propane, butane, propylene, nitrogen, oxygen, carbon dioxide, argon, hydrogen, helium and acetylene</w:t>
            </w:r>
          </w:p>
          <w:p w:rsidR="00000000" w:rsidRPr="006E7005" w:rsidP="006E7005">
            <w:pPr>
              <w:pStyle w:val="ListBullet2"/>
            </w:pPr>
            <w:r w:rsidRPr="006E7005">
              <w:t>types, construction, size, valves, labelling and safety data sheets (SDS)</w:t>
            </w:r>
          </w:p>
          <w:p w:rsidR="00000000" w:rsidRPr="006E7005" w:rsidP="006E7005">
            <w:pPr>
              <w:pStyle w:val="ListBullet2"/>
            </w:pPr>
            <w:r w:rsidRPr="006E7005">
              <w:t>handling, loading, unloading a</w:t>
            </w:r>
            <w:r w:rsidRPr="006E7005">
              <w:t>nd exchanging</w:t>
            </w:r>
          </w:p>
          <w:p w:rsidR="00000000" w:rsidRPr="006E7005" w:rsidP="006E7005">
            <w:pPr>
              <w:pStyle w:val="ListBullet2"/>
            </w:pPr>
            <w:r w:rsidRPr="006E7005">
              <w:t>disconnecting and connecting</w:t>
            </w:r>
          </w:p>
          <w:p w:rsidR="00000000" w:rsidRPr="006E7005" w:rsidP="006E7005">
            <w:pPr>
              <w:pStyle w:val="ListBullet2"/>
            </w:pPr>
            <w:r w:rsidRPr="006E7005">
              <w:t>out of gas procedures</w:t>
            </w:r>
          </w:p>
          <w:p w:rsidR="00000000" w:rsidRPr="006E7005" w:rsidP="006E7005">
            <w:pPr>
              <w:pStyle w:val="ListBullet"/>
            </w:pPr>
            <w:r w:rsidRPr="006E7005">
              <w:t>industrial gas cylinder transport requirements, including:</w:t>
            </w:r>
          </w:p>
          <w:p w:rsidR="00000000" w:rsidRPr="006E7005" w:rsidP="006E7005">
            <w:pPr>
              <w:pStyle w:val="ListBullet2"/>
            </w:pPr>
            <w:r w:rsidRPr="006E7005">
              <w:t>cylinder load restraint</w:t>
            </w:r>
          </w:p>
          <w:p w:rsidR="00000000" w:rsidRPr="006E7005" w:rsidP="006E7005">
            <w:pPr>
              <w:pStyle w:val="ListBullet2"/>
            </w:pPr>
            <w:r w:rsidRPr="006E7005">
              <w:t>transport of dangerous goods placard loads</w:t>
            </w:r>
          </w:p>
          <w:p w:rsidR="00000000" w:rsidRPr="006E7005" w:rsidP="006E7005">
            <w:pPr>
              <w:pStyle w:val="ListBullet2"/>
            </w:pPr>
            <w:r w:rsidRPr="006E7005">
              <w:t>dangerous goods routes</w:t>
            </w:r>
          </w:p>
          <w:p w:rsidR="00000000" w:rsidRPr="006E7005" w:rsidP="006E7005">
            <w:pPr>
              <w:pStyle w:val="ListBullet2"/>
            </w:pPr>
            <w:r w:rsidRPr="006E7005">
              <w:t>dangerous goods transport documentation</w:t>
            </w:r>
          </w:p>
          <w:p w:rsidR="00000000" w:rsidRPr="006E7005" w:rsidP="006E7005">
            <w:pPr>
              <w:pStyle w:val="ListBullet"/>
            </w:pPr>
            <w:r w:rsidRPr="006E7005">
              <w:t>quality and safety checks</w:t>
            </w:r>
          </w:p>
          <w:p w:rsidR="00000000" w:rsidRPr="006E7005" w:rsidP="006E7005">
            <w:pPr>
              <w:pStyle w:val="ListBullet"/>
            </w:pPr>
            <w:r w:rsidRPr="006E7005">
              <w:t>relevant legislation, regulations, codes of practice, industry standards and policies, including dangerous goods codes</w:t>
            </w:r>
          </w:p>
          <w:p w:rsidR="00000000" w:rsidRPr="006E7005" w:rsidP="006E7005">
            <w:pPr>
              <w:pStyle w:val="ListBullet"/>
            </w:pPr>
            <w:r w:rsidRPr="006E7005">
              <w:t>relevant safe work method statements (SWMS)/job safety analysis (JSA) or risk mitigation processes</w:t>
            </w:r>
          </w:p>
          <w:p w:rsidR="00000000" w:rsidRPr="006E7005" w:rsidP="006E7005">
            <w:pPr>
              <w:pStyle w:val="ListBullet"/>
            </w:pPr>
            <w:r w:rsidRPr="006E7005">
              <w:t>relevant workplace documentation, forms, records and reports</w:t>
            </w:r>
          </w:p>
          <w:p w:rsidR="00000000" w:rsidRPr="006E7005" w:rsidP="006E7005">
            <w:pPr>
              <w:pStyle w:val="ListBullet"/>
            </w:pPr>
            <w:r w:rsidRPr="006E7005">
              <w:t xml:space="preserve">relevant workplace policies and procedures </w:t>
            </w:r>
          </w:p>
          <w:p w:rsidR="00000000" w:rsidRPr="006E7005" w:rsidP="006E7005">
            <w:pPr>
              <w:pStyle w:val="ListBullet"/>
            </w:pPr>
            <w:r w:rsidRPr="006E7005">
              <w:t>relevant workplace safety requirements, including:</w:t>
            </w:r>
          </w:p>
          <w:p w:rsidR="00000000" w:rsidRPr="006E7005" w:rsidP="006E7005">
            <w:pPr>
              <w:pStyle w:val="ListBullet2"/>
            </w:pPr>
            <w:r w:rsidRPr="006E7005">
              <w:t>legislated work health and safety (WHS)/occupational health and safety (OHS) requirements</w:t>
            </w:r>
          </w:p>
          <w:p w:rsidR="00000000" w:rsidRPr="006E7005" w:rsidP="006E7005">
            <w:pPr>
              <w:pStyle w:val="ListBullet2"/>
            </w:pPr>
            <w:r w:rsidRPr="006E7005">
              <w:t>legislate</w:t>
            </w:r>
            <w:r w:rsidRPr="006E7005">
              <w:t>d industry/technical specific requirements</w:t>
            </w:r>
          </w:p>
          <w:p w:rsidR="00000000" w:rsidRPr="006E7005" w:rsidP="006E7005">
            <w:pPr>
              <w:pStyle w:val="ListBullet2"/>
            </w:pPr>
            <w:r w:rsidRPr="006E7005">
              <w:t>workplace safety procedures</w:t>
            </w:r>
          </w:p>
          <w:p w:rsidR="00000000" w:rsidRPr="006E7005" w:rsidP="006E7005">
            <w:pPr>
              <w:pStyle w:val="ListBullet"/>
            </w:pPr>
            <w:r w:rsidRPr="006E7005">
              <w:t xml:space="preserve">types of accidents and emergencies, including fire and gas leak </w:t>
            </w:r>
          </w:p>
          <w:p w:rsidR="00000000" w:rsidRPr="006E7005" w:rsidP="006E7005">
            <w:pPr>
              <w:pStyle w:val="ListBullet"/>
            </w:pPr>
            <w:r w:rsidRPr="006E7005">
              <w:t xml:space="preserve">workplace quality requirements and specifications. </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14" w:name="O_1243847"/>
      <w:bookmarkEnd w:id="14"/>
      <w:r w:rsidRPr="006E7005">
        <w:t>Assessment Conditions</w:t>
      </w:r>
    </w:p>
    <w:tbl>
      <w:tblPr>
        <w:tblW w:w="9497" w:type="dxa"/>
        <w:tblLayout w:type="fixed"/>
        <w:tblCellMar>
          <w:left w:w="62" w:type="dxa"/>
          <w:right w:w="62" w:type="dxa"/>
        </w:tblCellMar>
        <w:tblLook w:val="0000"/>
      </w:tblPr>
      <w:tblGrid>
        <w:gridCol w:w="9497"/>
      </w:tblGrid>
      <w:tr w:rsidTr="006E70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7005" w:rsidP="006E7005">
            <w:pPr>
              <w:pStyle w:val="BodyText"/>
            </w:pPr>
            <w:r w:rsidRPr="006E7005">
              <w:t xml:space="preserve">As a minimum, assessors must satisfy applicable regulatory requirements, which include requirements in the Standards for Registered Training Organisations current at the time of assessment. </w:t>
            </w:r>
          </w:p>
          <w:p w:rsidR="00000000" w:rsidRPr="006E7005" w:rsidP="006E7005">
            <w:pPr>
              <w:pStyle w:val="BodyText"/>
            </w:pPr>
            <w:r w:rsidRPr="006E7005">
              <w:t>As a minimum, assessment must satisfy applicable regulatory requi</w:t>
            </w:r>
            <w:r w:rsidRPr="006E7005">
              <w:t>rements, which include requirements in the Standards for Registered Training Organisations current at the time of assessment.</w:t>
            </w:r>
          </w:p>
          <w:p w:rsidR="00000000" w:rsidRPr="006E7005" w:rsidP="006E7005">
            <w:pPr>
              <w:pStyle w:val="BodyText"/>
            </w:pPr>
            <w:r w:rsidRPr="006E7005">
              <w:t>Assessment must occur in workplace operational situations where it is appropriate to do so; where this is not appropriate, assessm</w:t>
            </w:r>
            <w:r w:rsidRPr="006E7005">
              <w:t>ent must occur in simulated workplace operational situations that replicate workplace conditions.</w:t>
            </w:r>
          </w:p>
          <w:p w:rsidR="00000000" w:rsidRPr="006E7005" w:rsidP="006E7005">
            <w:pPr>
              <w:pStyle w:val="BodyText"/>
            </w:pPr>
            <w:r w:rsidRPr="006E7005">
              <w:t>Assessment processes and techniques must be appropriate to the language, literacy and numeracy requirements of the work being performed and the needs of the c</w:t>
            </w:r>
            <w:r w:rsidRPr="006E7005">
              <w:t>andidate.</w:t>
            </w:r>
          </w:p>
          <w:p w:rsidR="00000000" w:rsidRPr="006E7005" w:rsidP="006E7005">
            <w:pPr>
              <w:pStyle w:val="BodyText"/>
            </w:pPr>
            <w:r w:rsidRPr="006E7005">
              <w:t>Resources for assessment must include access to:</w:t>
            </w:r>
          </w:p>
          <w:p w:rsidR="00000000" w:rsidRPr="006E7005" w:rsidP="006E7005">
            <w:pPr>
              <w:pStyle w:val="ListBullet"/>
            </w:pPr>
            <w:r w:rsidRPr="006E7005">
              <w:t>a range of relevant exercises, case studies and/or other simulations</w:t>
            </w:r>
          </w:p>
          <w:p w:rsidR="00000000" w:rsidRPr="006E7005" w:rsidP="006E7005">
            <w:pPr>
              <w:pStyle w:val="ListBullet"/>
            </w:pPr>
            <w:r w:rsidRPr="006E7005">
              <w:t xml:space="preserve">relevant and appropriate materials, tools, equipment and PPE currently used in industry </w:t>
            </w:r>
          </w:p>
          <w:p w:rsidR="00000000" w:rsidRPr="006E7005" w:rsidP="006E7005">
            <w:pPr>
              <w:pStyle w:val="ListBullet"/>
            </w:pPr>
            <w:r w:rsidRPr="006E7005">
              <w:t>applicable documentation, including wo</w:t>
            </w:r>
            <w:r w:rsidRPr="006E7005">
              <w:t>rkplace procedures, equipment specifications, regulations, codes of practice and operation manuals.</w:t>
            </w:r>
          </w:p>
        </w:tc>
      </w:tr>
    </w:tbl>
    <w:p w:rsidR="00000000" w:rsidRPr="006E7005" w:rsidP="006E7005">
      <w:pPr>
        <w:pStyle w:val="NoPaddingFontSize1"/>
      </w:pPr>
    </w:p>
    <w:p w:rsidR="00000000" w:rsidRPr="006E7005" w:rsidP="006E7005">
      <w:pPr>
        <w:pStyle w:val="AllowPageBreak"/>
      </w:pPr>
    </w:p>
    <w:p w:rsidR="00000000" w:rsidRPr="006E7005" w:rsidP="006E7005">
      <w:pPr>
        <w:pStyle w:val="Heading1"/>
      </w:pPr>
      <w:bookmarkStart w:id="15" w:name="O_1243850"/>
      <w:bookmarkEnd w:id="15"/>
      <w:r w:rsidRPr="006E7005">
        <w:t>Links</w:t>
      </w:r>
    </w:p>
    <w:p w:rsidR="00000000" w:rsidRPr="006E7005" w:rsidP="00376BEB">
      <w:pPr>
        <w:pStyle w:val="BodyText"/>
      </w:pPr>
      <w:r w:rsidRPr="006E700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A11C4">
        <w:rPr>
          <w:rStyle w:val="Hyperlink"/>
        </w:rPr>
        <w:t>https://vetnet.gov.au/Pages/TrainingDocs.aspx?q=6a6c032e-ffcb-4f3d-8063-415efbd261e8</w:t>
      </w:r>
      <w:r>
        <w:fldChar w:fldCharType="end"/>
      </w:r>
    </w:p>
    <w:p w:rsidR="00000000" w:rsidRPr="006E7005" w:rsidP="006E7005"/>
    <w:sectPr w:rsidSect="006E7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rsidRPr="00376BEB" w:rsidP="00376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EB" w:rsidP="006E7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6BEB" w:rsidP="006E7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76BEB" w:rsidP="006E7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rsidP="006E7005">
    <w:pPr>
      <w:pStyle w:val="Footer"/>
      <w:framePr w:wrap="around"/>
    </w:pPr>
    <w:r>
      <w:fldChar w:fldCharType="begin"/>
    </w:r>
    <w:r>
      <w:instrText xml:space="preserve"> DOCPROPERTY  Subject  \* MERGEFORMAT </w:instrText>
    </w:r>
    <w:r>
      <w:fldChar w:fldCharType="separate"/>
    </w:r>
    <w:r w:rsidR="00376BEB">
      <w:t>Approved</w:t>
    </w:r>
    <w:r w:rsidR="00376BEB">
      <w:fldChar w:fldCharType="end"/>
    </w:r>
    <w:r>
      <w:tab/>
      <w:t xml:space="preserve">Page </w:t>
    </w:r>
    <w:r>
      <w:fldChar w:fldCharType="begin"/>
    </w:r>
    <w:r>
      <w:instrText xml:space="preserve"> PAGE  \* Arabic  \* MERGEFORMAT </w:instrText>
    </w:r>
    <w:r>
      <w:fldChar w:fldCharType="separate"/>
    </w:r>
    <w:r w:rsidR="00376B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BEB">
      <w:rPr>
        <w:noProof/>
      </w:rPr>
      <w:t>5</w:t>
    </w:r>
    <w:r>
      <w:rPr>
        <w:noProof/>
      </w:rPr>
      <w:fldChar w:fldCharType="end"/>
    </w:r>
  </w:p>
  <w:p w:rsidR="006E7005" w:rsidP="006E7005">
    <w:pPr>
      <w:pStyle w:val="Footer"/>
      <w:framePr w:wrap="around"/>
    </w:pPr>
    <w:r>
      <w:t xml:space="preserve">© Commonwealth of Australia, </w:t>
    </w:r>
    <w:r>
      <w:fldChar w:fldCharType="begin"/>
    </w:r>
    <w:r>
      <w:instrText xml:space="preserve"> DATE  \@ "yyyy"  \* MERGEFORMAT </w:instrText>
    </w:r>
    <w:r>
      <w:fldChar w:fldCharType="separate"/>
    </w:r>
    <w:r w:rsidR="00376BEB">
      <w:rPr>
        <w:noProof/>
      </w:rPr>
      <w:t>2025</w:t>
    </w:r>
    <w:r>
      <w:fldChar w:fldCharType="end"/>
    </w:r>
    <w:r>
      <w:tab/>
    </w:r>
    <w:r>
      <w:fldChar w:fldCharType="begin"/>
    </w:r>
    <w:r>
      <w:instrText xml:space="preserve"> DOCPROPERTY  Author  \* MERGEFORMAT </w:instrText>
    </w:r>
    <w:r>
      <w:fldChar w:fldCharType="separate"/>
    </w:r>
    <w:r w:rsidR="00376BEB">
      <w:t>Powering Skills Organisation</w:t>
    </w:r>
    <w:r w:rsidR="00376BEB">
      <w:fldChar w:fldCharType="end"/>
    </w:r>
  </w:p>
  <w:p w:rsidR="006E7005" w:rsidP="006E7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005" w:rsidRPr="00376BEB" w:rsidP="00376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EB" w:rsidRPr="002D2AF8" w:rsidP="006E7005">
    <w:pPr>
      <w:pStyle w:val="Header"/>
      <w:framePr w:wrap="around"/>
    </w:pPr>
    <w:r>
      <w:fldChar w:fldCharType="begin"/>
    </w:r>
    <w:r>
      <w:instrText xml:space="preserve"> TITLE   \* MERGEFORMAT </w:instrText>
    </w:r>
    <w:r>
      <w:fldChar w:fldCharType="separate"/>
    </w:r>
    <w:r>
      <w:t>UEGNSG020 Load, unload, exchange and connect industrial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6BEB" w:rsidP="006E7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05" w:rsidRPr="002D2AF8" w:rsidP="006E7005">
    <w:pPr>
      <w:pStyle w:val="Header"/>
      <w:framePr w:wrap="around"/>
    </w:pPr>
    <w:r>
      <w:fldChar w:fldCharType="begin"/>
    </w:r>
    <w:r>
      <w:instrText xml:space="preserve"> TITLE   \* MERGEFORMAT </w:instrText>
    </w:r>
    <w:r>
      <w:fldChar w:fldCharType="separate"/>
    </w:r>
    <w:r w:rsidR="00376BEB">
      <w:t>UEGNSG020 Load, unload, exchange and connect industrial gas cylinders</w:t>
    </w:r>
    <w:r w:rsidR="00376BEB">
      <w:fldChar w:fldCharType="end"/>
    </w:r>
    <w:r>
      <w:tab/>
      <w:t xml:space="preserve">Date this document was generated: </w:t>
    </w:r>
    <w:r>
      <w:fldChar w:fldCharType="begin"/>
    </w:r>
    <w:r>
      <w:instrText xml:space="preserve"> CREATEDATE  \@ "d MMMM yyyy"  \* MERGEFORMAT </w:instrText>
    </w:r>
    <w:r>
      <w:fldChar w:fldCharType="separate"/>
    </w:r>
    <w:r w:rsidR="00376BEB">
      <w:rPr>
        <w:noProof/>
      </w:rPr>
      <w:t>2 March 2025</w:t>
    </w:r>
    <w:r>
      <w:fldChar w:fldCharType="end"/>
    </w:r>
  </w:p>
  <w:p w:rsidR="006E7005" w:rsidP="006E7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4E7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61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C7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005"/>
    <w:pPr>
      <w:spacing w:before="360" w:after="60"/>
      <w:outlineLvl w:val="0"/>
    </w:pPr>
    <w:rPr>
      <w:sz w:val="32"/>
    </w:rPr>
  </w:style>
  <w:style w:type="paragraph" w:styleId="Heading2">
    <w:name w:val="heading 2"/>
    <w:basedOn w:val="HeadingBase"/>
    <w:next w:val="BodyText"/>
    <w:link w:val="Heading2Char"/>
    <w:qFormat/>
    <w:rsid w:val="006E7005"/>
    <w:pPr>
      <w:keepLines/>
      <w:spacing w:before="240" w:after="120"/>
      <w:outlineLvl w:val="1"/>
    </w:pPr>
    <w:rPr>
      <w:sz w:val="28"/>
      <w:szCs w:val="40"/>
    </w:rPr>
  </w:style>
  <w:style w:type="paragraph" w:styleId="Heading3">
    <w:name w:val="heading 3"/>
    <w:basedOn w:val="HeadingBase"/>
    <w:next w:val="BodyText"/>
    <w:link w:val="Heading3Char"/>
    <w:qFormat/>
    <w:rsid w:val="006E7005"/>
    <w:pPr>
      <w:spacing w:before="180" w:after="120"/>
      <w:outlineLvl w:val="2"/>
    </w:pPr>
    <w:rPr>
      <w:spacing w:val="-10"/>
      <w:kern w:val="32"/>
    </w:rPr>
  </w:style>
  <w:style w:type="paragraph" w:styleId="Heading4">
    <w:name w:val="heading 4"/>
    <w:basedOn w:val="HeadingBase"/>
    <w:next w:val="BodyText"/>
    <w:link w:val="Heading4Char"/>
    <w:qFormat/>
    <w:rsid w:val="006E7005"/>
    <w:pPr>
      <w:spacing w:before="160" w:after="120"/>
      <w:outlineLvl w:val="3"/>
    </w:pPr>
    <w:rPr>
      <w:sz w:val="22"/>
    </w:rPr>
  </w:style>
  <w:style w:type="paragraph" w:styleId="Heading5">
    <w:name w:val="heading 5"/>
    <w:basedOn w:val="HeadingBase"/>
    <w:next w:val="Normal"/>
    <w:link w:val="Heading5Char"/>
    <w:qFormat/>
    <w:rsid w:val="006E7005"/>
    <w:pPr>
      <w:spacing w:before="80"/>
      <w:outlineLvl w:val="4"/>
    </w:pPr>
    <w:rPr>
      <w:color w:val="918585"/>
      <w:sz w:val="20"/>
    </w:rPr>
  </w:style>
  <w:style w:type="paragraph" w:styleId="Heading6">
    <w:name w:val="heading 6"/>
    <w:basedOn w:val="HeadingBase"/>
    <w:next w:val="Normal"/>
    <w:link w:val="Heading6Char"/>
    <w:qFormat/>
    <w:rsid w:val="006E7005"/>
    <w:pPr>
      <w:spacing w:before="60"/>
      <w:outlineLvl w:val="5"/>
    </w:pPr>
    <w:rPr>
      <w:color w:val="918585"/>
      <w:sz w:val="20"/>
    </w:rPr>
  </w:style>
  <w:style w:type="paragraph" w:styleId="Heading7">
    <w:name w:val="heading 7"/>
    <w:basedOn w:val="Normal"/>
    <w:next w:val="Normal"/>
    <w:link w:val="Heading7Char"/>
    <w:qFormat/>
    <w:rsid w:val="006E7005"/>
    <w:pPr>
      <w:ind w:left="720"/>
      <w:outlineLvl w:val="6"/>
    </w:pPr>
    <w:rPr>
      <w:i/>
    </w:rPr>
  </w:style>
  <w:style w:type="paragraph" w:styleId="Heading8">
    <w:name w:val="heading 8"/>
    <w:basedOn w:val="Normal"/>
    <w:next w:val="Normal"/>
    <w:link w:val="Heading8Char"/>
    <w:qFormat/>
    <w:rsid w:val="006E7005"/>
    <w:pPr>
      <w:ind w:left="720"/>
      <w:outlineLvl w:val="7"/>
    </w:pPr>
    <w:rPr>
      <w:i/>
    </w:rPr>
  </w:style>
  <w:style w:type="paragraph" w:styleId="Heading9">
    <w:name w:val="heading 9"/>
    <w:basedOn w:val="Normal"/>
    <w:next w:val="Normal"/>
    <w:link w:val="Heading9Char"/>
    <w:qFormat/>
    <w:rsid w:val="006E7005"/>
    <w:pPr>
      <w:ind w:left="720"/>
      <w:outlineLvl w:val="8"/>
    </w:pPr>
    <w:rPr>
      <w:i/>
    </w:rPr>
  </w:style>
  <w:style w:type="character" w:default="1" w:styleId="DefaultParagraphFont">
    <w:name w:val="Default Paragraph Font"/>
    <w:uiPriority w:val="1"/>
    <w:unhideWhenUsed/>
    <w:rsid w:val="006E7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005"/>
  </w:style>
  <w:style w:type="character" w:customStyle="1" w:styleId="Heading1Char">
    <w:name w:val="Heading 1 Char"/>
    <w:basedOn w:val="DefaultParagraphFont"/>
    <w:link w:val="Heading1"/>
    <w:rsid w:val="006E7005"/>
    <w:rPr>
      <w:rFonts w:ascii="Times New Roman" w:eastAsia="Times New Roman" w:hAnsi="Times New Roman" w:cs="Times New Roman"/>
      <w:b/>
      <w:sz w:val="32"/>
      <w:szCs w:val="20"/>
      <w:lang w:eastAsia="en-US"/>
    </w:rPr>
  </w:style>
  <w:style w:type="paragraph" w:styleId="BodyText">
    <w:name w:val="Body Text"/>
    <w:basedOn w:val="Normal"/>
    <w:link w:val="BodyTextChar"/>
    <w:rsid w:val="006E7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005"/>
    <w:rPr>
      <w:rFonts w:ascii="Times New Roman" w:eastAsia="Times New Roman" w:hAnsi="Times New Roman" w:cs="Times New Roman"/>
      <w:sz w:val="24"/>
      <w:lang w:eastAsia="en-US"/>
    </w:rPr>
  </w:style>
  <w:style w:type="paragraph" w:styleId="ListBullet">
    <w:name w:val="List Bullet"/>
    <w:basedOn w:val="List"/>
    <w:rsid w:val="006E7005"/>
    <w:pPr>
      <w:numPr>
        <w:numId w:val="12"/>
      </w:numPr>
      <w:tabs>
        <w:tab w:val="clear" w:pos="340"/>
      </w:tabs>
      <w:spacing w:before="40" w:after="40"/>
    </w:pPr>
  </w:style>
  <w:style w:type="character" w:customStyle="1" w:styleId="SpecialBold">
    <w:name w:val="Special Bold"/>
    <w:basedOn w:val="DefaultParagraphFont"/>
    <w:rsid w:val="006E7005"/>
    <w:rPr>
      <w:b/>
      <w:spacing w:val="0"/>
    </w:rPr>
  </w:style>
  <w:style w:type="paragraph" w:styleId="ListBullet2">
    <w:name w:val="List Bullet 2"/>
    <w:basedOn w:val="List2"/>
    <w:rsid w:val="006E7005"/>
    <w:pPr>
      <w:numPr>
        <w:numId w:val="13"/>
      </w:numPr>
      <w:tabs>
        <w:tab w:val="clear" w:pos="680"/>
      </w:tabs>
    </w:pPr>
  </w:style>
  <w:style w:type="paragraph" w:customStyle="1" w:styleId="SuperHeading">
    <w:name w:val="SuperHeading"/>
    <w:basedOn w:val="Normal"/>
    <w:rsid w:val="006E7005"/>
    <w:pPr>
      <w:spacing w:before="240" w:after="120"/>
      <w:outlineLvl w:val="0"/>
    </w:pPr>
    <w:rPr>
      <w:rFonts w:ascii="Times New Roman" w:hAnsi="Times New Roman"/>
      <w:b/>
      <w:sz w:val="32"/>
    </w:rPr>
  </w:style>
  <w:style w:type="paragraph" w:customStyle="1" w:styleId="AllowPageBreak">
    <w:name w:val="AllowPageBreak"/>
    <w:rsid w:val="006E70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7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005"/>
    <w:rPr>
      <w:rFonts w:ascii="Courier New" w:eastAsia="Times New Roman" w:hAnsi="Courier New" w:cs="Times New Roman"/>
      <w:i/>
      <w:szCs w:val="20"/>
      <w:lang w:eastAsia="en-US"/>
    </w:rPr>
  </w:style>
  <w:style w:type="paragraph" w:customStyle="1" w:styleId="HeadingBase">
    <w:name w:val="Heading Base"/>
    <w:rsid w:val="006E7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005"/>
    <w:pPr>
      <w:tabs>
        <w:tab w:val="right" w:leader="dot" w:pos="9072"/>
      </w:tabs>
      <w:ind w:left="567"/>
    </w:pPr>
    <w:rPr>
      <w:szCs w:val="22"/>
    </w:rPr>
  </w:style>
  <w:style w:type="paragraph" w:customStyle="1" w:styleId="TOCBase">
    <w:name w:val="TOC Base"/>
    <w:rsid w:val="006E7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005"/>
    <w:pPr>
      <w:tabs>
        <w:tab w:val="right" w:leader="dot" w:pos="9072"/>
      </w:tabs>
      <w:spacing w:before="40" w:after="40"/>
      <w:ind w:left="284"/>
    </w:pPr>
    <w:rPr>
      <w:rFonts w:ascii="Times New Roman" w:hAnsi="Times New Roman"/>
    </w:rPr>
  </w:style>
  <w:style w:type="paragraph" w:styleId="TOC1">
    <w:name w:val="toc 1"/>
    <w:basedOn w:val="TOCBase"/>
    <w:next w:val="Normal"/>
    <w:rsid w:val="006E7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005"/>
    <w:rPr>
      <w:rFonts w:ascii="Times New Roman" w:eastAsia="Times New Roman" w:hAnsi="Times New Roman" w:cs="Times New Roman"/>
      <w:sz w:val="16"/>
      <w:lang w:eastAsia="en-US"/>
    </w:rPr>
  </w:style>
  <w:style w:type="paragraph" w:styleId="Title">
    <w:name w:val="Title"/>
    <w:basedOn w:val="HeadingBase"/>
    <w:link w:val="TitleChar"/>
    <w:qFormat/>
    <w:rsid w:val="006E7005"/>
    <w:pPr>
      <w:spacing w:before="5040"/>
      <w:jc w:val="center"/>
    </w:pPr>
    <w:rPr>
      <w:sz w:val="48"/>
      <w:szCs w:val="72"/>
      <w:lang w:val="en-US"/>
    </w:rPr>
  </w:style>
  <w:style w:type="character" w:customStyle="1" w:styleId="TitleChar">
    <w:name w:val="Title Char"/>
    <w:basedOn w:val="DefaultParagraphFont"/>
    <w:link w:val="Title"/>
    <w:rsid w:val="006E7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005"/>
    <w:pPr>
      <w:tabs>
        <w:tab w:val="left" w:pos="3600"/>
        <w:tab w:val="left" w:pos="3958"/>
      </w:tabs>
    </w:pPr>
  </w:style>
  <w:style w:type="paragraph" w:styleId="List">
    <w:name w:val="List"/>
    <w:basedOn w:val="BodyText"/>
    <w:next w:val="BodyText"/>
    <w:rsid w:val="006E7005"/>
    <w:pPr>
      <w:tabs>
        <w:tab w:val="left" w:pos="340"/>
      </w:tabs>
      <w:spacing w:before="60" w:after="60"/>
      <w:ind w:left="340" w:hanging="340"/>
    </w:pPr>
  </w:style>
  <w:style w:type="paragraph" w:customStyle="1" w:styleId="Note">
    <w:name w:val="Note"/>
    <w:basedOn w:val="BodyText"/>
    <w:rsid w:val="006E7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005"/>
    <w:pPr>
      <w:framePr w:wrap="auto" w:hAnchor="text" w:y="6049"/>
    </w:pPr>
    <w:rPr>
      <w:color w:val="000000"/>
      <w:sz w:val="40"/>
    </w:rPr>
  </w:style>
  <w:style w:type="paragraph" w:customStyle="1" w:styleId="TOCTitle">
    <w:name w:val="TOCTitle"/>
    <w:basedOn w:val="Heading1"/>
    <w:rsid w:val="006E7005"/>
    <w:pPr>
      <w:spacing w:after="240"/>
      <w:jc w:val="center"/>
      <w:outlineLvl w:val="9"/>
    </w:pPr>
    <w:rPr>
      <w:caps/>
    </w:rPr>
  </w:style>
  <w:style w:type="paragraph" w:customStyle="1" w:styleId="Version">
    <w:name w:val="Version"/>
    <w:rsid w:val="006E7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005"/>
    <w:pPr>
      <w:keepNext w:val="0"/>
      <w:tabs>
        <w:tab w:val="right" w:pos="4176"/>
      </w:tabs>
      <w:ind w:left="198" w:hanging="198"/>
    </w:pPr>
    <w:rPr>
      <w:rFonts w:ascii="Garamond" w:hAnsi="Garamond"/>
    </w:rPr>
  </w:style>
  <w:style w:type="paragraph" w:styleId="IndexHeading">
    <w:name w:val="index heading"/>
    <w:basedOn w:val="Normal"/>
    <w:next w:val="Index1"/>
    <w:semiHidden/>
    <w:rsid w:val="006E7005"/>
    <w:pPr>
      <w:spacing w:before="120" w:after="120"/>
    </w:pPr>
    <w:rPr>
      <w:rFonts w:ascii="Arial" w:hAnsi="Arial"/>
      <w:b/>
      <w:color w:val="918585"/>
      <w:sz w:val="24"/>
    </w:rPr>
  </w:style>
  <w:style w:type="paragraph" w:styleId="Header">
    <w:name w:val="header"/>
    <w:basedOn w:val="Normal"/>
    <w:link w:val="HeaderChar"/>
    <w:rsid w:val="006E7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005"/>
    <w:rPr>
      <w:rFonts w:ascii="Times New Roman" w:eastAsia="Times New Roman" w:hAnsi="Times New Roman" w:cs="Times New Roman"/>
      <w:sz w:val="16"/>
      <w:szCs w:val="20"/>
      <w:lang w:val="en-GB" w:eastAsia="en-US"/>
    </w:rPr>
  </w:style>
  <w:style w:type="paragraph" w:customStyle="1" w:styleId="Chapter">
    <w:name w:val="Chapter"/>
    <w:basedOn w:val="Normal"/>
    <w:rsid w:val="006E7005"/>
    <w:pPr>
      <w:spacing w:before="240"/>
    </w:pPr>
    <w:rPr>
      <w:rFonts w:ascii="Times New Roman" w:hAnsi="Times New Roman"/>
      <w:smallCaps/>
      <w:spacing w:val="80"/>
      <w:sz w:val="28"/>
    </w:rPr>
  </w:style>
  <w:style w:type="paragraph" w:customStyle="1" w:styleId="InChapter">
    <w:name w:val="InChapter"/>
    <w:basedOn w:val="Heading3"/>
    <w:rsid w:val="006E7005"/>
    <w:pPr>
      <w:spacing w:after="240"/>
      <w:outlineLvl w:val="9"/>
    </w:pPr>
    <w:rPr>
      <w:noProof/>
    </w:rPr>
  </w:style>
  <w:style w:type="paragraph" w:styleId="Index2">
    <w:name w:val="index 2"/>
    <w:basedOn w:val="Normal"/>
    <w:next w:val="Normal"/>
    <w:semiHidden/>
    <w:rsid w:val="006E7005"/>
    <w:pPr>
      <w:tabs>
        <w:tab w:val="right" w:pos="4176"/>
      </w:tabs>
      <w:ind w:left="568" w:hanging="284"/>
    </w:pPr>
    <w:rPr>
      <w:rFonts w:ascii="Garamond" w:hAnsi="Garamond"/>
    </w:rPr>
  </w:style>
  <w:style w:type="paragraph" w:customStyle="1" w:styleId="Byline">
    <w:name w:val="Byline"/>
    <w:rsid w:val="006E7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005"/>
    <w:pPr>
      <w:tabs>
        <w:tab w:val="clear" w:pos="3600"/>
        <w:tab w:val="clear" w:pos="3958"/>
      </w:tabs>
      <w:jc w:val="right"/>
    </w:pPr>
  </w:style>
  <w:style w:type="character" w:styleId="Emphasis">
    <w:name w:val="Emphasis"/>
    <w:basedOn w:val="DefaultParagraphFont"/>
    <w:qFormat/>
    <w:rsid w:val="006E7005"/>
    <w:rPr>
      <w:i/>
    </w:rPr>
  </w:style>
  <w:style w:type="paragraph" w:styleId="Caption">
    <w:name w:val="caption"/>
    <w:basedOn w:val="BodyText"/>
    <w:next w:val="Normal"/>
    <w:qFormat/>
    <w:rsid w:val="006E7005"/>
    <w:pPr>
      <w:framePr w:w="2268" w:hSpace="181" w:vSpace="181" w:wrap="around" w:vAnchor="text" w:hAnchor="page" w:x="1135" w:y="285" w:anchorLock="1"/>
    </w:pPr>
    <w:rPr>
      <w:i/>
    </w:rPr>
  </w:style>
  <w:style w:type="paragraph" w:customStyle="1" w:styleId="MiniTOCTitle">
    <w:name w:val="MiniTOCTitle"/>
    <w:basedOn w:val="Heading4"/>
    <w:rsid w:val="006E7005"/>
    <w:pPr>
      <w:spacing w:before="240"/>
      <w:outlineLvl w:val="9"/>
    </w:pPr>
    <w:rPr>
      <w:noProof/>
      <w:sz w:val="24"/>
    </w:rPr>
  </w:style>
  <w:style w:type="paragraph" w:customStyle="1" w:styleId="MiniTOCItem">
    <w:name w:val="MiniTOCItem"/>
    <w:basedOn w:val="ListBullet"/>
    <w:rsid w:val="006E7005"/>
    <w:pPr>
      <w:numPr>
        <w:numId w:val="0"/>
      </w:numPr>
      <w:tabs>
        <w:tab w:val="right" w:leader="dot" w:pos="6521"/>
      </w:tabs>
      <w:spacing w:before="0" w:after="0"/>
    </w:pPr>
  </w:style>
  <w:style w:type="paragraph" w:customStyle="1" w:styleId="TOFTitle">
    <w:name w:val="TOFTitle"/>
    <w:basedOn w:val="TOCTitle"/>
    <w:rsid w:val="006E7005"/>
  </w:style>
  <w:style w:type="paragraph" w:styleId="TableofFigures">
    <w:name w:val="table of figures"/>
    <w:basedOn w:val="Normal"/>
    <w:next w:val="Normal"/>
    <w:semiHidden/>
    <w:rsid w:val="006E7005"/>
    <w:pPr>
      <w:tabs>
        <w:tab w:val="right" w:leader="dot" w:pos="9072"/>
      </w:tabs>
      <w:ind w:left="970" w:hanging="403"/>
    </w:pPr>
    <w:rPr>
      <w:rFonts w:ascii="Times New Roman" w:hAnsi="Times New Roman"/>
      <w:b/>
    </w:rPr>
  </w:style>
  <w:style w:type="paragraph" w:styleId="ListNumber">
    <w:name w:val="List Number"/>
    <w:basedOn w:val="List"/>
    <w:rsid w:val="006E7005"/>
    <w:pPr>
      <w:numPr>
        <w:numId w:val="15"/>
      </w:numPr>
      <w:tabs>
        <w:tab w:val="clear" w:pos="340"/>
      </w:tabs>
    </w:pPr>
  </w:style>
  <w:style w:type="character" w:customStyle="1" w:styleId="WingdingSymbols">
    <w:name w:val="Wingding Symbols"/>
    <w:rsid w:val="006E7005"/>
    <w:rPr>
      <w:rFonts w:ascii="Wingdings" w:hAnsi="Wingdings"/>
    </w:rPr>
  </w:style>
  <w:style w:type="paragraph" w:customStyle="1" w:styleId="TableHeading">
    <w:name w:val="Table Heading"/>
    <w:basedOn w:val="HeadingBase"/>
    <w:rsid w:val="006E7005"/>
    <w:pPr>
      <w:keepLines/>
      <w:pBdr>
        <w:bottom w:val="single" w:sz="6" w:space="1" w:color="918585"/>
      </w:pBdr>
      <w:spacing w:before="240"/>
    </w:pPr>
  </w:style>
  <w:style w:type="character" w:customStyle="1" w:styleId="HotSpot">
    <w:name w:val="HotSpot"/>
    <w:rsid w:val="006E7005"/>
    <w:rPr>
      <w:color w:val="0033CC"/>
      <w:u w:val="none"/>
    </w:rPr>
  </w:style>
  <w:style w:type="paragraph" w:customStyle="1" w:styleId="BodyTextRight">
    <w:name w:val="Body Text Right"/>
    <w:basedOn w:val="BodyText"/>
    <w:rsid w:val="006E7005"/>
    <w:pPr>
      <w:spacing w:before="0" w:after="0"/>
      <w:jc w:val="right"/>
    </w:pPr>
  </w:style>
  <w:style w:type="paragraph" w:styleId="Index3">
    <w:name w:val="index 3"/>
    <w:basedOn w:val="ListNumber2"/>
    <w:next w:val="Normal"/>
    <w:semiHidden/>
    <w:rsid w:val="006E7005"/>
    <w:pPr>
      <w:numPr>
        <w:numId w:val="0"/>
      </w:numPr>
      <w:tabs>
        <w:tab w:val="right" w:leader="dot" w:pos="4176"/>
      </w:tabs>
    </w:pPr>
  </w:style>
  <w:style w:type="paragraph" w:styleId="ListNumber2">
    <w:name w:val="List Number 2"/>
    <w:basedOn w:val="List2"/>
    <w:rsid w:val="006E7005"/>
    <w:pPr>
      <w:numPr>
        <w:numId w:val="10"/>
      </w:numPr>
      <w:tabs>
        <w:tab w:val="clear" w:pos="1060"/>
      </w:tabs>
    </w:pPr>
  </w:style>
  <w:style w:type="paragraph" w:customStyle="1" w:styleId="MarginNote">
    <w:name w:val="Margin Note"/>
    <w:basedOn w:val="BodyText"/>
    <w:rsid w:val="006E7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005"/>
    <w:rPr>
      <w:sz w:val="32"/>
    </w:rPr>
  </w:style>
  <w:style w:type="paragraph" w:customStyle="1" w:styleId="HeadingProcedure">
    <w:name w:val="Heading Procedure"/>
    <w:basedOn w:val="HeadingBase"/>
    <w:next w:val="Normal"/>
    <w:rsid w:val="006E7005"/>
    <w:pPr>
      <w:tabs>
        <w:tab w:val="left" w:pos="0"/>
      </w:tabs>
      <w:spacing w:before="120" w:after="60"/>
    </w:pPr>
    <w:rPr>
      <w:i/>
      <w:color w:val="918585"/>
      <w:sz w:val="22"/>
    </w:rPr>
  </w:style>
  <w:style w:type="paragraph" w:customStyle="1" w:styleId="TableBodyText">
    <w:name w:val="Table Body Text"/>
    <w:basedOn w:val="BodyText"/>
    <w:rsid w:val="006E7005"/>
    <w:pPr>
      <w:spacing w:before="60" w:after="60"/>
    </w:pPr>
  </w:style>
  <w:style w:type="paragraph" w:styleId="ListContinue">
    <w:name w:val="List Continue"/>
    <w:basedOn w:val="List"/>
    <w:rsid w:val="006E7005"/>
    <w:pPr>
      <w:ind w:firstLine="0"/>
    </w:pPr>
  </w:style>
  <w:style w:type="paragraph" w:customStyle="1" w:styleId="ListNote">
    <w:name w:val="List Note"/>
    <w:basedOn w:val="List"/>
    <w:rsid w:val="006E7005"/>
    <w:pPr>
      <w:pBdr>
        <w:top w:val="single" w:sz="6" w:space="2" w:color="918585"/>
        <w:bottom w:val="single" w:sz="6" w:space="2" w:color="918585"/>
      </w:pBdr>
      <w:tabs>
        <w:tab w:val="left" w:pos="1021"/>
      </w:tabs>
      <w:ind w:firstLine="0"/>
    </w:pPr>
  </w:style>
  <w:style w:type="paragraph" w:customStyle="1" w:styleId="Warning">
    <w:name w:val="Warning"/>
    <w:basedOn w:val="BodyText"/>
    <w:rsid w:val="006E7005"/>
    <w:pPr>
      <w:shd w:val="clear" w:color="auto" w:fill="D9D9D9"/>
      <w:tabs>
        <w:tab w:val="left" w:pos="992"/>
      </w:tabs>
      <w:ind w:left="119" w:right="119"/>
    </w:pPr>
    <w:rPr>
      <w:sz w:val="20"/>
    </w:rPr>
  </w:style>
  <w:style w:type="paragraph" w:customStyle="1" w:styleId="MarginIcons">
    <w:name w:val="Margin Icons"/>
    <w:basedOn w:val="BodyText"/>
    <w:rsid w:val="006E7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005"/>
    <w:rPr>
      <w:rFonts w:ascii="Courier New" w:hAnsi="Courier New"/>
    </w:rPr>
  </w:style>
  <w:style w:type="paragraph" w:customStyle="1" w:styleId="NoteBullet">
    <w:name w:val="Note Bullet"/>
    <w:basedOn w:val="Note"/>
    <w:rsid w:val="006E7005"/>
    <w:pPr>
      <w:tabs>
        <w:tab w:val="clear" w:pos="680"/>
      </w:tabs>
      <w:spacing w:before="60" w:after="60"/>
    </w:pPr>
  </w:style>
  <w:style w:type="paragraph" w:customStyle="1" w:styleId="SubHeading2">
    <w:name w:val="SubHeading2"/>
    <w:basedOn w:val="HeadingBase"/>
    <w:rsid w:val="006E7005"/>
    <w:pPr>
      <w:spacing w:before="240" w:after="60"/>
    </w:pPr>
    <w:rPr>
      <w:sz w:val="20"/>
    </w:rPr>
  </w:style>
  <w:style w:type="paragraph" w:customStyle="1" w:styleId="SubHeading1">
    <w:name w:val="SubHeading1"/>
    <w:basedOn w:val="HeadingBase"/>
    <w:rsid w:val="006E7005"/>
    <w:pPr>
      <w:spacing w:before="240" w:after="60"/>
    </w:pPr>
    <w:rPr>
      <w:color w:val="918585"/>
      <w:sz w:val="22"/>
    </w:rPr>
  </w:style>
  <w:style w:type="paragraph" w:customStyle="1" w:styleId="SideHeading">
    <w:name w:val="Side Heading"/>
    <w:basedOn w:val="HeadingBase"/>
    <w:rsid w:val="006E7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005"/>
    <w:pPr>
      <w:tabs>
        <w:tab w:val="num" w:pos="360"/>
      </w:tabs>
    </w:pPr>
  </w:style>
  <w:style w:type="paragraph" w:styleId="PlainText">
    <w:name w:val="Plain Text"/>
    <w:basedOn w:val="Normal"/>
    <w:link w:val="PlainTextChar"/>
    <w:rsid w:val="006E7005"/>
    <w:rPr>
      <w:sz w:val="20"/>
    </w:rPr>
  </w:style>
  <w:style w:type="character" w:customStyle="1" w:styleId="PlainTextChar">
    <w:name w:val="Plain Text Char"/>
    <w:basedOn w:val="DefaultParagraphFont"/>
    <w:link w:val="PlainText"/>
    <w:rsid w:val="006E7005"/>
    <w:rPr>
      <w:rFonts w:ascii="Courier New" w:eastAsia="Times New Roman" w:hAnsi="Courier New" w:cs="Times New Roman"/>
      <w:sz w:val="20"/>
      <w:szCs w:val="20"/>
      <w:lang w:eastAsia="en-US"/>
    </w:rPr>
  </w:style>
  <w:style w:type="character" w:customStyle="1" w:styleId="MenuOption">
    <w:name w:val="Menu Option"/>
    <w:basedOn w:val="DefaultParagraphFont"/>
    <w:rsid w:val="006E7005"/>
    <w:rPr>
      <w:b/>
      <w:smallCaps/>
    </w:rPr>
  </w:style>
  <w:style w:type="paragraph" w:customStyle="1" w:styleId="TableListNumber">
    <w:name w:val="Table List Number"/>
    <w:basedOn w:val="ListNumber"/>
    <w:rsid w:val="006E7005"/>
    <w:pPr>
      <w:numPr>
        <w:numId w:val="0"/>
      </w:numPr>
    </w:pPr>
  </w:style>
  <w:style w:type="paragraph" w:styleId="TOC4">
    <w:name w:val="toc 4"/>
    <w:basedOn w:val="TOCBase"/>
    <w:next w:val="Normal"/>
    <w:semiHidden/>
    <w:rsid w:val="006E7005"/>
    <w:pPr>
      <w:tabs>
        <w:tab w:val="right" w:leader="dot" w:pos="9071"/>
      </w:tabs>
      <w:ind w:left="1701"/>
    </w:pPr>
  </w:style>
  <w:style w:type="paragraph" w:customStyle="1" w:styleId="ListAlpha">
    <w:name w:val="List Alpha"/>
    <w:basedOn w:val="List"/>
    <w:rsid w:val="006E7005"/>
    <w:pPr>
      <w:numPr>
        <w:numId w:val="9"/>
      </w:numPr>
    </w:pPr>
  </w:style>
  <w:style w:type="paragraph" w:customStyle="1" w:styleId="ListAlpha2">
    <w:name w:val="List Alpha 2"/>
    <w:basedOn w:val="List2"/>
    <w:rsid w:val="006E7005"/>
    <w:pPr>
      <w:numPr>
        <w:numId w:val="8"/>
      </w:numPr>
    </w:pPr>
  </w:style>
  <w:style w:type="paragraph" w:styleId="List2">
    <w:name w:val="List 2"/>
    <w:basedOn w:val="BodyText"/>
    <w:rsid w:val="006E7005"/>
    <w:pPr>
      <w:tabs>
        <w:tab w:val="left" w:pos="680"/>
      </w:tabs>
      <w:spacing w:before="60" w:after="60"/>
      <w:ind w:left="680" w:hanging="340"/>
    </w:pPr>
  </w:style>
  <w:style w:type="paragraph" w:styleId="List3">
    <w:name w:val="List 3"/>
    <w:basedOn w:val="BodyText"/>
    <w:rsid w:val="006E7005"/>
    <w:pPr>
      <w:tabs>
        <w:tab w:val="left" w:pos="1021"/>
      </w:tabs>
      <w:spacing w:before="60" w:after="60"/>
      <w:ind w:left="1020" w:hanging="340"/>
    </w:pPr>
  </w:style>
  <w:style w:type="paragraph" w:styleId="List4">
    <w:name w:val="List 4"/>
    <w:basedOn w:val="BodyText"/>
    <w:rsid w:val="006E7005"/>
    <w:pPr>
      <w:tabs>
        <w:tab w:val="left" w:pos="1361"/>
      </w:tabs>
      <w:spacing w:before="60" w:after="60"/>
      <w:ind w:left="1361" w:hanging="340"/>
    </w:pPr>
  </w:style>
  <w:style w:type="paragraph" w:styleId="List5">
    <w:name w:val="List 5"/>
    <w:basedOn w:val="BodyText"/>
    <w:rsid w:val="006E7005"/>
    <w:pPr>
      <w:tabs>
        <w:tab w:val="left" w:pos="1701"/>
      </w:tabs>
      <w:spacing w:before="60" w:after="60"/>
      <w:ind w:left="1701" w:hanging="340"/>
    </w:pPr>
  </w:style>
  <w:style w:type="paragraph" w:styleId="ListBullet3">
    <w:name w:val="List Bullet 3"/>
    <w:basedOn w:val="List3"/>
    <w:rsid w:val="006E7005"/>
    <w:pPr>
      <w:numPr>
        <w:numId w:val="14"/>
      </w:numPr>
      <w:tabs>
        <w:tab w:val="clear" w:pos="1021"/>
      </w:tabs>
      <w:ind w:left="1037" w:hanging="357"/>
    </w:pPr>
  </w:style>
  <w:style w:type="paragraph" w:styleId="ListBullet4">
    <w:name w:val="List Bullet 4"/>
    <w:basedOn w:val="List4"/>
    <w:rsid w:val="006E7005"/>
    <w:pPr>
      <w:numPr>
        <w:numId w:val="3"/>
      </w:numPr>
      <w:tabs>
        <w:tab w:val="clear" w:pos="1361"/>
      </w:tabs>
    </w:pPr>
  </w:style>
  <w:style w:type="paragraph" w:styleId="ListBullet5">
    <w:name w:val="List Bullet 5"/>
    <w:basedOn w:val="List5"/>
    <w:rsid w:val="006E7005"/>
    <w:pPr>
      <w:numPr>
        <w:numId w:val="4"/>
      </w:numPr>
    </w:pPr>
  </w:style>
  <w:style w:type="paragraph" w:styleId="ListContinue2">
    <w:name w:val="List Continue 2"/>
    <w:basedOn w:val="List2"/>
    <w:rsid w:val="006E7005"/>
    <w:pPr>
      <w:ind w:firstLine="0"/>
    </w:pPr>
  </w:style>
  <w:style w:type="paragraph" w:styleId="ListContinue3">
    <w:name w:val="List Continue 3"/>
    <w:basedOn w:val="List3"/>
    <w:rsid w:val="006E7005"/>
    <w:pPr>
      <w:ind w:left="1021" w:firstLine="0"/>
    </w:pPr>
  </w:style>
  <w:style w:type="paragraph" w:styleId="ListContinue4">
    <w:name w:val="List Continue 4"/>
    <w:basedOn w:val="List4"/>
    <w:rsid w:val="006E7005"/>
    <w:pPr>
      <w:ind w:firstLine="0"/>
    </w:pPr>
  </w:style>
  <w:style w:type="paragraph" w:styleId="ListContinue5">
    <w:name w:val="List Continue 5"/>
    <w:basedOn w:val="List5"/>
    <w:rsid w:val="006E7005"/>
    <w:pPr>
      <w:ind w:firstLine="0"/>
    </w:pPr>
  </w:style>
  <w:style w:type="paragraph" w:styleId="ListNumber3">
    <w:name w:val="List Number 3"/>
    <w:basedOn w:val="List3"/>
    <w:rsid w:val="006E7005"/>
    <w:pPr>
      <w:numPr>
        <w:numId w:val="5"/>
      </w:numPr>
    </w:pPr>
  </w:style>
  <w:style w:type="paragraph" w:styleId="ListNumber4">
    <w:name w:val="List Number 4"/>
    <w:basedOn w:val="List4"/>
    <w:rsid w:val="006E7005"/>
    <w:pPr>
      <w:numPr>
        <w:numId w:val="6"/>
      </w:numPr>
    </w:pPr>
  </w:style>
  <w:style w:type="paragraph" w:styleId="ListNumber5">
    <w:name w:val="List Number 5"/>
    <w:basedOn w:val="List5"/>
    <w:rsid w:val="006E7005"/>
    <w:pPr>
      <w:numPr>
        <w:numId w:val="7"/>
      </w:numPr>
    </w:pPr>
  </w:style>
  <w:style w:type="paragraph" w:styleId="BlockText">
    <w:name w:val="Block Text"/>
    <w:basedOn w:val="Normal"/>
    <w:rsid w:val="006E7005"/>
    <w:pPr>
      <w:spacing w:after="120"/>
      <w:ind w:left="1440" w:right="1440"/>
    </w:pPr>
  </w:style>
  <w:style w:type="character" w:customStyle="1" w:styleId="Subscript">
    <w:name w:val="Subscript"/>
    <w:basedOn w:val="DefaultParagraphFont"/>
    <w:rsid w:val="006E7005"/>
    <w:rPr>
      <w:sz w:val="16"/>
      <w:vertAlign w:val="subscript"/>
    </w:rPr>
  </w:style>
  <w:style w:type="character" w:customStyle="1" w:styleId="Superscript">
    <w:name w:val="Superscript"/>
    <w:basedOn w:val="DefaultParagraphFont"/>
    <w:rsid w:val="006E7005"/>
    <w:rPr>
      <w:sz w:val="16"/>
      <w:vertAlign w:val="superscript"/>
    </w:rPr>
  </w:style>
  <w:style w:type="character" w:customStyle="1" w:styleId="Symbols">
    <w:name w:val="Symbols"/>
    <w:basedOn w:val="DefaultParagraphFont"/>
    <w:rsid w:val="006E7005"/>
    <w:rPr>
      <w:rFonts w:ascii="Symbol" w:hAnsi="Symbol"/>
    </w:rPr>
  </w:style>
  <w:style w:type="character" w:customStyle="1" w:styleId="MenuOptions">
    <w:name w:val="Menu Options"/>
    <w:basedOn w:val="DefaultParagraphFont"/>
    <w:rsid w:val="006E7005"/>
    <w:rPr>
      <w:rFonts w:ascii="Arial Narrow" w:hAnsi="Arial Narrow"/>
      <w:smallCaps/>
    </w:rPr>
  </w:style>
  <w:style w:type="character" w:customStyle="1" w:styleId="Buttons">
    <w:name w:val="Buttons"/>
    <w:basedOn w:val="DefaultParagraphFont"/>
    <w:rsid w:val="006E7005"/>
    <w:rPr>
      <w:b/>
    </w:rPr>
  </w:style>
  <w:style w:type="character" w:customStyle="1" w:styleId="Underlined">
    <w:name w:val="Underlined"/>
    <w:basedOn w:val="DefaultParagraphFont"/>
    <w:rsid w:val="006E7005"/>
    <w:rPr>
      <w:u w:val="single"/>
    </w:rPr>
  </w:style>
  <w:style w:type="paragraph" w:customStyle="1" w:styleId="TableBodyTextRight">
    <w:name w:val="Table Body Text Right"/>
    <w:basedOn w:val="TableBodyText"/>
    <w:rsid w:val="006E7005"/>
    <w:pPr>
      <w:widowControl w:val="0"/>
      <w:autoSpaceDE w:val="0"/>
      <w:autoSpaceDN w:val="0"/>
      <w:adjustRightInd w:val="0"/>
      <w:jc w:val="right"/>
    </w:pPr>
    <w:rPr>
      <w:rFonts w:cs="Arial"/>
      <w:szCs w:val="18"/>
    </w:rPr>
  </w:style>
  <w:style w:type="paragraph" w:customStyle="1" w:styleId="CopyrightText">
    <w:name w:val="Copyright Text"/>
    <w:basedOn w:val="BodyText"/>
    <w:rsid w:val="006E7005"/>
    <w:rPr>
      <w:sz w:val="18"/>
    </w:rPr>
  </w:style>
  <w:style w:type="paragraph" w:customStyle="1" w:styleId="BodySmallRight">
    <w:name w:val="Body Small Right"/>
    <w:basedOn w:val="BodyTextRight"/>
    <w:rsid w:val="006E7005"/>
    <w:rPr>
      <w:sz w:val="18"/>
      <w:szCs w:val="18"/>
    </w:rPr>
  </w:style>
  <w:style w:type="paragraph" w:customStyle="1" w:styleId="MarginEdition">
    <w:name w:val="Margin Edition"/>
    <w:basedOn w:val="MarginNote"/>
    <w:rsid w:val="006E7005"/>
    <w:pPr>
      <w:spacing w:before="0" w:after="0"/>
    </w:pPr>
    <w:rPr>
      <w:rFonts w:ascii="Times New Roman" w:hAnsi="Times New Roman"/>
      <w:color w:val="999999"/>
    </w:rPr>
  </w:style>
  <w:style w:type="paragraph" w:customStyle="1" w:styleId="Spacer">
    <w:name w:val="Spacer"/>
    <w:basedOn w:val="Normal"/>
    <w:rsid w:val="006E7005"/>
    <w:rPr>
      <w:sz w:val="2"/>
      <w:szCs w:val="2"/>
    </w:rPr>
  </w:style>
  <w:style w:type="character" w:customStyle="1" w:styleId="Small">
    <w:name w:val="Small"/>
    <w:basedOn w:val="DefaultParagraphFont"/>
    <w:rsid w:val="006E7005"/>
    <w:rPr>
      <w:sz w:val="16"/>
    </w:rPr>
  </w:style>
  <w:style w:type="paragraph" w:customStyle="1" w:styleId="WideTable">
    <w:name w:val="Wide Table"/>
    <w:basedOn w:val="Normal"/>
    <w:rsid w:val="006E7005"/>
    <w:pPr>
      <w:ind w:left="-1418"/>
    </w:pPr>
    <w:rPr>
      <w:sz w:val="2"/>
      <w:szCs w:val="2"/>
    </w:rPr>
  </w:style>
  <w:style w:type="character" w:styleId="PageNumber">
    <w:name w:val="page number"/>
    <w:basedOn w:val="DefaultParagraphFont"/>
    <w:rsid w:val="006E7005"/>
  </w:style>
  <w:style w:type="paragraph" w:styleId="Quote">
    <w:name w:val="Quote"/>
    <w:basedOn w:val="Heading1"/>
    <w:link w:val="QuoteChar"/>
    <w:qFormat/>
    <w:rsid w:val="006E7005"/>
    <w:rPr>
      <w:b w:val="0"/>
      <w:sz w:val="72"/>
      <w:szCs w:val="72"/>
      <w:lang w:val="en-NZ"/>
    </w:rPr>
  </w:style>
  <w:style w:type="character" w:customStyle="1" w:styleId="QuoteChar">
    <w:name w:val="Quote Char"/>
    <w:basedOn w:val="DefaultParagraphFont"/>
    <w:link w:val="Quote"/>
    <w:rsid w:val="006E7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005"/>
    <w:pPr>
      <w:pageBreakBefore/>
    </w:pPr>
  </w:style>
  <w:style w:type="paragraph" w:customStyle="1" w:styleId="Border">
    <w:name w:val="Border"/>
    <w:basedOn w:val="Normal"/>
    <w:qFormat/>
    <w:rsid w:val="006E7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005"/>
    <w:rPr>
      <w:b/>
      <w:bCs/>
      <w:i/>
      <w:iCs/>
      <w:color w:val="auto"/>
    </w:rPr>
  </w:style>
  <w:style w:type="paragraph" w:styleId="IntenseQuote">
    <w:name w:val="Intense Quote"/>
    <w:basedOn w:val="Normal"/>
    <w:next w:val="Normal"/>
    <w:link w:val="IntenseQuoteChar"/>
    <w:uiPriority w:val="30"/>
    <w:qFormat/>
    <w:rsid w:val="006E7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005"/>
    <w:rPr>
      <w:smallCaps/>
      <w:color w:val="auto"/>
      <w:u w:val="single"/>
    </w:rPr>
  </w:style>
  <w:style w:type="character" w:styleId="IntenseReference">
    <w:name w:val="Intense Reference"/>
    <w:basedOn w:val="DefaultParagraphFont"/>
    <w:uiPriority w:val="32"/>
    <w:qFormat/>
    <w:rsid w:val="006E7005"/>
    <w:rPr>
      <w:b/>
      <w:bCs/>
      <w:smallCaps/>
      <w:color w:val="auto"/>
      <w:spacing w:val="5"/>
      <w:u w:val="single"/>
    </w:rPr>
  </w:style>
  <w:style w:type="paragraph" w:customStyle="1" w:styleId="2ColumnHeading">
    <w:name w:val="2Column Heading"/>
    <w:basedOn w:val="BodyText"/>
    <w:qFormat/>
    <w:rsid w:val="006E7005"/>
    <w:pPr>
      <w:spacing w:after="60"/>
      <w:ind w:left="-2268"/>
    </w:pPr>
    <w:rPr>
      <w:b/>
    </w:rPr>
  </w:style>
  <w:style w:type="paragraph" w:customStyle="1" w:styleId="Heading1TOC">
    <w:name w:val="Heading1 TOC"/>
    <w:basedOn w:val="Normal"/>
    <w:qFormat/>
    <w:rsid w:val="006E7005"/>
    <w:pPr>
      <w:spacing w:before="240" w:after="120"/>
    </w:pPr>
    <w:rPr>
      <w:rFonts w:ascii="Times New Roman" w:hAnsi="Times New Roman"/>
      <w:b/>
      <w:sz w:val="32"/>
    </w:rPr>
  </w:style>
  <w:style w:type="paragraph" w:customStyle="1" w:styleId="Heading2TOC">
    <w:name w:val="Heading2 TOC"/>
    <w:basedOn w:val="Normal"/>
    <w:qFormat/>
    <w:rsid w:val="006E7005"/>
    <w:pPr>
      <w:spacing w:before="240" w:after="60"/>
    </w:pPr>
    <w:rPr>
      <w:rFonts w:ascii="Times New Roman" w:hAnsi="Times New Roman"/>
      <w:b/>
      <w:sz w:val="28"/>
    </w:rPr>
  </w:style>
  <w:style w:type="character" w:customStyle="1" w:styleId="Underline">
    <w:name w:val="Underline"/>
    <w:basedOn w:val="DefaultParagraphFont"/>
    <w:qFormat/>
    <w:rsid w:val="006E7005"/>
    <w:rPr>
      <w:u w:val="single"/>
    </w:rPr>
  </w:style>
  <w:style w:type="character" w:customStyle="1" w:styleId="BoldandItalics">
    <w:name w:val="Bold and Italics"/>
    <w:qFormat/>
    <w:rsid w:val="006E7005"/>
    <w:rPr>
      <w:b/>
      <w:i/>
      <w:u w:val="none"/>
    </w:rPr>
  </w:style>
  <w:style w:type="paragraph" w:styleId="BalloonText">
    <w:name w:val="Balloon Text"/>
    <w:basedOn w:val="Normal"/>
    <w:link w:val="BalloonTextChar"/>
    <w:rsid w:val="006E7005"/>
    <w:rPr>
      <w:rFonts w:ascii="Tahoma" w:hAnsi="Tahoma" w:cs="Tahoma"/>
      <w:sz w:val="16"/>
      <w:szCs w:val="16"/>
    </w:rPr>
  </w:style>
  <w:style w:type="character" w:customStyle="1" w:styleId="BalloonTextChar">
    <w:name w:val="Balloon Text Char"/>
    <w:basedOn w:val="DefaultParagraphFont"/>
    <w:link w:val="BalloonText"/>
    <w:rsid w:val="006E7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005"/>
    <w:rPr>
      <w:b/>
      <w:color w:val="660033"/>
      <w:spacing w:val="0"/>
    </w:rPr>
  </w:style>
  <w:style w:type="paragraph" w:customStyle="1" w:styleId="Nameditemlist">
    <w:name w:val="Named item list"/>
    <w:basedOn w:val="BodyText"/>
    <w:qFormat/>
    <w:rsid w:val="006E7005"/>
    <w:pPr>
      <w:tabs>
        <w:tab w:val="left" w:pos="2835"/>
      </w:tabs>
      <w:ind w:left="2835" w:hanging="2835"/>
    </w:pPr>
  </w:style>
  <w:style w:type="paragraph" w:customStyle="1" w:styleId="BodyTextnopadding">
    <w:name w:val="Body Text no padding"/>
    <w:basedOn w:val="BodyText"/>
    <w:qFormat/>
    <w:rsid w:val="006E7005"/>
    <w:pPr>
      <w:spacing w:before="0" w:after="0"/>
    </w:pPr>
  </w:style>
  <w:style w:type="paragraph" w:customStyle="1" w:styleId="BodyTextBold">
    <w:name w:val="Body Text Bold"/>
    <w:basedOn w:val="BodyText"/>
    <w:qFormat/>
    <w:rsid w:val="006E7005"/>
    <w:rPr>
      <w:b/>
    </w:rPr>
  </w:style>
  <w:style w:type="character" w:styleId="Hyperlink">
    <w:name w:val="Hyperlink"/>
    <w:basedOn w:val="DefaultParagraphFont"/>
    <w:uiPriority w:val="99"/>
    <w:unhideWhenUsed/>
    <w:rsid w:val="00376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9213</Characters>
  <Application>Microsoft Office Word</Application>
  <DocSecurity>0</DocSecurity>
  <Lines>329</Lines>
  <Paragraphs>179</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UEGNSG020 Load, unload, exchange and connect industrial gas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