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CF5" w:rsidP="00220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UEGNSG004 Locate, prove and protect utility assets</w:t>
      </w:r>
      <w:r>
        <w:fldChar w:fldCharType="end"/>
      </w:r>
    </w:p>
    <w:p w:rsidR="00220CF5" w:rsidP="00220CF5">
      <w:pPr>
        <w:pStyle w:val="Version"/>
        <w:sectPr w:rsidSect="00043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A15" w:rsidP="00043A15">
      <w:pPr>
        <w:pStyle w:val="SuperHeading"/>
      </w:pPr>
      <w:r w:rsidRPr="00043A15">
        <w:t>UEGNSG004 Locate, prove and protect utility assets</w:t>
      </w:r>
    </w:p>
    <w:p w:rsidR="00000000" w:rsidRPr="00043A15" w:rsidP="00043A15">
      <w:pPr>
        <w:pStyle w:val="Heading1"/>
      </w:pPr>
      <w:bookmarkStart w:id="1" w:name="O_965920"/>
      <w:bookmarkEnd w:id="1"/>
      <w:r w:rsidRPr="00043A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Release 1. This is the first release of this unit of competency in the UEG Gas Industry Training Package.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2" w:name="O_965921"/>
      <w:bookmarkEnd w:id="2"/>
      <w:r w:rsidRPr="00043A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 xml:space="preserve">This unit involves the skills and knowledge required to locate, prove and protect utility </w:t>
            </w:r>
            <w:r w:rsidRPr="00043A15">
              <w:t>assets.</w:t>
            </w:r>
          </w:p>
          <w:p w:rsidR="00000000" w:rsidRPr="00043A15" w:rsidP="00043A15">
            <w:pPr>
              <w:pStyle w:val="BodyText"/>
            </w:pPr>
            <w:r w:rsidRPr="00043A15">
              <w:t xml:space="preserve">It includes preparing, locating, proving and low level, short-term protection of assets on work sites where utility industry operations occur. </w:t>
            </w:r>
          </w:p>
          <w:p w:rsidR="00000000" w:rsidRPr="00043A15" w:rsidP="00043A15">
            <w:pPr>
              <w:pStyle w:val="BodyText"/>
            </w:pPr>
            <w:r w:rsidRPr="00043A15">
              <w:t>Persons undertaking this unit would not supervise third party work near a utility asset.</w:t>
            </w:r>
          </w:p>
          <w:p w:rsidR="00000000" w:rsidRPr="00043A15" w:rsidP="00043A15">
            <w:pPr>
              <w:pStyle w:val="BodyText"/>
            </w:pPr>
            <w:r w:rsidRPr="00043A15">
              <w:t>No licensing, l</w:t>
            </w:r>
            <w:r w:rsidRPr="00043A15">
              <w:t>egislative or certification requirements apply to this unit at the time of publication.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3" w:name="O_965922"/>
      <w:bookmarkEnd w:id="3"/>
      <w:r w:rsidRPr="00043A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Not applicable.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4" w:name="O_965923"/>
      <w:bookmarkEnd w:id="4"/>
      <w:r w:rsidRPr="00043A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Independent Units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5" w:name="O_965924"/>
      <w:bookmarkEnd w:id="5"/>
      <w:r w:rsidRPr="00043A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Gas Industry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6" w:name="O_965925"/>
      <w:bookmarkEnd w:id="6"/>
      <w:r w:rsidRPr="00043A1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PERFORMANCE CRITERIA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Performance criteria describe the performance needed to demonstrate achievement of the element.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rPr>
                <w:rStyle w:val="SpecialBold"/>
              </w:rPr>
              <w:t>Prepare to locate, prove and protect utility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Job requirements and workplace procedures for the site are obtained and discussed with relevant person/s to confirm the work schedule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Work health and safety (WHS)/occupational health and safety</w:t>
            </w:r>
            <w:r w:rsidRPr="00043A15">
              <w:t xml:space="preserve"> (OHS), environmental and sustainable energy policies and procedures, relevant clearances and no-go </w:t>
            </w:r>
            <w:r w:rsidRPr="00043A15">
              <w:t>zones are obtained and applied in accordance with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 xml:space="preserve">Hazards are identified, risks are assessed and control measures are prioritised, implemented and monitored 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Level of responsibility under the relevant work permit and/or notification is obtained and confirmed with relevant person/s in accordance wit</w:t>
            </w:r>
            <w:r w:rsidRPr="00043A15">
              <w:t>h job requirements and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Relevant person/s, authorities and/or enterprises are consulted to ensure the work is coordinated effectively with others involved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Tools, equipment and personal protective equipment (PPE) required t</w:t>
            </w:r>
            <w:r w:rsidRPr="00043A15">
              <w:t>o carry out the work are identified, obtained and checked for correct operation and safety in accordance with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Materials, plans, diagrams, drawings and resources required for the work are obtained in accordance with workplace pro</w:t>
            </w:r>
            <w:r w:rsidRPr="00043A15">
              <w:t>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Site preparation, safety plan and work schedule are confirmed in accordance with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rPr>
                <w:rStyle w:val="SpecialBold"/>
              </w:rPr>
              <w:t>Locate, prove and protect utility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WHS/OHS risk control measures, schedule of work and workplace procedures for carrying out work are followed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 xml:space="preserve">Materials, tools and equipment required for the work are selected and used correctly and safely in accordance with manufacturer instructions </w:t>
            </w:r>
            <w:r w:rsidRPr="00043A15">
              <w:t>and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Utility asset is located and clearly marked using selected equipment and tools in accordance with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Location of the ass</w:t>
            </w:r>
            <w:r w:rsidRPr="00043A15">
              <w:t>et proven using approved methods where permitted in accordance with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Utility asset is protected physically to ensure it is safe and secure in accordance with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Work is carried out to the required quality</w:t>
            </w:r>
            <w:r w:rsidRPr="00043A15">
              <w:t xml:space="preserve"> standard without waste of materials or damage to apparatus, equipment, the surrounding environment or services and </w:t>
            </w:r>
            <w:r w:rsidRPr="00043A15">
              <w:t>using sustainable energy principles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Unplanned events are referred to immediate supervisor for directions in accordance with workplace</w:t>
            </w:r>
            <w:r w:rsidRPr="00043A15">
              <w:t xml:space="preserve">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WHS/OHS risk control measures for work completion are followed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 xml:space="preserve">Work site is tidied and made safe, or handed over to relevant person/s for further work in accordance with workplace procedures 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Tools, equipment and any surplus resources/materials are cleaned, checked and securely stored in accordance with workpla</w:t>
            </w:r>
            <w:r w:rsidRPr="00043A15">
              <w:t>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t>Relevant person/s are notified of work completion in accordance with workplace procedures</w:t>
            </w:r>
          </w:p>
        </w:tc>
      </w:tr>
      <w:tr w:rsidTr="00043A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A15">
            <w:pPr>
              <w:pStyle w:val="BodyText"/>
              <w:rPr>
                <w:lang w:val="en-NZ"/>
              </w:rPr>
            </w:pPr>
            <w:r w:rsidRPr="00043A1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Work completion documentation is completed accurately and provided to relevant person/s in accordance with workplace procedures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7" w:name="O_965926"/>
      <w:bookmarkEnd w:id="7"/>
      <w:r w:rsidRPr="00043A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Foundation skills essential to performance are explicit in the performance criteria of this unit of competency.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8" w:name="O_965927"/>
      <w:bookmarkEnd w:id="8"/>
      <w:r w:rsidRPr="00043A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Range is restricted to essential operating conditions and any other var</w:t>
            </w:r>
            <w:r w:rsidRPr="00043A15">
              <w:t>iables essential to the work environment.</w:t>
            </w:r>
          </w:p>
          <w:p w:rsidR="00000000" w:rsidRPr="00043A15" w:rsidP="00043A15">
            <w:pPr>
              <w:pStyle w:val="BodyText"/>
            </w:pPr>
            <w:r w:rsidRPr="00043A15">
              <w:t>Non-essential conditions may be found in the UEG Gas Industry Training Package Companion Volume Implementation Guide.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9" w:name="O_965928"/>
      <w:bookmarkEnd w:id="9"/>
      <w:r w:rsidRPr="00043A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A15" w:rsidP="00043A15">
            <w:pPr>
              <w:pStyle w:val="BodyText"/>
            </w:pPr>
            <w:r w:rsidRPr="00043A15">
              <w:t>This unit replaces and is equivalent to UEGNSG004A L</w:t>
            </w:r>
            <w:r w:rsidRPr="00043A15">
              <w:t>ocate, prove and protect utility assets.</w:t>
            </w:r>
          </w:p>
        </w:tc>
      </w:tr>
    </w:tbl>
    <w:p w:rsidR="00000000" w:rsidRPr="00043A15" w:rsidP="00043A15">
      <w:pPr>
        <w:pStyle w:val="NoPaddingFontSize1"/>
      </w:pPr>
    </w:p>
    <w:p w:rsidR="00000000" w:rsidRPr="00043A15" w:rsidP="00043A15">
      <w:pPr>
        <w:pStyle w:val="AllowPageBreak"/>
      </w:pPr>
    </w:p>
    <w:p w:rsidR="00000000" w:rsidRPr="00043A15" w:rsidP="00043A15">
      <w:pPr>
        <w:pStyle w:val="Heading1"/>
      </w:pPr>
      <w:bookmarkStart w:id="10" w:name="O_965935"/>
      <w:bookmarkEnd w:id="10"/>
      <w:r w:rsidRPr="00043A15">
        <w:t>Links</w:t>
      </w:r>
    </w:p>
    <w:p w:rsidR="00000000" w:rsidRPr="00043A15" w:rsidP="00220CF5">
      <w:pPr>
        <w:pStyle w:val="BodyText"/>
      </w:pPr>
      <w:r w:rsidRPr="00043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F040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43A15" w:rsidP="00043A15"/>
    <w:sectPr w:rsidSect="00043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15" w:rsidRPr="00220CF5" w:rsidP="00220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F5" w:rsidP="00043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CF5" w:rsidP="00043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0CF5" w:rsidP="00043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A15" w:rsidRPr="00220CF5" w:rsidP="00220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F5" w:rsidRPr="002D2AF8" w:rsidP="00043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UEGNSG004 Locate, prove and protect utility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220CF5" w:rsidP="00043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A15"/>
  </w:style>
  <w:style w:type="character" w:customStyle="1" w:styleId="Heading1Char">
    <w:name w:val="Heading 1 Char"/>
    <w:basedOn w:val="DefaultParagraphFont"/>
    <w:link w:val="Heading1"/>
    <w:rsid w:val="00043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A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3A15"/>
    <w:rPr>
      <w:b/>
      <w:spacing w:val="0"/>
    </w:rPr>
  </w:style>
  <w:style w:type="paragraph" w:customStyle="1" w:styleId="SuperHeading">
    <w:name w:val="SuperHeading"/>
    <w:basedOn w:val="Normal"/>
    <w:rsid w:val="00043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3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A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3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A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A15"/>
    <w:rPr>
      <w:i/>
    </w:rPr>
  </w:style>
  <w:style w:type="paragraph" w:styleId="Caption">
    <w:name w:val="caption"/>
    <w:basedOn w:val="BodyText"/>
    <w:next w:val="Normal"/>
    <w:qFormat/>
    <w:rsid w:val="00043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A15"/>
  </w:style>
  <w:style w:type="paragraph" w:styleId="TableofFigures">
    <w:name w:val="table of figures"/>
    <w:basedOn w:val="Normal"/>
    <w:next w:val="Normal"/>
    <w:semiHidden/>
    <w:rsid w:val="00043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A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3A15"/>
    <w:rPr>
      <w:rFonts w:ascii="Wingdings" w:hAnsi="Wingdings"/>
    </w:rPr>
  </w:style>
  <w:style w:type="paragraph" w:customStyle="1" w:styleId="TableHeading">
    <w:name w:val="Table Heading"/>
    <w:basedOn w:val="HeadingBase"/>
    <w:rsid w:val="00043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A15"/>
    <w:rPr>
      <w:color w:val="0033CC"/>
      <w:u w:val="none"/>
    </w:rPr>
  </w:style>
  <w:style w:type="paragraph" w:customStyle="1" w:styleId="BodyTextRight">
    <w:name w:val="Body Text Right"/>
    <w:basedOn w:val="BodyText"/>
    <w:rsid w:val="00043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A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A15"/>
    <w:rPr>
      <w:sz w:val="32"/>
    </w:rPr>
  </w:style>
  <w:style w:type="paragraph" w:customStyle="1" w:styleId="HeadingProcedure">
    <w:name w:val="Heading Procedure"/>
    <w:basedOn w:val="HeadingBase"/>
    <w:next w:val="Normal"/>
    <w:rsid w:val="00043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A15"/>
    <w:pPr>
      <w:spacing w:before="60" w:after="60"/>
    </w:pPr>
  </w:style>
  <w:style w:type="paragraph" w:styleId="ListContinue">
    <w:name w:val="List Continue"/>
    <w:basedOn w:val="List"/>
    <w:rsid w:val="00043A15"/>
    <w:pPr>
      <w:ind w:firstLine="0"/>
    </w:pPr>
  </w:style>
  <w:style w:type="paragraph" w:customStyle="1" w:styleId="ListNote">
    <w:name w:val="List Note"/>
    <w:basedOn w:val="List"/>
    <w:rsid w:val="00043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A15"/>
    <w:rPr>
      <w:rFonts w:ascii="Courier New" w:hAnsi="Courier New"/>
    </w:rPr>
  </w:style>
  <w:style w:type="paragraph" w:customStyle="1" w:styleId="NoteBullet">
    <w:name w:val="Note Bullet"/>
    <w:basedOn w:val="Note"/>
    <w:rsid w:val="00043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A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3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A15"/>
    <w:rPr>
      <w:b/>
      <w:smallCaps/>
    </w:rPr>
  </w:style>
  <w:style w:type="paragraph" w:customStyle="1" w:styleId="TableListNumber">
    <w:name w:val="Table List Number"/>
    <w:basedOn w:val="ListNumber"/>
    <w:rsid w:val="00043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A15"/>
    <w:pPr>
      <w:numPr>
        <w:numId w:val="7"/>
      </w:numPr>
    </w:pPr>
  </w:style>
  <w:style w:type="paragraph" w:customStyle="1" w:styleId="ListAlpha2">
    <w:name w:val="List Alpha 2"/>
    <w:basedOn w:val="List2"/>
    <w:rsid w:val="00043A15"/>
    <w:pPr>
      <w:numPr>
        <w:numId w:val="6"/>
      </w:numPr>
    </w:pPr>
  </w:style>
  <w:style w:type="paragraph" w:styleId="List2">
    <w:name w:val="List 2"/>
    <w:basedOn w:val="BodyText"/>
    <w:rsid w:val="00043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A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A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3A15"/>
    <w:pPr>
      <w:numPr>
        <w:numId w:val="2"/>
      </w:numPr>
    </w:pPr>
  </w:style>
  <w:style w:type="paragraph" w:styleId="ListContinue2">
    <w:name w:val="List Continue 2"/>
    <w:basedOn w:val="List2"/>
    <w:rsid w:val="00043A15"/>
    <w:pPr>
      <w:ind w:firstLine="0"/>
    </w:pPr>
  </w:style>
  <w:style w:type="paragraph" w:styleId="ListContinue3">
    <w:name w:val="List Continue 3"/>
    <w:basedOn w:val="List3"/>
    <w:rsid w:val="00043A15"/>
    <w:pPr>
      <w:ind w:left="1021" w:firstLine="0"/>
    </w:pPr>
  </w:style>
  <w:style w:type="paragraph" w:styleId="ListContinue4">
    <w:name w:val="List Continue 4"/>
    <w:basedOn w:val="List4"/>
    <w:rsid w:val="00043A15"/>
    <w:pPr>
      <w:ind w:firstLine="0"/>
    </w:pPr>
  </w:style>
  <w:style w:type="paragraph" w:styleId="ListContinue5">
    <w:name w:val="List Continue 5"/>
    <w:basedOn w:val="List5"/>
    <w:rsid w:val="00043A15"/>
    <w:pPr>
      <w:ind w:firstLine="0"/>
    </w:pPr>
  </w:style>
  <w:style w:type="paragraph" w:styleId="ListNumber3">
    <w:name w:val="List Number 3"/>
    <w:basedOn w:val="List3"/>
    <w:rsid w:val="00043A15"/>
    <w:pPr>
      <w:numPr>
        <w:numId w:val="3"/>
      </w:numPr>
    </w:pPr>
  </w:style>
  <w:style w:type="paragraph" w:styleId="ListNumber4">
    <w:name w:val="List Number 4"/>
    <w:basedOn w:val="List4"/>
    <w:rsid w:val="00043A15"/>
    <w:pPr>
      <w:numPr>
        <w:numId w:val="4"/>
      </w:numPr>
    </w:pPr>
  </w:style>
  <w:style w:type="paragraph" w:styleId="ListNumber5">
    <w:name w:val="List Number 5"/>
    <w:basedOn w:val="List5"/>
    <w:rsid w:val="00043A15"/>
    <w:pPr>
      <w:numPr>
        <w:numId w:val="5"/>
      </w:numPr>
    </w:pPr>
  </w:style>
  <w:style w:type="paragraph" w:styleId="BlockText">
    <w:name w:val="Block Text"/>
    <w:basedOn w:val="Normal"/>
    <w:rsid w:val="00043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A15"/>
    <w:rPr>
      <w:sz w:val="16"/>
      <w:vertAlign w:val="superscript"/>
    </w:rPr>
  </w:style>
  <w:style w:type="character" w:customStyle="1" w:styleId="Symbols">
    <w:name w:val="Symbols"/>
    <w:basedOn w:val="DefaultParagraphFont"/>
    <w:rsid w:val="00043A15"/>
    <w:rPr>
      <w:rFonts w:ascii="Symbol" w:hAnsi="Symbol"/>
    </w:rPr>
  </w:style>
  <w:style w:type="character" w:customStyle="1" w:styleId="MenuOptions">
    <w:name w:val="Menu Options"/>
    <w:basedOn w:val="DefaultParagraphFont"/>
    <w:rsid w:val="00043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A15"/>
    <w:rPr>
      <w:b/>
    </w:rPr>
  </w:style>
  <w:style w:type="character" w:customStyle="1" w:styleId="Underlined">
    <w:name w:val="Underlined"/>
    <w:basedOn w:val="DefaultParagraphFont"/>
    <w:rsid w:val="00043A15"/>
    <w:rPr>
      <w:u w:val="single"/>
    </w:rPr>
  </w:style>
  <w:style w:type="paragraph" w:customStyle="1" w:styleId="TableBodyTextRight">
    <w:name w:val="Table Body Text Right"/>
    <w:basedOn w:val="TableBodyText"/>
    <w:rsid w:val="00043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A15"/>
    <w:rPr>
      <w:sz w:val="18"/>
    </w:rPr>
  </w:style>
  <w:style w:type="paragraph" w:customStyle="1" w:styleId="BodySmallRight">
    <w:name w:val="Body Small Right"/>
    <w:basedOn w:val="BodyTextRight"/>
    <w:rsid w:val="00043A15"/>
    <w:rPr>
      <w:sz w:val="18"/>
      <w:szCs w:val="18"/>
    </w:rPr>
  </w:style>
  <w:style w:type="paragraph" w:customStyle="1" w:styleId="MarginEdition">
    <w:name w:val="Margin Edition"/>
    <w:basedOn w:val="MarginNote"/>
    <w:rsid w:val="00043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A15"/>
    <w:rPr>
      <w:sz w:val="2"/>
      <w:szCs w:val="2"/>
    </w:rPr>
  </w:style>
  <w:style w:type="character" w:customStyle="1" w:styleId="Small">
    <w:name w:val="Small"/>
    <w:basedOn w:val="DefaultParagraphFont"/>
    <w:rsid w:val="00043A15"/>
    <w:rPr>
      <w:sz w:val="16"/>
    </w:rPr>
  </w:style>
  <w:style w:type="paragraph" w:customStyle="1" w:styleId="WideTable">
    <w:name w:val="Wide Table"/>
    <w:basedOn w:val="Normal"/>
    <w:rsid w:val="00043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A15"/>
  </w:style>
  <w:style w:type="paragraph" w:styleId="Quote">
    <w:name w:val="Quote"/>
    <w:basedOn w:val="Heading1"/>
    <w:link w:val="QuoteChar"/>
    <w:qFormat/>
    <w:rsid w:val="00043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A15"/>
    <w:pPr>
      <w:pageBreakBefore/>
    </w:pPr>
  </w:style>
  <w:style w:type="paragraph" w:customStyle="1" w:styleId="Border">
    <w:name w:val="Border"/>
    <w:basedOn w:val="Normal"/>
    <w:qFormat/>
    <w:rsid w:val="00043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A15"/>
    <w:rPr>
      <w:u w:val="single"/>
    </w:rPr>
  </w:style>
  <w:style w:type="character" w:customStyle="1" w:styleId="BoldandItalics">
    <w:name w:val="Bold and Italics"/>
    <w:qFormat/>
    <w:rsid w:val="00043A15"/>
    <w:rPr>
      <w:b/>
      <w:i/>
      <w:u w:val="none"/>
    </w:rPr>
  </w:style>
  <w:style w:type="paragraph" w:styleId="BalloonText">
    <w:name w:val="Balloon Text"/>
    <w:basedOn w:val="Normal"/>
    <w:link w:val="BalloonTextChar"/>
    <w:rsid w:val="0004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A15"/>
    <w:pPr>
      <w:spacing w:before="0" w:after="0"/>
    </w:pPr>
  </w:style>
  <w:style w:type="paragraph" w:customStyle="1" w:styleId="BodyTextBold">
    <w:name w:val="Body Text Bold"/>
    <w:basedOn w:val="BodyText"/>
    <w:qFormat/>
    <w:rsid w:val="00043A15"/>
    <w:rPr>
      <w:b/>
    </w:rPr>
  </w:style>
  <w:style w:type="character" w:styleId="Hyperlink">
    <w:name w:val="Hyperlink"/>
    <w:basedOn w:val="DefaultParagraphFont"/>
    <w:uiPriority w:val="99"/>
    <w:unhideWhenUsed/>
    <w:rsid w:val="00220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4114</Characters>
  <Application>Microsoft Office Word</Application>
  <DocSecurity>0</DocSecurity>
  <Lines>195</Lines>
  <Paragraphs>91</Paragraphs>
  <ScaleCrop>false</ScaleCrop>
  <Company>Author-it Software Corporation Ltd.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UEGNSG004 Locate, prove and protect utility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2021-11-23T02:46:00Z</dcterms:created>
  <dcterms:modified xsi:type="dcterms:W3CDTF">2021-11-23T02:46:00Z</dcterms:modified>
</cp:coreProperties>
</file>