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4844" w:rsidP="00C54844">
      <w:pPr>
        <w:pStyle w:val="Title"/>
      </w:pPr>
      <w:r>
        <w:fldChar w:fldCharType="begin"/>
      </w:r>
      <w:r>
        <w:instrText xml:space="preserve"> TITLE   \* MERGEFORMAT </w:instrText>
      </w:r>
      <w:r>
        <w:fldChar w:fldCharType="separate"/>
      </w:r>
      <w:r>
        <w:t>UEG60118 Advanced Diploma of Gas Supply Industry Operations</w:t>
      </w:r>
      <w:r>
        <w:fldChar w:fldCharType="end"/>
      </w:r>
    </w:p>
    <w:p w:rsidR="00C54844" w:rsidP="00C54844">
      <w:pPr>
        <w:pStyle w:val="Version"/>
        <w:sectPr w:rsidSect="001B70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705D" w:rsidP="001B705D">
      <w:pPr>
        <w:pStyle w:val="SuperHeading"/>
      </w:pPr>
      <w:r w:rsidRPr="001B705D">
        <w:t>UEG60118 Advanced Diploma of Gas Supply Industry Operations</w:t>
      </w:r>
    </w:p>
    <w:p w:rsidR="00000000" w:rsidRPr="001B705D" w:rsidP="001B705D">
      <w:pPr>
        <w:pStyle w:val="Heading1"/>
      </w:pPr>
      <w:bookmarkStart w:id="1" w:name="O_971363"/>
      <w:bookmarkEnd w:id="1"/>
      <w:r w:rsidRPr="001B705D">
        <w:t>Modification History</w:t>
      </w:r>
    </w:p>
    <w:tbl>
      <w:tblPr>
        <w:tblW w:w="9497" w:type="dxa"/>
        <w:tblLayout w:type="fixed"/>
        <w:tblCellMar>
          <w:left w:w="62" w:type="dxa"/>
          <w:right w:w="62" w:type="dxa"/>
        </w:tblCellMar>
        <w:tblLook w:val="0000"/>
      </w:tblPr>
      <w:tblGrid>
        <w:gridCol w:w="9497"/>
      </w:tblGrid>
      <w:tr w:rsidTr="001B70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705D" w:rsidP="001B705D">
            <w:pPr>
              <w:pStyle w:val="BodyText"/>
            </w:pPr>
            <w:r w:rsidRPr="001B705D">
              <w:t>Release 1. This is the first release of this qualification in the UEG Gas Industry Training Package</w:t>
            </w:r>
          </w:p>
        </w:tc>
      </w:tr>
    </w:tbl>
    <w:p w:rsidR="00000000" w:rsidRPr="001B705D" w:rsidP="001B705D">
      <w:pPr>
        <w:pStyle w:val="NoPaddingFontSize1"/>
      </w:pPr>
    </w:p>
    <w:p w:rsidR="00000000" w:rsidRPr="001B705D" w:rsidP="001B705D">
      <w:pPr>
        <w:pStyle w:val="AllowPageBreak"/>
      </w:pPr>
    </w:p>
    <w:p w:rsidR="00000000" w:rsidRPr="001B705D" w:rsidP="001B705D">
      <w:pPr>
        <w:pStyle w:val="Heading1"/>
      </w:pPr>
      <w:bookmarkStart w:id="2" w:name="O_971364"/>
      <w:bookmarkEnd w:id="2"/>
      <w:r w:rsidRPr="001B705D">
        <w:t>Qualification Description</w:t>
      </w:r>
    </w:p>
    <w:tbl>
      <w:tblPr>
        <w:tblW w:w="9497" w:type="dxa"/>
        <w:tblLayout w:type="fixed"/>
        <w:tblCellMar>
          <w:left w:w="62" w:type="dxa"/>
          <w:right w:w="62" w:type="dxa"/>
        </w:tblCellMar>
        <w:tblLook w:val="0000"/>
      </w:tblPr>
      <w:tblGrid>
        <w:gridCol w:w="9497"/>
      </w:tblGrid>
      <w:tr w:rsidTr="001B70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705D" w:rsidP="001B705D">
            <w:pPr>
              <w:pStyle w:val="BodyText"/>
            </w:pPr>
            <w:r w:rsidRPr="001B705D">
              <w:t>This qualification provides competencies to design and manage gas supply i</w:t>
            </w:r>
            <w:r w:rsidRPr="001B705D">
              <w:t>ndustry activities and projects and the management of staff.</w:t>
            </w:r>
          </w:p>
          <w:p w:rsidR="00000000" w:rsidRPr="001B705D" w:rsidP="001B705D">
            <w:pPr>
              <w:pStyle w:val="BodyText"/>
            </w:pPr>
            <w:r w:rsidRPr="001B705D">
              <w:t>No licensing, legislative or certification requirements apply to this qualification at the time of publication.</w:t>
            </w:r>
          </w:p>
        </w:tc>
      </w:tr>
    </w:tbl>
    <w:p w:rsidR="00000000" w:rsidRPr="001B705D" w:rsidP="001B705D">
      <w:pPr>
        <w:pStyle w:val="NoPaddingFontSize1"/>
      </w:pPr>
    </w:p>
    <w:p w:rsidR="00000000" w:rsidRPr="001B705D" w:rsidP="001B705D">
      <w:pPr>
        <w:pStyle w:val="AllowPageBreak"/>
      </w:pPr>
    </w:p>
    <w:p w:rsidR="00000000" w:rsidRPr="001B705D" w:rsidP="001B705D">
      <w:pPr>
        <w:pStyle w:val="Heading1"/>
      </w:pPr>
      <w:bookmarkStart w:id="3" w:name="O_971365"/>
      <w:bookmarkEnd w:id="3"/>
      <w:r w:rsidRPr="001B705D">
        <w:t>Entry Requirements</w:t>
      </w:r>
    </w:p>
    <w:tbl>
      <w:tblPr>
        <w:tblW w:w="9497" w:type="dxa"/>
        <w:tblLayout w:type="fixed"/>
        <w:tblCellMar>
          <w:left w:w="62" w:type="dxa"/>
          <w:right w:w="62" w:type="dxa"/>
        </w:tblCellMar>
        <w:tblLook w:val="0000"/>
      </w:tblPr>
      <w:tblGrid>
        <w:gridCol w:w="9497"/>
      </w:tblGrid>
      <w:tr w:rsidTr="001B70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705D" w:rsidP="001B705D">
            <w:pPr>
              <w:pStyle w:val="BodyText"/>
            </w:pPr>
            <w:r w:rsidRPr="001B705D">
              <w:t>There are no entry requirements for this qual</w:t>
            </w:r>
            <w:r w:rsidRPr="001B705D">
              <w:t>ification</w:t>
            </w:r>
          </w:p>
        </w:tc>
      </w:tr>
    </w:tbl>
    <w:p w:rsidR="00000000" w:rsidRPr="001B705D" w:rsidP="001B705D">
      <w:pPr>
        <w:pStyle w:val="NoPaddingFontSize1"/>
      </w:pPr>
    </w:p>
    <w:p w:rsidR="00000000" w:rsidRPr="001B705D" w:rsidP="001B705D">
      <w:pPr>
        <w:pStyle w:val="AllowPageBreak"/>
      </w:pPr>
    </w:p>
    <w:p w:rsidR="00000000" w:rsidRPr="001B705D" w:rsidP="001B705D">
      <w:pPr>
        <w:pStyle w:val="Heading1"/>
      </w:pPr>
      <w:bookmarkStart w:id="4" w:name="O_971366"/>
      <w:bookmarkEnd w:id="4"/>
      <w:r w:rsidRPr="001B705D">
        <w:t>Packaging Rules</w:t>
      </w:r>
    </w:p>
    <w:tbl>
      <w:tblPr>
        <w:tblW w:w="9498" w:type="dxa"/>
        <w:tblLayout w:type="fixed"/>
        <w:tblCellMar>
          <w:left w:w="62" w:type="dxa"/>
          <w:right w:w="62" w:type="dxa"/>
        </w:tblCellMar>
        <w:tblLook w:val="0000"/>
      </w:tblPr>
      <w:tblGrid>
        <w:gridCol w:w="1899"/>
        <w:gridCol w:w="5592"/>
        <w:gridCol w:w="2007"/>
      </w:tblGrid>
      <w:tr w:rsidTr="001B705D">
        <w:tblPrEx>
          <w:tblW w:w="9498" w:type="dxa"/>
          <w:tblLayout w:type="fixed"/>
          <w:tblCellMar>
            <w:left w:w="62" w:type="dxa"/>
            <w:right w:w="62" w:type="dxa"/>
          </w:tblCellMar>
          <w:tblLook w:val="0000"/>
        </w:tblPrEx>
        <w:tc>
          <w:tcPr>
            <w:tcW w:w="9498" w:type="dxa"/>
            <w:gridSpan w:val="3"/>
            <w:tcBorders>
              <w:top w:val="nil"/>
              <w:left w:val="nil"/>
              <w:bottom w:val="nil"/>
              <w:right w:val="nil"/>
            </w:tcBorders>
            <w:tcMar>
              <w:top w:w="0" w:type="dxa"/>
              <w:left w:w="62" w:type="dxa"/>
              <w:bottom w:w="0" w:type="dxa"/>
              <w:right w:w="62" w:type="dxa"/>
            </w:tcMar>
          </w:tcPr>
          <w:p w:rsidR="00000000" w:rsidRPr="001B705D" w:rsidP="001B705D">
            <w:pPr>
              <w:pStyle w:val="BodyText"/>
            </w:pPr>
            <w:r w:rsidRPr="001B705D">
              <w:t>A total of 2160 weighting points comprising:</w:t>
            </w:r>
          </w:p>
          <w:p w:rsidR="00000000" w:rsidRPr="001B705D" w:rsidP="001B705D">
            <w:pPr>
              <w:pStyle w:val="BodyText"/>
            </w:pPr>
            <w:r w:rsidRPr="001B705D">
              <w:t>400 core weighting points listed below; plus</w:t>
            </w:r>
          </w:p>
          <w:p w:rsidR="00000000" w:rsidRPr="001B705D" w:rsidP="001B705D">
            <w:pPr>
              <w:pStyle w:val="BodyText"/>
            </w:pPr>
            <w:r w:rsidRPr="001B705D">
              <w:t>1760 elective weighting points from the elective units listed below.</w:t>
            </w:r>
          </w:p>
          <w:p w:rsidR="00000000" w:rsidRPr="001B705D" w:rsidP="001B705D">
            <w:pPr>
              <w:pStyle w:val="BodyText"/>
            </w:pPr>
            <w:r w:rsidRPr="001B705D">
              <w:t xml:space="preserve">Choose a minimum of 1760 </w:t>
            </w:r>
            <w:r w:rsidRPr="001B705D">
              <w:rPr>
                <w:rStyle w:val="SpecialBold"/>
              </w:rPr>
              <w:t>weighting points</w:t>
            </w:r>
            <w:r w:rsidRPr="001B705D">
              <w:t xml:space="preserve"> elective u</w:t>
            </w:r>
            <w:r w:rsidRPr="001B705D">
              <w:t>nits from the list below, of which between 0 and 360</w:t>
            </w:r>
            <w:r w:rsidRPr="001B705D">
              <w:rPr>
                <w:rStyle w:val="SpecialBold"/>
              </w:rPr>
              <w:t xml:space="preserve"> weighting points</w:t>
            </w:r>
            <w:r w:rsidRPr="001B705D">
              <w:t xml:space="preserve"> can be taken from Group A, between 0 and 180</w:t>
            </w:r>
            <w:r w:rsidRPr="001B705D">
              <w:rPr>
                <w:rStyle w:val="SpecialBold"/>
              </w:rPr>
              <w:t xml:space="preserve"> weighting points</w:t>
            </w:r>
            <w:r w:rsidRPr="001B705D">
              <w:t xml:space="preserve"> can be taken from Group B, between 330 and 670</w:t>
            </w:r>
            <w:r w:rsidRPr="001B705D">
              <w:rPr>
                <w:rStyle w:val="SpecialBold"/>
              </w:rPr>
              <w:t xml:space="preserve"> weighting points</w:t>
            </w:r>
            <w:r w:rsidRPr="001B705D">
              <w:t xml:space="preserve"> can be taken from Group C; between 300 and 810</w:t>
            </w:r>
            <w:r w:rsidRPr="001B705D">
              <w:rPr>
                <w:rStyle w:val="SpecialBold"/>
              </w:rPr>
              <w:t xml:space="preserve"> weighting poi</w:t>
            </w:r>
            <w:r w:rsidRPr="001B705D">
              <w:rPr>
                <w:rStyle w:val="SpecialBold"/>
              </w:rPr>
              <w:t>nts</w:t>
            </w:r>
            <w:r w:rsidRPr="001B705D">
              <w:t xml:space="preserve"> can be taken from Group D, between 180 and 340</w:t>
            </w:r>
            <w:r w:rsidRPr="001B705D">
              <w:rPr>
                <w:rStyle w:val="SpecialBold"/>
              </w:rPr>
              <w:t xml:space="preserve"> weighting points</w:t>
            </w:r>
            <w:r w:rsidRPr="001B705D">
              <w:t xml:space="preserve"> can be taken from Group E, and between 440 and 540</w:t>
            </w:r>
            <w:r w:rsidRPr="001B705D">
              <w:rPr>
                <w:rStyle w:val="SpecialBold"/>
              </w:rPr>
              <w:t xml:space="preserve"> weighting points</w:t>
            </w:r>
            <w:r w:rsidRPr="001B705D">
              <w:t xml:space="preserve"> can be taken from Group F.</w:t>
            </w:r>
          </w:p>
          <w:p w:rsidR="00000000" w:rsidRPr="001B705D" w:rsidP="001B705D">
            <w:pPr>
              <w:pStyle w:val="BodyText"/>
            </w:pPr>
            <w:r w:rsidRPr="001B705D">
              <w:rPr>
                <w:rStyle w:val="SpecialBold"/>
              </w:rPr>
              <w:t>Up to 360 weighting points of the elective units</w:t>
            </w:r>
            <w:r w:rsidRPr="001B705D">
              <w:t xml:space="preserve"> </w:t>
            </w:r>
            <w:r w:rsidRPr="001B705D">
              <w:rPr>
                <w:rStyle w:val="SpecialBold"/>
              </w:rPr>
              <w:t>Group A</w:t>
            </w:r>
            <w:r w:rsidRPr="001B705D">
              <w:t>, may be selected, with appropriate c</w:t>
            </w:r>
            <w:r w:rsidRPr="001B705D">
              <w:t>ontextualisation, from any relevant nationally endorsed Training Package or accredited course, provided selected units contribute to the vocational outcome of the qualification. Previously assigned weighting points are listed in the UEG CVIG, if not listed</w:t>
            </w:r>
            <w:r w:rsidRPr="001B705D">
              <w:t xml:space="preserve"> weighting points will be 10 points unless directed from the Gas Industry Reference Committee (IRC). The general elective units must contribute to the vocational outcomes of the qualification.</w:t>
            </w:r>
          </w:p>
          <w:p w:rsidR="00000000" w:rsidRPr="001B705D" w:rsidP="001B705D">
            <w:pPr>
              <w:pStyle w:val="BodyText"/>
            </w:pPr>
            <w:r w:rsidRPr="001B705D">
              <w:t>Where imported units are selected, care must be taken to ensure all prerequisite units specified are complied with.</w:t>
            </w:r>
          </w:p>
          <w:p w:rsidR="00000000" w:rsidP="001B705D">
            <w:pPr>
              <w:pStyle w:val="BodyText"/>
              <w:rPr>
                <w:lang w:val="en-NZ"/>
              </w:rPr>
            </w:pPr>
            <w:r w:rsidRPr="001B705D">
              <w:t xml:space="preserve">Where a prerequisite unit is attached to a unit, it is identified by this symbol </w:t>
            </w:r>
            <w:r w:rsidRPr="001B705D">
              <w:t>∟</w:t>
            </w:r>
            <w:r w:rsidRPr="001B705D">
              <w:t>.</w:t>
            </w:r>
          </w:p>
        </w:tc>
      </w:tr>
      <w:tr w:rsidTr="001B705D">
        <w:tblPrEx>
          <w:tblW w:w="9498" w:type="dxa"/>
          <w:tblLayout w:type="fixed"/>
          <w:tblCellMar>
            <w:left w:w="62" w:type="dxa"/>
            <w:right w:w="62" w:type="dxa"/>
          </w:tblCellMar>
          <w:tblLook w:val="0000"/>
        </w:tblPrEx>
        <w:trPr>
          <w:trHeight w:val="604"/>
        </w:trPr>
        <w:tc>
          <w:tcPr>
            <w:tcW w:w="7491" w:type="dxa"/>
            <w:gridSpan w:val="2"/>
            <w:tcBorders>
              <w:top w:val="nil"/>
              <w:left w:val="nil"/>
              <w:bottom w:val="nil"/>
              <w:right w:val="nil"/>
            </w:tcBorders>
            <w:tcMar>
              <w:top w:w="0" w:type="dxa"/>
              <w:left w:w="62" w:type="dxa"/>
              <w:bottom w:w="0" w:type="dxa"/>
              <w:right w:w="62" w:type="dxa"/>
            </w:tcMar>
          </w:tcPr>
          <w:p w:rsidR="00000000" w:rsidRPr="001B705D" w:rsidP="001B705D">
            <w:pPr>
              <w:pStyle w:val="BodyText"/>
            </w:pPr>
            <w:r w:rsidRPr="001B705D">
              <w:rPr>
                <w:rStyle w:val="SpecialBold"/>
              </w:rPr>
              <w:t xml:space="preserve">Core units </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rPr>
                <w:rStyle w:val="SpecialBold"/>
              </w:rPr>
              <w:t>Weighting Points</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UEGNSG005</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Prepare to w</w:t>
            </w:r>
            <w:r w:rsidRPr="001B705D">
              <w:t xml:space="preserve">ork in the gas industry </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20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UEGNSG132</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Carry out basic work activities in a gas industry work environment</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 xml:space="preserve">60 </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UEGNSG133</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Comply with environmental policies and procedures in the utilities industry</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40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UEGNSG141</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Apply workplace health and safety regulations, codes and practices in the gas supply industry</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20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UEGNSG113</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Manage a utilities industry WHS management system</w:t>
            </w:r>
          </w:p>
        </w:tc>
        <w:tc>
          <w:tcPr>
            <w:tcW w:w="2007" w:type="dxa"/>
            <w:tcBorders>
              <w:top w:val="nil"/>
              <w:left w:val="nil"/>
              <w:bottom w:val="nil"/>
              <w:right w:val="nil"/>
            </w:tcBorders>
            <w:tcMar>
              <w:top w:w="0" w:type="dxa"/>
              <w:left w:w="62" w:type="dxa"/>
              <w:bottom w:w="0" w:type="dxa"/>
              <w:right w:w="62" w:type="dxa"/>
            </w:tcMar>
            <w:vAlign w:val="center"/>
          </w:tcPr>
          <w:p w:rsidR="00000000" w:rsidP="001B705D">
            <w:pPr>
              <w:pStyle w:val="BodyText"/>
              <w:rPr>
                <w:lang w:val="en-NZ"/>
              </w:rPr>
            </w:pPr>
            <w:r w:rsidRPr="001B705D">
              <w:t>80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UEGNSG120</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 xml:space="preserve">Manage gas system environmental compliance </w:t>
            </w:r>
          </w:p>
        </w:tc>
        <w:tc>
          <w:tcPr>
            <w:tcW w:w="2007" w:type="dxa"/>
            <w:tcBorders>
              <w:top w:val="nil"/>
              <w:left w:val="nil"/>
              <w:bottom w:val="nil"/>
              <w:right w:val="nil"/>
            </w:tcBorders>
            <w:tcMar>
              <w:top w:w="0" w:type="dxa"/>
              <w:left w:w="62" w:type="dxa"/>
              <w:bottom w:w="0" w:type="dxa"/>
              <w:right w:w="62" w:type="dxa"/>
            </w:tcMar>
            <w:vAlign w:val="center"/>
          </w:tcPr>
          <w:p w:rsidR="00000000" w:rsidP="001B705D">
            <w:pPr>
              <w:pStyle w:val="BodyText"/>
              <w:rPr>
                <w:lang w:val="en-NZ"/>
              </w:rPr>
            </w:pPr>
            <w:r w:rsidRPr="001B705D">
              <w:t>60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UEGNSG123</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Manage financial resources in a gas industry facility</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120</w:t>
            </w:r>
          </w:p>
        </w:tc>
      </w:tr>
      <w:tr w:rsidTr="001B705D">
        <w:tblPrEx>
          <w:tblW w:w="9498" w:type="dxa"/>
          <w:tblLayout w:type="fixed"/>
          <w:tblCellMar>
            <w:left w:w="62" w:type="dxa"/>
            <w:right w:w="62" w:type="dxa"/>
          </w:tblCellMar>
          <w:tblLook w:val="0000"/>
        </w:tblPrEx>
        <w:trPr>
          <w:trHeight w:val="604"/>
        </w:trPr>
        <w:tc>
          <w:tcPr>
            <w:tcW w:w="7491" w:type="dxa"/>
            <w:gridSpan w:val="2"/>
            <w:tcBorders>
              <w:top w:val="nil"/>
              <w:left w:val="nil"/>
              <w:bottom w:val="nil"/>
              <w:right w:val="nil"/>
            </w:tcBorders>
            <w:tcMar>
              <w:top w:w="0" w:type="dxa"/>
              <w:left w:w="62" w:type="dxa"/>
              <w:bottom w:w="0" w:type="dxa"/>
              <w:right w:w="62" w:type="dxa"/>
            </w:tcMar>
          </w:tcPr>
          <w:p w:rsidR="00000000" w:rsidRPr="001B705D" w:rsidP="001B705D">
            <w:pPr>
              <w:pStyle w:val="BodyText"/>
            </w:pPr>
            <w:r w:rsidRPr="001B705D">
              <w:rPr>
                <w:rStyle w:val="SpecialBold"/>
              </w:rPr>
              <w:t>Group A: Imported and common elective units</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rPr>
                <w:rStyle w:val="SpecialBold"/>
              </w:rPr>
              <w:t>Weighting Points</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BSBCUS501</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Manage quality customer service</w:t>
            </w:r>
          </w:p>
        </w:tc>
        <w:tc>
          <w:tcPr>
            <w:tcW w:w="2007" w:type="dxa"/>
            <w:tcBorders>
              <w:top w:val="nil"/>
              <w:left w:val="nil"/>
              <w:bottom w:val="nil"/>
              <w:right w:val="nil"/>
            </w:tcBorders>
            <w:tcMar>
              <w:top w:w="0" w:type="dxa"/>
              <w:left w:w="62" w:type="dxa"/>
              <w:bottom w:w="0" w:type="dxa"/>
              <w:right w:w="62" w:type="dxa"/>
            </w:tcMar>
            <w:vAlign w:val="center"/>
          </w:tcPr>
          <w:p w:rsidR="00000000" w:rsidP="001B705D">
            <w:pPr>
              <w:pStyle w:val="BodyText"/>
              <w:rPr>
                <w:lang w:val="en-NZ"/>
              </w:rPr>
            </w:pPr>
            <w:r w:rsidRPr="001B705D">
              <w:t>40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BSBFLM309</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Support continuous improvement systems and processes</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40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BSBINM501</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Manage an information or knowledge management system</w:t>
            </w:r>
          </w:p>
        </w:tc>
        <w:tc>
          <w:tcPr>
            <w:tcW w:w="2007" w:type="dxa"/>
            <w:tcBorders>
              <w:top w:val="nil"/>
              <w:left w:val="nil"/>
              <w:bottom w:val="nil"/>
              <w:right w:val="nil"/>
            </w:tcBorders>
            <w:tcMar>
              <w:top w:w="0" w:type="dxa"/>
              <w:left w:w="62" w:type="dxa"/>
              <w:bottom w:w="0" w:type="dxa"/>
              <w:right w:w="62" w:type="dxa"/>
            </w:tcMar>
            <w:vAlign w:val="center"/>
          </w:tcPr>
          <w:p w:rsidR="00000000" w:rsidP="001B705D">
            <w:pPr>
              <w:pStyle w:val="BodyText"/>
              <w:rPr>
                <w:lang w:val="en-NZ"/>
              </w:rPr>
            </w:pPr>
            <w:r w:rsidRPr="001B705D">
              <w:t>50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BSBINM601</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 xml:space="preserve">Manage knowledge and information </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80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BSBINN502</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Build and sustain an innovative work environment</w:t>
            </w:r>
          </w:p>
        </w:tc>
        <w:tc>
          <w:tcPr>
            <w:tcW w:w="2007" w:type="dxa"/>
            <w:tcBorders>
              <w:top w:val="nil"/>
              <w:left w:val="nil"/>
              <w:bottom w:val="nil"/>
              <w:right w:val="nil"/>
            </w:tcBorders>
            <w:tcMar>
              <w:top w:w="0" w:type="dxa"/>
              <w:left w:w="62" w:type="dxa"/>
              <w:bottom w:w="0" w:type="dxa"/>
              <w:right w:w="62" w:type="dxa"/>
            </w:tcMar>
            <w:vAlign w:val="center"/>
          </w:tcPr>
          <w:p w:rsidR="00000000" w:rsidP="001B705D">
            <w:pPr>
              <w:pStyle w:val="BodyText"/>
              <w:rPr>
                <w:lang w:val="en-NZ"/>
              </w:rPr>
            </w:pPr>
            <w:r w:rsidRPr="001B705D">
              <w:t>50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BSBINN601</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 xml:space="preserve">Lead and manage organisational change </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60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BSBLED501</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Develop a workplace learning environment</w:t>
            </w:r>
          </w:p>
        </w:tc>
        <w:tc>
          <w:tcPr>
            <w:tcW w:w="2007" w:type="dxa"/>
            <w:tcBorders>
              <w:top w:val="nil"/>
              <w:left w:val="nil"/>
              <w:bottom w:val="nil"/>
              <w:right w:val="nil"/>
            </w:tcBorders>
            <w:tcMar>
              <w:top w:w="0" w:type="dxa"/>
              <w:left w:w="62" w:type="dxa"/>
              <w:bottom w:w="0" w:type="dxa"/>
              <w:right w:w="62" w:type="dxa"/>
            </w:tcMar>
            <w:vAlign w:val="center"/>
          </w:tcPr>
          <w:p w:rsidR="00000000" w:rsidP="001B705D">
            <w:pPr>
              <w:pStyle w:val="BodyText"/>
              <w:rPr>
                <w:lang w:val="en-NZ"/>
              </w:rPr>
            </w:pPr>
            <w:r w:rsidRPr="001B705D">
              <w:t>60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BSBMGT502</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Manage people performance</w:t>
            </w:r>
          </w:p>
        </w:tc>
        <w:tc>
          <w:tcPr>
            <w:tcW w:w="2007" w:type="dxa"/>
            <w:tcBorders>
              <w:top w:val="nil"/>
              <w:left w:val="nil"/>
              <w:bottom w:val="nil"/>
              <w:right w:val="nil"/>
            </w:tcBorders>
            <w:tcMar>
              <w:top w:w="0" w:type="dxa"/>
              <w:left w:w="62" w:type="dxa"/>
              <w:bottom w:w="0" w:type="dxa"/>
              <w:right w:w="62" w:type="dxa"/>
            </w:tcMar>
            <w:vAlign w:val="center"/>
          </w:tcPr>
          <w:p w:rsidR="00000000" w:rsidP="001B705D">
            <w:pPr>
              <w:pStyle w:val="BodyText"/>
              <w:rPr>
                <w:lang w:val="en-NZ"/>
              </w:rPr>
            </w:pPr>
            <w:r w:rsidRPr="001B705D">
              <w:t>70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BSBMGT517</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Manage operational plan</w:t>
            </w:r>
          </w:p>
        </w:tc>
        <w:tc>
          <w:tcPr>
            <w:tcW w:w="2007" w:type="dxa"/>
            <w:tcBorders>
              <w:top w:val="nil"/>
              <w:left w:val="nil"/>
              <w:bottom w:val="nil"/>
              <w:right w:val="nil"/>
            </w:tcBorders>
            <w:tcMar>
              <w:top w:w="0" w:type="dxa"/>
              <w:left w:w="62" w:type="dxa"/>
              <w:bottom w:w="0" w:type="dxa"/>
              <w:right w:w="62" w:type="dxa"/>
            </w:tcMar>
            <w:vAlign w:val="center"/>
          </w:tcPr>
          <w:p w:rsidR="00000000" w:rsidP="001B705D">
            <w:pPr>
              <w:pStyle w:val="BodyText"/>
              <w:rPr>
                <w:lang w:val="en-NZ"/>
              </w:rPr>
            </w:pPr>
            <w:r w:rsidRPr="001B705D">
              <w:t>60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BSBMGT516</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Facilitate continuous improvement</w:t>
            </w:r>
          </w:p>
        </w:tc>
        <w:tc>
          <w:tcPr>
            <w:tcW w:w="2007" w:type="dxa"/>
            <w:tcBorders>
              <w:top w:val="nil"/>
              <w:left w:val="nil"/>
              <w:bottom w:val="nil"/>
              <w:right w:val="nil"/>
            </w:tcBorders>
            <w:tcMar>
              <w:top w:w="0" w:type="dxa"/>
              <w:left w:w="62" w:type="dxa"/>
              <w:bottom w:w="0" w:type="dxa"/>
              <w:right w:w="62" w:type="dxa"/>
            </w:tcMar>
            <w:vAlign w:val="center"/>
          </w:tcPr>
          <w:p w:rsidR="00000000" w:rsidP="001B705D">
            <w:pPr>
              <w:pStyle w:val="BodyText"/>
              <w:rPr>
                <w:lang w:val="en-NZ"/>
              </w:rPr>
            </w:pPr>
            <w:r w:rsidRPr="001B705D">
              <w:t>60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BSBWHS501</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Ensure a safe workplace</w:t>
            </w:r>
          </w:p>
        </w:tc>
        <w:tc>
          <w:tcPr>
            <w:tcW w:w="2007" w:type="dxa"/>
            <w:tcBorders>
              <w:top w:val="nil"/>
              <w:left w:val="nil"/>
              <w:bottom w:val="nil"/>
              <w:right w:val="nil"/>
            </w:tcBorders>
            <w:tcMar>
              <w:top w:w="0" w:type="dxa"/>
              <w:left w:w="62" w:type="dxa"/>
              <w:bottom w:w="0" w:type="dxa"/>
              <w:right w:w="62" w:type="dxa"/>
            </w:tcMar>
            <w:vAlign w:val="center"/>
          </w:tcPr>
          <w:p w:rsidR="00000000" w:rsidP="001B705D">
            <w:pPr>
              <w:pStyle w:val="BodyText"/>
              <w:rPr>
                <w:lang w:val="en-NZ"/>
              </w:rPr>
            </w:pPr>
            <w:r w:rsidRPr="001B705D">
              <w:t>60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BSBWHS601</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 xml:space="preserve">Apply legislative frameworks for WHS </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40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 xml:space="preserve">BSBWHS602 </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 xml:space="preserve">Facilitate WHS activities </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50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 xml:space="preserve">BSBWHS603 </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 xml:space="preserve">Implement WHS risk management </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50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BSBWOR501</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Manage personal work priorities and professional development</w:t>
            </w:r>
          </w:p>
        </w:tc>
        <w:tc>
          <w:tcPr>
            <w:tcW w:w="2007" w:type="dxa"/>
            <w:tcBorders>
              <w:top w:val="nil"/>
              <w:left w:val="nil"/>
              <w:bottom w:val="nil"/>
              <w:right w:val="nil"/>
            </w:tcBorders>
            <w:tcMar>
              <w:top w:w="0" w:type="dxa"/>
              <w:left w:w="62" w:type="dxa"/>
              <w:bottom w:w="0" w:type="dxa"/>
              <w:right w:w="62" w:type="dxa"/>
            </w:tcMar>
            <w:vAlign w:val="center"/>
          </w:tcPr>
          <w:p w:rsidR="00000000" w:rsidP="001B705D">
            <w:pPr>
              <w:pStyle w:val="BodyText"/>
              <w:rPr>
                <w:lang w:val="en-NZ"/>
              </w:rPr>
            </w:pPr>
            <w:r w:rsidRPr="001B705D">
              <w:t>60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BSBWOR502</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Lead and manage team effectiveness</w:t>
            </w:r>
          </w:p>
        </w:tc>
        <w:tc>
          <w:tcPr>
            <w:tcW w:w="2007" w:type="dxa"/>
            <w:tcBorders>
              <w:top w:val="nil"/>
              <w:left w:val="nil"/>
              <w:bottom w:val="nil"/>
              <w:right w:val="nil"/>
            </w:tcBorders>
            <w:tcMar>
              <w:top w:w="0" w:type="dxa"/>
              <w:left w:w="62" w:type="dxa"/>
              <w:bottom w:w="0" w:type="dxa"/>
              <w:right w:w="62" w:type="dxa"/>
            </w:tcMar>
            <w:vAlign w:val="center"/>
          </w:tcPr>
          <w:p w:rsidR="00000000" w:rsidP="001B705D">
            <w:pPr>
              <w:pStyle w:val="BodyText"/>
              <w:rPr>
                <w:lang w:val="en-NZ"/>
              </w:rPr>
            </w:pPr>
            <w:r w:rsidRPr="001B705D">
              <w:t>60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PMAOMIR512</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Establis</w:t>
            </w:r>
            <w:r w:rsidRPr="001B705D">
              <w:t>h incident response preparedness and response systems</w:t>
            </w:r>
          </w:p>
        </w:tc>
        <w:tc>
          <w:tcPr>
            <w:tcW w:w="2007" w:type="dxa"/>
            <w:tcBorders>
              <w:top w:val="nil"/>
              <w:left w:val="nil"/>
              <w:bottom w:val="nil"/>
              <w:right w:val="nil"/>
            </w:tcBorders>
            <w:tcMar>
              <w:top w:w="0" w:type="dxa"/>
              <w:left w:w="62" w:type="dxa"/>
              <w:bottom w:w="0" w:type="dxa"/>
              <w:right w:w="62" w:type="dxa"/>
            </w:tcMar>
            <w:vAlign w:val="center"/>
          </w:tcPr>
          <w:p w:rsidR="00000000" w:rsidP="001B705D">
            <w:pPr>
              <w:pStyle w:val="BodyText"/>
              <w:rPr>
                <w:lang w:val="en-NZ"/>
              </w:rPr>
            </w:pPr>
            <w:r w:rsidRPr="001B705D">
              <w:t>70</w:t>
            </w:r>
          </w:p>
        </w:tc>
      </w:tr>
      <w:tr w:rsidTr="001B705D">
        <w:tblPrEx>
          <w:tblW w:w="9498" w:type="dxa"/>
          <w:tblLayout w:type="fixed"/>
          <w:tblCellMar>
            <w:left w:w="62" w:type="dxa"/>
            <w:right w:w="62" w:type="dxa"/>
          </w:tblCellMar>
          <w:tblLook w:val="0000"/>
        </w:tblPrEx>
        <w:trPr>
          <w:trHeight w:val="604"/>
        </w:trPr>
        <w:tc>
          <w:tcPr>
            <w:tcW w:w="7491" w:type="dxa"/>
            <w:gridSpan w:val="2"/>
            <w:tcBorders>
              <w:top w:val="nil"/>
              <w:left w:val="nil"/>
              <w:bottom w:val="nil"/>
              <w:right w:val="nil"/>
            </w:tcBorders>
            <w:tcMar>
              <w:top w:w="0" w:type="dxa"/>
              <w:left w:w="62" w:type="dxa"/>
              <w:bottom w:w="0" w:type="dxa"/>
              <w:right w:w="62" w:type="dxa"/>
            </w:tcMar>
          </w:tcPr>
          <w:p w:rsidR="00000000" w:rsidRPr="001B705D" w:rsidP="001B705D">
            <w:pPr>
              <w:pStyle w:val="BodyText"/>
            </w:pPr>
            <w:r w:rsidRPr="001B705D">
              <w:rPr>
                <w:rStyle w:val="SpecialBold"/>
              </w:rPr>
              <w:t>Group B: General elective units</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rPr>
                <w:rStyle w:val="SpecialBold"/>
              </w:rPr>
              <w:t>Weighting Points</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UEENEEE102A</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Fabricate, assemble and dismantle utilities industry components</w:t>
            </w:r>
            <w:r w:rsidRPr="001B705D">
              <w:br/>
              <w:t>∟UEENEEE101A Apply Occupational Health and Safety regulations, codes an</w:t>
            </w:r>
            <w:r w:rsidRPr="001B705D">
              <w:t>d practices in the workplace</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40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UEENEEE107A</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Use drawings, diagrams, schedules, standards, codes and specifications</w:t>
            </w:r>
            <w:r w:rsidRPr="001B705D">
              <w:br/>
              <w:t>∟UEENEEE101A Apply Occupational Health and Safety regulations, codes and practices in the workplace</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40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UEENEEM080A</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Report on the integrity of explosion-protected equipment in a hazardous area</w:t>
            </w:r>
            <w:r w:rsidRPr="001B705D">
              <w:br/>
              <w:t>∟UEENEEG105A Verify compliance and functionality of low voltage general electrical installations</w:t>
            </w:r>
            <w:r w:rsidRPr="001B705D">
              <w:br/>
              <w:t>∟UEENEEI112A Verify compliance and functionality of instrumentation and control in</w:t>
            </w:r>
            <w:r w:rsidRPr="001B705D">
              <w:t>stallations</w:t>
            </w:r>
            <w:r w:rsidRPr="001B705D">
              <w:br/>
              <w:t>∟MEM07001B Perform operational maintenance of machines/equipment</w:t>
            </w:r>
            <w:r w:rsidRPr="001B705D">
              <w:br/>
              <w:t>∟PMAOPS201B Operate fluid flow equipment</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20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UEGNSG004</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Locate, prove and protect utility assets</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60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UEGNSG006</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Use a portable gas detector to locate escape</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40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UEGNSG134</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 xml:space="preserve">Establish </w:t>
            </w:r>
            <w:r w:rsidRPr="001B705D">
              <w:t xml:space="preserve">a utilities infrastructure work site  </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60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UEGNSG136</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Carry out transmission pipeline construction work activities</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60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UEGNSG140</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 xml:space="preserve">Apply environmental policies and procedures in the utilities industry </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20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UEGNSG219</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Conduct excavat</w:t>
            </w:r>
            <w:r w:rsidRPr="001B705D">
              <w:t>ions in the utilities industry</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60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UEGNSG221</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First on site response to gas pipeline emergencies</w:t>
            </w:r>
            <w:r w:rsidRPr="001B705D">
              <w:br/>
              <w:t>∟CPPFES2005A Demonstrate first attack firefighting equipment</w:t>
            </w:r>
            <w:r w:rsidRPr="001B705D">
              <w:br/>
              <w:t>∟HLTAID003 Provide first aid</w:t>
            </w:r>
            <w:r w:rsidRPr="001B705D">
              <w:br/>
              <w:t>∟UEGNSG141 Apply workplace health and safety regulations, codes and pr</w:t>
            </w:r>
            <w:r w:rsidRPr="001B705D">
              <w:t>actices in the gas supply industry</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90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UEGNSG224</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Construct and lay copper and stainless steel gas distribution pipelines</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60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UEGNSG226</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Assist with the construction, laying and connection of gas distribution services to mains</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40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UEGNSG227</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Assist with the c</w:t>
            </w:r>
            <w:r w:rsidRPr="001B705D">
              <w:t>onstruction and laying of gas distribution mains</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40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UEGNSG330</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Coat metallic pipelines</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80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UEGNSG331</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Establish right of way access for transmission pipeline construction</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60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UEGNSG332</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Undertake hydro-testing for transmission pipeline construction</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60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UEGNSG333</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Work in proximity of transmission pipeline construction plant and equipment</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40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UEGNSG342</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Maintain pipeline easements</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40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UEGNSG615</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Fill LPG cylinders</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80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UEGNSG616</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Refurbish gas cylinders</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80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UEGNSG705</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 xml:space="preserve">Disconnect and reconnect small capacity gas meters </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40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UEGNSG708</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Pressure test residential and small commercial gas installations</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40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UEGNSG711</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Process meter reading information using appropriate technology</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40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UEGNSG712</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Read and record meter readings</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40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UEGNSG714</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Relight Type A gas appliances</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60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UEGNSG804</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Maintain single stage and single run gas flow and pressure control and measuring devices</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80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UEPOPS203B</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Operate and monitor communications system</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20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UEPOPS205B</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Conduct minor mechanical maintenance</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30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UETTDREL14A</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 xml:space="preserve">Working safely near live electrical apparatus as a non-electrical worker </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40</w:t>
            </w:r>
          </w:p>
        </w:tc>
      </w:tr>
      <w:tr w:rsidTr="001B705D">
        <w:tblPrEx>
          <w:tblW w:w="9498" w:type="dxa"/>
          <w:tblLayout w:type="fixed"/>
          <w:tblCellMar>
            <w:left w:w="62" w:type="dxa"/>
            <w:right w:w="62" w:type="dxa"/>
          </w:tblCellMar>
          <w:tblLook w:val="0000"/>
        </w:tblPrEx>
        <w:trPr>
          <w:trHeight w:val="604"/>
        </w:trPr>
        <w:tc>
          <w:tcPr>
            <w:tcW w:w="7491" w:type="dxa"/>
            <w:gridSpan w:val="2"/>
            <w:tcBorders>
              <w:top w:val="nil"/>
              <w:left w:val="nil"/>
              <w:bottom w:val="nil"/>
              <w:right w:val="nil"/>
            </w:tcBorders>
            <w:tcMar>
              <w:top w:w="0" w:type="dxa"/>
              <w:left w:w="62" w:type="dxa"/>
              <w:bottom w:w="0" w:type="dxa"/>
              <w:right w:w="62" w:type="dxa"/>
            </w:tcMar>
          </w:tcPr>
          <w:p w:rsidR="00000000" w:rsidRPr="001B705D" w:rsidP="001B705D">
            <w:pPr>
              <w:pStyle w:val="BodyText"/>
            </w:pPr>
            <w:r w:rsidRPr="001B705D">
              <w:rPr>
                <w:rStyle w:val="SpecialBold"/>
              </w:rPr>
              <w:t>Group C: General elective units</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rPr>
                <w:rStyle w:val="SpecialBold"/>
              </w:rPr>
              <w:t>Weighting Points</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UEENEEM020A</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Attend to breakdowns in hazardous areas — gas atmospheres</w:t>
            </w:r>
            <w:r w:rsidRPr="001B705D">
              <w:br/>
              <w:t>∟</w:t>
            </w:r>
            <w:r w:rsidRPr="001B705D">
              <w:t>UEENEEM080A Report on the integrity of explosion-protected equipment in a hazardous area</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20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UEENEEM076A</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Use and maintain the integrity of a portable gas detection device</w:t>
            </w:r>
            <w:r w:rsidRPr="001B705D">
              <w:br/>
              <w:t xml:space="preserve">∟UEENEEM080A Report on the integrity of explosion-protected equipment in a hazardous </w:t>
            </w:r>
            <w:r w:rsidRPr="001B705D">
              <w:t>area</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20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UEGNSG135</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Monitor and control gas odourisation</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100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UEGNSG137</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Operate and maintain gas station water bath heaters</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60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UEGNSG138</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Install and commission stationary gas fuelled turbine engines</w:t>
            </w:r>
            <w:r w:rsidRPr="001B705D">
              <w:br/>
              <w:t>∟</w:t>
            </w:r>
            <w:r w:rsidRPr="001B705D">
              <w:t>CPCCWHS1001 Prepare to work safely in the construction industry</w:t>
            </w:r>
            <w:r w:rsidRPr="001B705D">
              <w:br/>
              <w:t>∟HLTAID001 Provide cardiopulmonary resuscitation</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60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UEGNSG139</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Repair and maintain stationary gas fuelled turbine engines</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60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UEGNSG142</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Conduct isolations under the permit to work system for g</w:t>
            </w:r>
            <w:r w:rsidRPr="001B705D">
              <w:t>as industry work sites</w:t>
            </w:r>
            <w:r w:rsidRPr="001B705D">
              <w:br/>
              <w:t>∟MSMWHS217 Gas test atmospheres</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80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UEGNSG212</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Construct, lay and connect a gas distribution service to a plastic main</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60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UEGNSG213</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Construct, lay and connect a gas distribution service to a steel main</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60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UEGNSG216</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Commission or dec</w:t>
            </w:r>
            <w:r w:rsidRPr="001B705D">
              <w:t>ommission gas distribution pipelines</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100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UEGNSG217</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Launch and recover PIGs in a gas distribution pipeline</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100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UEGNSG218</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Carry out surveillance on gas distribution assets</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90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UEGNSG220</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 xml:space="preserve">Construct and lay polyethylene gas distribution mains </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60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UEGNSG222</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Construct and lay nylon or PVC gas distribution mains</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60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UEGNSG223</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Construct and lay steel gas distribution pipelines</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60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UEGNSG225</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Perform routine maintenance on distribution pipeline facilities and equipment</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100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UEGNSG228</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Construct and lay large copper gas distribution pipelines</w:t>
            </w:r>
            <w:r w:rsidRPr="001B705D">
              <w:br/>
              <w:t>∟UEGNSG134 Establish a utilities infrastructure work site</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60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UEGNSG229</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Prepare simple drawings of as laid gas mains and services</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40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UEGNSG344</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Commission or decommission gas transmission pipelines</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120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UEGNSG346</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Launch and recover PIGs in gas transmission pipelines</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100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UEGNSG347</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Perform routine maintenance on transmission pipeline facilities and equipment</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110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UEGNSG348</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Supervise the operation of plant and equipment for the construction of gas transmission pipelines</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60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UEGNSG349</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Carry out surveillance of gas transmission pipelines</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110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UEGNSG350</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First response to a gas facility event</w:t>
            </w:r>
            <w:r w:rsidRPr="001B705D">
              <w:br/>
              <w:t>∟CPPFES2005A Demonstrate first attack</w:t>
            </w:r>
            <w:r w:rsidRPr="001B705D">
              <w:t xml:space="preserve"> firefighting equipment</w:t>
            </w:r>
            <w:r w:rsidRPr="001B705D">
              <w:br/>
              <w:t>∟HLTAID003 Provide first aid</w:t>
            </w:r>
            <w:r w:rsidRPr="001B705D">
              <w:br/>
              <w:t>∟UEGNSG141 Apply workplace health and safety regulations, codes and practices in the gas supply industry</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60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UEGNSG352</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Check and report on gas station conditions</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40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UEGNSG353</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Carry out aerial surveillan</w:t>
            </w:r>
            <w:r w:rsidRPr="001B705D">
              <w:t>ce of gas transmission pipelines</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60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UEGNSG354</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Control excavations in the vicinity of gas transmission pipelines</w:t>
            </w:r>
            <w:r w:rsidRPr="001B705D">
              <w:br/>
              <w:t>∟UEGNSG004 Locate, prove and protect utility assets</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60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UEGNSG355</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 xml:space="preserve">Monitor and report on cathodic protection systems </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60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UEGNSG356</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Monitor and operate flow control, pressure measuring and regulating devices for gas transmission</w:t>
            </w:r>
            <w:r w:rsidRPr="001B705D">
              <w:br/>
              <w:t>∟UEGNSG006 Use a portable gas detector to locate escape</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100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UEGNSG411</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Maintain cathodic protection systems</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100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UEGNSG412</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Install cathodic protection systems</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110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UEGNSG506</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Respond to gas infrastructure emergencies</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80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UEGNSG507</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Remotely monitor and operate gas transmission flow and pressure measuring and regulating devices</w:t>
            </w:r>
            <w:r w:rsidRPr="001B705D">
              <w:br/>
              <w:t>∟MSS402061 Use SCADA systems in operations</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90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UEGNSG508</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Remotely check and report on gas station conditions</w:t>
            </w:r>
            <w:r w:rsidRPr="001B705D">
              <w:br/>
              <w:t>∟MSS402061 Use SCADA systems in operations</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40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UEGNSG614</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 xml:space="preserve">Load, unload, exchange and connect LPG cylinders </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80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UEGNSG617</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Monitor and control the transfer of bulk LPG</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100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UEGNSG618</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Process liquefied petro</w:t>
            </w:r>
            <w:r w:rsidRPr="001B705D">
              <w:t>leum gas (LPG)</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100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UEGNSG619</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Perform scheduled maintenance on gas processing or storage facilities and equipment</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110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UEGNSG620</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Organise the repair of faults in LPG processing or storage facilities and equipment</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80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UEGNSG621</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Control bulk storage of LPG</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110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UEGNSG622</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 xml:space="preserve">Assess the operational capability of gas safety equipment on a delivery vehicle </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40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UEGNSG706</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 xml:space="preserve">Test new residential and small commercial gas installations </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60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UEGNSG713</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Investigate billing exceptions-conditions</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60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UEGNSG805</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Maintain multi-</w:t>
            </w:r>
            <w:r w:rsidRPr="001B705D">
              <w:t>stage and multi-run gas flow and pressure measuring and regulating devices</w:t>
            </w:r>
            <w:r w:rsidRPr="001B705D">
              <w:br/>
              <w:t>∟UEGNSG006 Use a portable gas detector to locate escape</w:t>
            </w:r>
            <w:r w:rsidRPr="001B705D">
              <w:br/>
              <w:t>∟UEGNSG804 Maintain single stage and single run gas flow and pressure control and measuring devices</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80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UEGNSG807</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Install gas flow, measuring and pressure regulating devices</w:t>
            </w:r>
            <w:r w:rsidRPr="001B705D">
              <w:br/>
              <w:t>∟UEGNSG006 Use a portable gas detector to locate escape</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80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UEGNSG811</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Monitor and operate complex flow control, measuring and regulating devices for gas distribution</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110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UEPMNT367A</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Install and co</w:t>
            </w:r>
            <w:r w:rsidRPr="001B705D">
              <w:t>mmission stationary gas fuelled reciprocating engines</w:t>
            </w:r>
            <w:r w:rsidRPr="001B705D">
              <w:br/>
              <w:t>∟UEENEEE101A Apply Occupational Health Safety regulations, codes and practices in the workplace</w:t>
            </w:r>
            <w:r w:rsidRPr="001B705D">
              <w:br/>
              <w:t>∟CPCCOHS1001A Work safely in the construction industry</w:t>
            </w:r>
            <w:r w:rsidRPr="001B705D">
              <w:br/>
              <w:t>∟HLTCPR201A Perform CPR</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60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UEPMNT368A</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Repair and m</w:t>
            </w:r>
            <w:r w:rsidRPr="001B705D">
              <w:t>aintain stationary gas fuelled reciprocating engines</w:t>
            </w:r>
            <w:r w:rsidRPr="001B705D">
              <w:br/>
              <w:t>∟UEENEEE101A Apply Occupational Health Safety regulations, codes and practices in the workplace</w:t>
            </w:r>
            <w:r w:rsidRPr="001B705D">
              <w:br/>
              <w:t>∟CPCCOHS1001A Work safely in the construction industry</w:t>
            </w:r>
            <w:r w:rsidRPr="001B705D">
              <w:br/>
              <w:t>∟HLTCPR201A Perform CPR</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60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UEPOPS317B</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Operate and m</w:t>
            </w:r>
            <w:r w:rsidRPr="001B705D">
              <w:t>onitor fixed fire protection systems</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30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UEPOPS336B</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Manage, operate and monitor a gas turbine unit</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60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UEPOPS347B</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Operate and monitor supervisory, control and data acquisition systems</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40</w:t>
            </w:r>
          </w:p>
        </w:tc>
      </w:tr>
      <w:tr w:rsidTr="001B705D">
        <w:tblPrEx>
          <w:tblW w:w="9498" w:type="dxa"/>
          <w:tblLayout w:type="fixed"/>
          <w:tblCellMar>
            <w:left w:w="62" w:type="dxa"/>
            <w:right w:w="62" w:type="dxa"/>
          </w:tblCellMar>
          <w:tblLook w:val="0000"/>
        </w:tblPrEx>
        <w:trPr>
          <w:trHeight w:val="604"/>
        </w:trPr>
        <w:tc>
          <w:tcPr>
            <w:tcW w:w="7491" w:type="dxa"/>
            <w:gridSpan w:val="2"/>
            <w:tcBorders>
              <w:top w:val="nil"/>
              <w:left w:val="nil"/>
              <w:bottom w:val="nil"/>
              <w:right w:val="nil"/>
            </w:tcBorders>
            <w:tcMar>
              <w:top w:w="0" w:type="dxa"/>
              <w:left w:w="62" w:type="dxa"/>
              <w:bottom w:w="0" w:type="dxa"/>
              <w:right w:w="62" w:type="dxa"/>
            </w:tcMar>
          </w:tcPr>
          <w:p w:rsidR="00000000" w:rsidRPr="001B705D" w:rsidP="001B705D">
            <w:pPr>
              <w:pStyle w:val="BodyText"/>
            </w:pPr>
            <w:r w:rsidRPr="001B705D">
              <w:rPr>
                <w:rStyle w:val="SpecialBold"/>
              </w:rPr>
              <w:t>Group D: General elective units</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rPr>
                <w:rStyle w:val="SpecialBold"/>
              </w:rPr>
              <w:t>Weighting Points</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UEGNSG106</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Coordinate repair of pipeline, facilities and equipment</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110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UEGNSG108</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Operate and monitor pipeline control systems</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60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UEGNSG109</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Control field pipeline operations</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60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UEGNSG110</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Supervise technical operations for gas distribution or transmission</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60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UEGNSG111</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Produce maintenance strategies and plans for a gas facility</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80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UEGNSG131</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Compile a gas industry technical report</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20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UEGNSG204</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Coordinate and conduct gas distribution pipeline repair and modifications</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110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UEGNSG207</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Coordinate construction, layi</w:t>
            </w:r>
            <w:r w:rsidRPr="001B705D">
              <w:t>ng and testing of gas distribution pipelines</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110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UEGNSG210</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Supervise and monitor contract staff for work on distribution pipelines</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120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UEGNSG305</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Coordinate gas transmission pipeline repairs and modifications</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110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UEGNSG308</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Identify, evaluate an</w:t>
            </w:r>
            <w:r w:rsidRPr="001B705D">
              <w:t>d control threats to transmission pipelines</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40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UEGNSG310</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Supervise and monitor contract work</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60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UEGNSG311</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Site control of third party works in the vicinity of a transmission pipeline</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80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UEGNSG314</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Liaise with third party and the community to maintain pipeline integrity and community safety</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40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UEGNSG319</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Custody transfer metering and gas quality analysis</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80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UEGNSG324</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 xml:space="preserve">Follow company procedures to deal with incidents related to the abuse of drugs and </w:t>
            </w:r>
            <w:r w:rsidRPr="001B705D">
              <w:t>alcohol</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60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UEGNSG325</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Coordinate the operation of relevant plant and equipment for transmission pipeline construction</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80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UEGNSG326</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Coordinate and monitor staff and contractors</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60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UEGNSG327</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Coordinate transmission pipeline construction operations</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60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UEGNSG511</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Operate gas infrastructure to meet nominated demand</w:t>
            </w:r>
            <w:r w:rsidRPr="001B705D">
              <w:br/>
              <w:t>∟MSS402061 Use SCADA systems in operations</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120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UEGNSG512</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Control centre communication with gas industry stakeholders</w:t>
            </w:r>
            <w:r w:rsidRPr="001B705D">
              <w:br/>
              <w:t>∟UEPOPS203B Operate and monitor communications system</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110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UEGNSG514</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Managin</w:t>
            </w:r>
            <w:r w:rsidRPr="001B705D">
              <w:t>g and controlling field activities</w:t>
            </w:r>
            <w:r w:rsidRPr="001B705D">
              <w:br/>
              <w:t>∟UEPOPS203B Operate and monitor communications system</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110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UEGNSG515</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Use control centre systems to monitor and control gas infrastructure</w:t>
            </w:r>
            <w:r w:rsidRPr="001B705D">
              <w:br/>
              <w:t>∟MSS402061 Use SCADA systems in operations</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110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UEGNSG611</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Control LPG storage/proce</w:t>
            </w:r>
            <w:r w:rsidRPr="001B705D">
              <w:t>ssing operations</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110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UEGNSG612</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Supervise technical operations for liquefied petroleum gas storage and processing</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120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UEGNSG806</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Maintain SCADA controlled gas flow and pressure equipment and electronic gas measurement equipment</w:t>
            </w:r>
            <w:r w:rsidRPr="001B705D">
              <w:br/>
              <w:t>∟</w:t>
            </w:r>
            <w:r w:rsidRPr="001B705D">
              <w:t>UEGNSG006 Use a portable gas detector to locate escape</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100</w:t>
            </w:r>
          </w:p>
        </w:tc>
      </w:tr>
      <w:tr w:rsidTr="001B705D">
        <w:tblPrEx>
          <w:tblW w:w="9498" w:type="dxa"/>
          <w:tblLayout w:type="fixed"/>
          <w:tblCellMar>
            <w:left w:w="62" w:type="dxa"/>
            <w:right w:w="62" w:type="dxa"/>
          </w:tblCellMar>
          <w:tblLook w:val="0000"/>
        </w:tblPrEx>
        <w:trPr>
          <w:trHeight w:val="604"/>
        </w:trPr>
        <w:tc>
          <w:tcPr>
            <w:tcW w:w="7491" w:type="dxa"/>
            <w:gridSpan w:val="2"/>
            <w:tcBorders>
              <w:top w:val="nil"/>
              <w:left w:val="nil"/>
              <w:bottom w:val="nil"/>
              <w:right w:val="nil"/>
            </w:tcBorders>
            <w:tcMar>
              <w:top w:w="0" w:type="dxa"/>
              <w:left w:w="62" w:type="dxa"/>
              <w:bottom w:w="0" w:type="dxa"/>
              <w:right w:w="62" w:type="dxa"/>
            </w:tcMar>
            <w:vAlign w:val="center"/>
          </w:tcPr>
          <w:p w:rsidR="00000000" w:rsidRPr="001B705D" w:rsidP="001B705D">
            <w:pPr>
              <w:pStyle w:val="BodyText"/>
            </w:pPr>
            <w:r w:rsidRPr="001B705D">
              <w:rPr>
                <w:rStyle w:val="SpecialBold"/>
              </w:rPr>
              <w:t>Group E: General elective units</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rPr>
                <w:rStyle w:val="SpecialBold"/>
              </w:rPr>
              <w:t>Weighting Points</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UEGNSG513</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Manage emergencies and critical incidents for gas infrastructure</w:t>
            </w:r>
            <w:r w:rsidRPr="001B705D">
              <w:br/>
              <w:t>∟HLTAID003 Provide first aid</w:t>
            </w:r>
            <w:r w:rsidRPr="001B705D">
              <w:br/>
              <w:t>∟UEGNSG141 Apply workplace health and saf</w:t>
            </w:r>
            <w:r w:rsidRPr="001B705D">
              <w:t>ety regulations, codes and practices in the gas supply industry</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120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UEGNSG114</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Coordinate and monitor implementation of a risk management plan for a utilities industry facility</w:t>
            </w:r>
          </w:p>
        </w:tc>
        <w:tc>
          <w:tcPr>
            <w:tcW w:w="2007" w:type="dxa"/>
            <w:tcBorders>
              <w:top w:val="nil"/>
              <w:left w:val="nil"/>
              <w:bottom w:val="nil"/>
              <w:right w:val="nil"/>
            </w:tcBorders>
            <w:tcMar>
              <w:top w:w="0" w:type="dxa"/>
              <w:left w:w="62" w:type="dxa"/>
              <w:bottom w:w="0" w:type="dxa"/>
              <w:right w:w="62" w:type="dxa"/>
            </w:tcMar>
            <w:vAlign w:val="center"/>
          </w:tcPr>
          <w:p w:rsidR="00000000" w:rsidP="001B705D">
            <w:pPr>
              <w:pStyle w:val="BodyText"/>
              <w:rPr>
                <w:lang w:val="en-NZ"/>
              </w:rPr>
            </w:pPr>
            <w:r w:rsidRPr="001B705D">
              <w:t>100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UEGNSG115</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 xml:space="preserve">Manage gas systems projects </w:t>
            </w:r>
          </w:p>
        </w:tc>
        <w:tc>
          <w:tcPr>
            <w:tcW w:w="2007" w:type="dxa"/>
            <w:tcBorders>
              <w:top w:val="nil"/>
              <w:left w:val="nil"/>
              <w:bottom w:val="nil"/>
              <w:right w:val="nil"/>
            </w:tcBorders>
            <w:tcMar>
              <w:top w:w="0" w:type="dxa"/>
              <w:left w:w="62" w:type="dxa"/>
              <w:bottom w:w="0" w:type="dxa"/>
              <w:right w:w="62" w:type="dxa"/>
            </w:tcMar>
            <w:vAlign w:val="center"/>
          </w:tcPr>
          <w:p w:rsidR="00000000" w:rsidP="001B705D">
            <w:pPr>
              <w:pStyle w:val="BodyText"/>
              <w:rPr>
                <w:lang w:val="en-NZ"/>
              </w:rPr>
            </w:pPr>
            <w:r w:rsidRPr="001B705D">
              <w:t>80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UEGNSG116</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Manage gas industry physical resources</w:t>
            </w:r>
          </w:p>
        </w:tc>
        <w:tc>
          <w:tcPr>
            <w:tcW w:w="2007" w:type="dxa"/>
            <w:tcBorders>
              <w:top w:val="nil"/>
              <w:left w:val="nil"/>
              <w:bottom w:val="nil"/>
              <w:right w:val="nil"/>
            </w:tcBorders>
            <w:tcMar>
              <w:top w:w="0" w:type="dxa"/>
              <w:left w:w="62" w:type="dxa"/>
              <w:bottom w:w="0" w:type="dxa"/>
              <w:right w:w="62" w:type="dxa"/>
            </w:tcMar>
            <w:vAlign w:val="center"/>
          </w:tcPr>
          <w:p w:rsidR="00000000" w:rsidP="001B705D">
            <w:pPr>
              <w:pStyle w:val="BodyText"/>
              <w:rPr>
                <w:lang w:val="en-NZ"/>
              </w:rPr>
            </w:pPr>
            <w:r w:rsidRPr="001B705D">
              <w:t>80</w:t>
            </w:r>
          </w:p>
        </w:tc>
      </w:tr>
      <w:tr w:rsidTr="001B705D">
        <w:tblPrEx>
          <w:tblW w:w="9498" w:type="dxa"/>
          <w:tblLayout w:type="fixed"/>
          <w:tblCellMar>
            <w:left w:w="62" w:type="dxa"/>
            <w:right w:w="62" w:type="dxa"/>
          </w:tblCellMar>
          <w:tblLook w:val="0000"/>
        </w:tblPrEx>
        <w:trPr>
          <w:trHeight w:val="604"/>
        </w:trPr>
        <w:tc>
          <w:tcPr>
            <w:tcW w:w="7491" w:type="dxa"/>
            <w:gridSpan w:val="2"/>
            <w:tcBorders>
              <w:top w:val="nil"/>
              <w:left w:val="nil"/>
              <w:bottom w:val="nil"/>
              <w:right w:val="nil"/>
            </w:tcBorders>
            <w:tcMar>
              <w:top w:w="0" w:type="dxa"/>
              <w:left w:w="62" w:type="dxa"/>
              <w:bottom w:w="0" w:type="dxa"/>
              <w:right w:w="62" w:type="dxa"/>
            </w:tcMar>
            <w:vAlign w:val="center"/>
          </w:tcPr>
          <w:p w:rsidR="00000000" w:rsidRPr="001B705D" w:rsidP="001B705D">
            <w:pPr>
              <w:pStyle w:val="BodyText"/>
            </w:pPr>
            <w:r w:rsidRPr="001B705D">
              <w:rPr>
                <w:rStyle w:val="SpecialBold"/>
              </w:rPr>
              <w:t>Group F: General elective units</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rPr>
                <w:rStyle w:val="SpecialBold"/>
              </w:rPr>
              <w:t>Weighting Points</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UEGNSG117</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Plan and implement the data acquisition and metering requirements of a gas system</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 xml:space="preserve">120 </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UEGNSG118</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Select and commission equipment to meet pressure and temperature control specifications</w:t>
            </w:r>
          </w:p>
        </w:tc>
        <w:tc>
          <w:tcPr>
            <w:tcW w:w="2007"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 xml:space="preserve">120 </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UEGNSG119</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Manage workplace risk in a gas industry facility</w:t>
            </w:r>
          </w:p>
        </w:tc>
        <w:tc>
          <w:tcPr>
            <w:tcW w:w="2007" w:type="dxa"/>
            <w:tcBorders>
              <w:top w:val="nil"/>
              <w:left w:val="nil"/>
              <w:bottom w:val="nil"/>
              <w:right w:val="nil"/>
            </w:tcBorders>
            <w:tcMar>
              <w:top w:w="0" w:type="dxa"/>
              <w:left w:w="62" w:type="dxa"/>
              <w:bottom w:w="0" w:type="dxa"/>
              <w:right w:w="62" w:type="dxa"/>
            </w:tcMar>
            <w:vAlign w:val="center"/>
          </w:tcPr>
          <w:p w:rsidR="00000000" w:rsidP="001B705D">
            <w:pPr>
              <w:pStyle w:val="BodyText"/>
              <w:rPr>
                <w:lang w:val="en-NZ"/>
              </w:rPr>
            </w:pPr>
            <w:r w:rsidRPr="001B705D">
              <w:t>60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UEGNSG121</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Prepare safe design specifications of a gas system</w:t>
            </w:r>
          </w:p>
        </w:tc>
        <w:tc>
          <w:tcPr>
            <w:tcW w:w="2007" w:type="dxa"/>
            <w:tcBorders>
              <w:top w:val="nil"/>
              <w:left w:val="nil"/>
              <w:bottom w:val="nil"/>
              <w:right w:val="nil"/>
            </w:tcBorders>
            <w:tcMar>
              <w:top w:w="0" w:type="dxa"/>
              <w:left w:w="62" w:type="dxa"/>
              <w:bottom w:w="0" w:type="dxa"/>
              <w:right w:w="62" w:type="dxa"/>
            </w:tcMar>
            <w:vAlign w:val="center"/>
          </w:tcPr>
          <w:p w:rsidR="00000000" w:rsidP="001B705D">
            <w:pPr>
              <w:pStyle w:val="BodyText"/>
              <w:rPr>
                <w:lang w:val="en-NZ"/>
              </w:rPr>
            </w:pPr>
            <w:r w:rsidRPr="001B705D">
              <w:t>120</w:t>
            </w:r>
          </w:p>
        </w:tc>
      </w:tr>
      <w:tr w:rsidTr="001B705D">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UEGNSG122</w:t>
            </w:r>
          </w:p>
        </w:tc>
        <w:tc>
          <w:tcPr>
            <w:tcW w:w="5592" w:type="dxa"/>
            <w:tcBorders>
              <w:top w:val="nil"/>
              <w:left w:val="nil"/>
              <w:bottom w:val="nil"/>
              <w:right w:val="nil"/>
            </w:tcBorders>
            <w:tcMar>
              <w:top w:w="0" w:type="dxa"/>
              <w:left w:w="62" w:type="dxa"/>
              <w:bottom w:w="0" w:type="dxa"/>
              <w:right w:w="62" w:type="dxa"/>
            </w:tcMar>
          </w:tcPr>
          <w:p w:rsidR="00000000" w:rsidP="001B705D">
            <w:pPr>
              <w:pStyle w:val="BodyText"/>
              <w:rPr>
                <w:lang w:val="en-NZ"/>
              </w:rPr>
            </w:pPr>
            <w:r w:rsidRPr="001B705D">
              <w:t>Manage a customer service gas business unit</w:t>
            </w:r>
          </w:p>
        </w:tc>
        <w:tc>
          <w:tcPr>
            <w:tcW w:w="2007" w:type="dxa"/>
            <w:tcBorders>
              <w:top w:val="nil"/>
              <w:left w:val="nil"/>
              <w:bottom w:val="nil"/>
              <w:right w:val="nil"/>
            </w:tcBorders>
            <w:tcMar>
              <w:top w:w="0" w:type="dxa"/>
              <w:left w:w="62" w:type="dxa"/>
              <w:bottom w:w="0" w:type="dxa"/>
              <w:right w:w="62" w:type="dxa"/>
            </w:tcMar>
            <w:vAlign w:val="center"/>
          </w:tcPr>
          <w:p w:rsidR="00000000" w:rsidRPr="001B705D" w:rsidP="001B705D">
            <w:pPr>
              <w:pStyle w:val="BodyText"/>
            </w:pPr>
            <w:r w:rsidRPr="001B705D">
              <w:t>120</w:t>
            </w:r>
          </w:p>
        </w:tc>
      </w:tr>
    </w:tbl>
    <w:p w:rsidR="00C54844" w:rsidP="001B705D">
      <w:pPr>
        <w:pStyle w:val="NoPaddingFontSize1"/>
      </w:pPr>
    </w:p>
    <w:p w:rsidR="00C54844" w:rsidP="001B705D">
      <w:pPr>
        <w:pStyle w:val="NoPaddingFontSize1"/>
      </w:pPr>
    </w:p>
    <w:p w:rsidR="00000000" w:rsidRPr="001B705D" w:rsidP="001B705D">
      <w:pPr>
        <w:pStyle w:val="Heading1"/>
      </w:pPr>
      <w:bookmarkStart w:id="5" w:name="O_971367"/>
      <w:bookmarkEnd w:id="5"/>
      <w:r w:rsidRPr="001B705D">
        <w:t>Qualification Mapping Information</w:t>
      </w:r>
    </w:p>
    <w:tbl>
      <w:tblPr>
        <w:tblW w:w="9497" w:type="dxa"/>
        <w:tblLayout w:type="fixed"/>
        <w:tblCellMar>
          <w:left w:w="62" w:type="dxa"/>
          <w:right w:w="62" w:type="dxa"/>
        </w:tblCellMar>
        <w:tblLook w:val="0000"/>
      </w:tblPr>
      <w:tblGrid>
        <w:gridCol w:w="9497"/>
      </w:tblGrid>
      <w:tr w:rsidTr="001B70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705D" w:rsidP="001B705D">
            <w:pPr>
              <w:pStyle w:val="BodyText"/>
            </w:pPr>
            <w:r w:rsidRPr="001B705D">
              <w:t>This qualification replaces and is equivalent to UEG60114 Advanced Diploma of Gas Supply Industry Operations</w:t>
            </w:r>
          </w:p>
        </w:tc>
      </w:tr>
    </w:tbl>
    <w:p w:rsidR="00000000" w:rsidRPr="001B705D" w:rsidP="001B705D">
      <w:pPr>
        <w:pStyle w:val="NoPaddingFontSize1"/>
      </w:pPr>
    </w:p>
    <w:p w:rsidR="00000000" w:rsidRPr="001B705D" w:rsidP="001B705D">
      <w:pPr>
        <w:pStyle w:val="AllowPageBreak"/>
      </w:pPr>
    </w:p>
    <w:p w:rsidR="00000000" w:rsidRPr="001B705D" w:rsidP="001B705D">
      <w:pPr>
        <w:pStyle w:val="Heading1"/>
      </w:pPr>
      <w:bookmarkStart w:id="6" w:name="O_971369"/>
      <w:bookmarkEnd w:id="6"/>
      <w:r w:rsidRPr="001B705D">
        <w:t>Links</w:t>
      </w:r>
    </w:p>
    <w:p w:rsidR="00000000" w:rsidRPr="001B705D" w:rsidP="001B705D">
      <w:pPr>
        <w:pStyle w:val="BodyText"/>
      </w:pPr>
      <w:r w:rsidRPr="001B705D">
        <w:t>Companion Volume Imp</w:t>
      </w:r>
      <w:r w:rsidRPr="001B705D">
        <w:t>lementation Guides are found in VETNet - https://vetnet.education.gov.au/Pages/TrainingDocs.aspx?q=6a6c032e-ffcb-4f3d-8063-415efbd261e8</w:t>
      </w:r>
    </w:p>
    <w:p w:rsidR="00000000" w:rsidRPr="001B705D" w:rsidP="001B705D"/>
    <w:sectPr w:rsidSect="001B70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0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05D" w:rsidRPr="00C54844" w:rsidP="00C548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0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844" w:rsidP="001B70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C54844" w:rsidP="001B705D">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54844" w:rsidP="001B70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0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8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705D" w:rsidRPr="00C54844" w:rsidP="00C548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0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844" w:rsidRPr="002D2AF8" w:rsidP="001B705D">
    <w:pPr>
      <w:pStyle w:val="Header"/>
      <w:framePr w:wrap="around"/>
    </w:pPr>
    <w:r>
      <w:fldChar w:fldCharType="begin"/>
    </w:r>
    <w:r>
      <w:instrText xml:space="preserve"> TITLE   \* MERGEFORMAT </w:instrText>
    </w:r>
    <w:r>
      <w:fldChar w:fldCharType="separate"/>
    </w:r>
    <w:r>
      <w:t>UEG60118 Advanced Diploma of Gas Supply Industry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September 2018</w:t>
    </w:r>
    <w:r>
      <w:fldChar w:fldCharType="end"/>
    </w:r>
  </w:p>
  <w:p w:rsidR="00C54844" w:rsidP="001B70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70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705D"/>
    <w:pPr>
      <w:spacing w:before="360" w:after="60"/>
      <w:outlineLvl w:val="0"/>
    </w:pPr>
    <w:rPr>
      <w:sz w:val="32"/>
    </w:rPr>
  </w:style>
  <w:style w:type="paragraph" w:styleId="Heading2">
    <w:name w:val="heading 2"/>
    <w:basedOn w:val="HeadingBase"/>
    <w:next w:val="BodyText"/>
    <w:link w:val="Heading2Char"/>
    <w:qFormat/>
    <w:rsid w:val="001B705D"/>
    <w:pPr>
      <w:keepLines/>
      <w:spacing w:before="240" w:after="120"/>
      <w:outlineLvl w:val="1"/>
    </w:pPr>
    <w:rPr>
      <w:sz w:val="28"/>
      <w:szCs w:val="40"/>
    </w:rPr>
  </w:style>
  <w:style w:type="paragraph" w:styleId="Heading3">
    <w:name w:val="heading 3"/>
    <w:basedOn w:val="HeadingBase"/>
    <w:next w:val="BodyText"/>
    <w:link w:val="Heading3Char"/>
    <w:qFormat/>
    <w:rsid w:val="001B705D"/>
    <w:pPr>
      <w:spacing w:before="180" w:after="120"/>
      <w:outlineLvl w:val="2"/>
    </w:pPr>
    <w:rPr>
      <w:spacing w:val="-10"/>
      <w:kern w:val="32"/>
    </w:rPr>
  </w:style>
  <w:style w:type="paragraph" w:styleId="Heading4">
    <w:name w:val="heading 4"/>
    <w:basedOn w:val="HeadingBase"/>
    <w:next w:val="BodyText"/>
    <w:link w:val="Heading4Char"/>
    <w:qFormat/>
    <w:rsid w:val="001B705D"/>
    <w:pPr>
      <w:spacing w:before="160" w:after="120"/>
      <w:outlineLvl w:val="3"/>
    </w:pPr>
    <w:rPr>
      <w:sz w:val="22"/>
    </w:rPr>
  </w:style>
  <w:style w:type="paragraph" w:styleId="Heading5">
    <w:name w:val="heading 5"/>
    <w:basedOn w:val="HeadingBase"/>
    <w:next w:val="Normal"/>
    <w:link w:val="Heading5Char"/>
    <w:qFormat/>
    <w:rsid w:val="001B705D"/>
    <w:pPr>
      <w:spacing w:before="80"/>
      <w:outlineLvl w:val="4"/>
    </w:pPr>
    <w:rPr>
      <w:color w:val="918585"/>
      <w:sz w:val="20"/>
    </w:rPr>
  </w:style>
  <w:style w:type="paragraph" w:styleId="Heading6">
    <w:name w:val="heading 6"/>
    <w:basedOn w:val="HeadingBase"/>
    <w:next w:val="Normal"/>
    <w:link w:val="Heading6Char"/>
    <w:qFormat/>
    <w:rsid w:val="001B705D"/>
    <w:pPr>
      <w:spacing w:before="60"/>
      <w:outlineLvl w:val="5"/>
    </w:pPr>
    <w:rPr>
      <w:color w:val="918585"/>
      <w:sz w:val="20"/>
    </w:rPr>
  </w:style>
  <w:style w:type="paragraph" w:styleId="Heading7">
    <w:name w:val="heading 7"/>
    <w:basedOn w:val="Normal"/>
    <w:next w:val="Normal"/>
    <w:link w:val="Heading7Char"/>
    <w:qFormat/>
    <w:rsid w:val="001B705D"/>
    <w:pPr>
      <w:ind w:left="720"/>
      <w:outlineLvl w:val="6"/>
    </w:pPr>
    <w:rPr>
      <w:i/>
    </w:rPr>
  </w:style>
  <w:style w:type="paragraph" w:styleId="Heading8">
    <w:name w:val="heading 8"/>
    <w:basedOn w:val="Normal"/>
    <w:next w:val="Normal"/>
    <w:link w:val="Heading8Char"/>
    <w:qFormat/>
    <w:rsid w:val="001B705D"/>
    <w:pPr>
      <w:ind w:left="720"/>
      <w:outlineLvl w:val="7"/>
    </w:pPr>
    <w:rPr>
      <w:i/>
    </w:rPr>
  </w:style>
  <w:style w:type="paragraph" w:styleId="Heading9">
    <w:name w:val="heading 9"/>
    <w:basedOn w:val="Normal"/>
    <w:next w:val="Normal"/>
    <w:link w:val="Heading9Char"/>
    <w:qFormat/>
    <w:rsid w:val="001B705D"/>
    <w:pPr>
      <w:ind w:left="720"/>
      <w:outlineLvl w:val="8"/>
    </w:pPr>
    <w:rPr>
      <w:i/>
    </w:rPr>
  </w:style>
  <w:style w:type="character" w:default="1" w:styleId="DefaultParagraphFont">
    <w:name w:val="Default Paragraph Font"/>
    <w:uiPriority w:val="1"/>
    <w:unhideWhenUsed/>
    <w:rsid w:val="001B70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705D"/>
  </w:style>
  <w:style w:type="character" w:customStyle="1" w:styleId="Heading1Char">
    <w:name w:val="Heading 1 Char"/>
    <w:basedOn w:val="DefaultParagraphFont"/>
    <w:link w:val="Heading1"/>
    <w:rsid w:val="001B705D"/>
    <w:rPr>
      <w:rFonts w:ascii="Times New Roman" w:eastAsia="Times New Roman" w:hAnsi="Times New Roman" w:cs="Times New Roman"/>
      <w:b/>
      <w:sz w:val="32"/>
      <w:szCs w:val="20"/>
      <w:lang w:eastAsia="en-US"/>
    </w:rPr>
  </w:style>
  <w:style w:type="paragraph" w:styleId="BodyText">
    <w:name w:val="Body Text"/>
    <w:basedOn w:val="Normal"/>
    <w:link w:val="BodyTextChar"/>
    <w:rsid w:val="001B70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705D"/>
    <w:rPr>
      <w:rFonts w:ascii="Times New Roman" w:eastAsia="Times New Roman" w:hAnsi="Times New Roman" w:cs="Times New Roman"/>
      <w:sz w:val="24"/>
      <w:lang w:eastAsia="en-US"/>
    </w:rPr>
  </w:style>
  <w:style w:type="character" w:customStyle="1" w:styleId="SpecialBold">
    <w:name w:val="Special Bold"/>
    <w:basedOn w:val="DefaultParagraphFont"/>
    <w:rsid w:val="001B705D"/>
    <w:rPr>
      <w:b/>
      <w:spacing w:val="0"/>
    </w:rPr>
  </w:style>
  <w:style w:type="paragraph" w:customStyle="1" w:styleId="SuperHeading">
    <w:name w:val="SuperHeading"/>
    <w:basedOn w:val="Normal"/>
    <w:rsid w:val="001B705D"/>
    <w:pPr>
      <w:spacing w:before="240" w:after="120"/>
      <w:outlineLvl w:val="0"/>
    </w:pPr>
    <w:rPr>
      <w:rFonts w:ascii="Times New Roman" w:hAnsi="Times New Roman"/>
      <w:b/>
      <w:sz w:val="32"/>
    </w:rPr>
  </w:style>
  <w:style w:type="paragraph" w:customStyle="1" w:styleId="AllowPageBreak">
    <w:name w:val="AllowPageBreak"/>
    <w:rsid w:val="001B705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B70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70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70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70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70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70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70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705D"/>
    <w:rPr>
      <w:rFonts w:ascii="Courier New" w:eastAsia="Times New Roman" w:hAnsi="Courier New" w:cs="Times New Roman"/>
      <w:i/>
      <w:szCs w:val="20"/>
      <w:lang w:eastAsia="en-US"/>
    </w:rPr>
  </w:style>
  <w:style w:type="paragraph" w:customStyle="1" w:styleId="HeadingBase">
    <w:name w:val="Heading Base"/>
    <w:rsid w:val="001B70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705D"/>
    <w:pPr>
      <w:tabs>
        <w:tab w:val="right" w:leader="dot" w:pos="9072"/>
      </w:tabs>
      <w:ind w:left="567"/>
    </w:pPr>
    <w:rPr>
      <w:szCs w:val="22"/>
    </w:rPr>
  </w:style>
  <w:style w:type="paragraph" w:customStyle="1" w:styleId="TOCBase">
    <w:name w:val="TOC Base"/>
    <w:rsid w:val="001B70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705D"/>
    <w:pPr>
      <w:tabs>
        <w:tab w:val="right" w:leader="dot" w:pos="9072"/>
      </w:tabs>
      <w:spacing w:before="40" w:after="40"/>
      <w:ind w:left="284"/>
    </w:pPr>
    <w:rPr>
      <w:rFonts w:ascii="Times New Roman" w:hAnsi="Times New Roman"/>
    </w:rPr>
  </w:style>
  <w:style w:type="paragraph" w:styleId="TOC1">
    <w:name w:val="toc 1"/>
    <w:basedOn w:val="TOCBase"/>
    <w:next w:val="Normal"/>
    <w:rsid w:val="001B70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70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705D"/>
    <w:rPr>
      <w:rFonts w:ascii="Times New Roman" w:eastAsia="Times New Roman" w:hAnsi="Times New Roman" w:cs="Times New Roman"/>
      <w:sz w:val="16"/>
      <w:lang w:eastAsia="en-US"/>
    </w:rPr>
  </w:style>
  <w:style w:type="paragraph" w:styleId="Title">
    <w:name w:val="Title"/>
    <w:basedOn w:val="HeadingBase"/>
    <w:link w:val="TitleChar"/>
    <w:qFormat/>
    <w:rsid w:val="001B705D"/>
    <w:pPr>
      <w:spacing w:before="5040"/>
      <w:jc w:val="center"/>
    </w:pPr>
    <w:rPr>
      <w:sz w:val="48"/>
      <w:szCs w:val="72"/>
      <w:lang w:val="en-US"/>
    </w:rPr>
  </w:style>
  <w:style w:type="character" w:customStyle="1" w:styleId="TitleChar">
    <w:name w:val="Title Char"/>
    <w:basedOn w:val="DefaultParagraphFont"/>
    <w:link w:val="Title"/>
    <w:rsid w:val="001B70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705D"/>
    <w:pPr>
      <w:tabs>
        <w:tab w:val="left" w:pos="3600"/>
        <w:tab w:val="left" w:pos="3958"/>
      </w:tabs>
    </w:pPr>
  </w:style>
  <w:style w:type="paragraph" w:styleId="List">
    <w:name w:val="List"/>
    <w:basedOn w:val="BodyText"/>
    <w:next w:val="BodyText"/>
    <w:rsid w:val="001B705D"/>
    <w:pPr>
      <w:tabs>
        <w:tab w:val="left" w:pos="340"/>
      </w:tabs>
      <w:spacing w:before="60" w:after="60"/>
      <w:ind w:left="340" w:hanging="340"/>
    </w:pPr>
  </w:style>
  <w:style w:type="paragraph" w:styleId="ListBullet">
    <w:name w:val="List Bullet"/>
    <w:basedOn w:val="List"/>
    <w:rsid w:val="001B705D"/>
    <w:pPr>
      <w:numPr>
        <w:numId w:val="11"/>
      </w:numPr>
      <w:tabs>
        <w:tab w:val="clear" w:pos="340"/>
      </w:tabs>
      <w:spacing w:before="40" w:after="40"/>
    </w:pPr>
  </w:style>
  <w:style w:type="paragraph" w:customStyle="1" w:styleId="Note">
    <w:name w:val="Note"/>
    <w:basedOn w:val="BodyText"/>
    <w:rsid w:val="001B70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705D"/>
    <w:pPr>
      <w:framePr w:wrap="auto" w:hAnchor="text" w:y="6049"/>
    </w:pPr>
    <w:rPr>
      <w:color w:val="000000"/>
      <w:sz w:val="40"/>
    </w:rPr>
  </w:style>
  <w:style w:type="paragraph" w:customStyle="1" w:styleId="TOCTitle">
    <w:name w:val="TOCTitle"/>
    <w:basedOn w:val="Heading1"/>
    <w:rsid w:val="001B705D"/>
    <w:pPr>
      <w:spacing w:after="240"/>
      <w:jc w:val="center"/>
      <w:outlineLvl w:val="9"/>
    </w:pPr>
    <w:rPr>
      <w:caps/>
    </w:rPr>
  </w:style>
  <w:style w:type="paragraph" w:customStyle="1" w:styleId="Version">
    <w:name w:val="Version"/>
    <w:rsid w:val="001B705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B705D"/>
    <w:pPr>
      <w:numPr>
        <w:numId w:val="12"/>
      </w:numPr>
      <w:tabs>
        <w:tab w:val="clear" w:pos="680"/>
      </w:tabs>
    </w:pPr>
  </w:style>
  <w:style w:type="paragraph" w:styleId="Index1">
    <w:name w:val="index 1"/>
    <w:basedOn w:val="Normal"/>
    <w:next w:val="Normal"/>
    <w:semiHidden/>
    <w:rsid w:val="001B705D"/>
    <w:pPr>
      <w:keepNext w:val="0"/>
      <w:tabs>
        <w:tab w:val="right" w:pos="4176"/>
      </w:tabs>
      <w:ind w:left="198" w:hanging="198"/>
    </w:pPr>
    <w:rPr>
      <w:rFonts w:ascii="Garamond" w:hAnsi="Garamond"/>
    </w:rPr>
  </w:style>
  <w:style w:type="paragraph" w:styleId="IndexHeading">
    <w:name w:val="index heading"/>
    <w:basedOn w:val="Normal"/>
    <w:next w:val="Index1"/>
    <w:semiHidden/>
    <w:rsid w:val="001B705D"/>
    <w:pPr>
      <w:spacing w:before="120" w:after="120"/>
    </w:pPr>
    <w:rPr>
      <w:rFonts w:ascii="Arial" w:hAnsi="Arial"/>
      <w:b/>
      <w:color w:val="918585"/>
      <w:sz w:val="24"/>
    </w:rPr>
  </w:style>
  <w:style w:type="paragraph" w:styleId="Header">
    <w:name w:val="header"/>
    <w:basedOn w:val="Normal"/>
    <w:link w:val="HeaderChar"/>
    <w:rsid w:val="001B70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705D"/>
    <w:rPr>
      <w:rFonts w:ascii="Times New Roman" w:eastAsia="Times New Roman" w:hAnsi="Times New Roman" w:cs="Times New Roman"/>
      <w:sz w:val="16"/>
      <w:szCs w:val="20"/>
      <w:lang w:val="en-GB" w:eastAsia="en-US"/>
    </w:rPr>
  </w:style>
  <w:style w:type="paragraph" w:customStyle="1" w:styleId="Chapter">
    <w:name w:val="Chapter"/>
    <w:basedOn w:val="Normal"/>
    <w:rsid w:val="001B705D"/>
    <w:pPr>
      <w:spacing w:before="240"/>
    </w:pPr>
    <w:rPr>
      <w:rFonts w:ascii="Times New Roman" w:hAnsi="Times New Roman"/>
      <w:smallCaps/>
      <w:spacing w:val="80"/>
      <w:sz w:val="28"/>
    </w:rPr>
  </w:style>
  <w:style w:type="paragraph" w:customStyle="1" w:styleId="InChapter">
    <w:name w:val="InChapter"/>
    <w:basedOn w:val="Heading3"/>
    <w:rsid w:val="001B705D"/>
    <w:pPr>
      <w:spacing w:after="240"/>
      <w:outlineLvl w:val="9"/>
    </w:pPr>
    <w:rPr>
      <w:noProof/>
    </w:rPr>
  </w:style>
  <w:style w:type="paragraph" w:styleId="Index2">
    <w:name w:val="index 2"/>
    <w:basedOn w:val="Normal"/>
    <w:next w:val="Normal"/>
    <w:semiHidden/>
    <w:rsid w:val="001B705D"/>
    <w:pPr>
      <w:tabs>
        <w:tab w:val="right" w:pos="4176"/>
      </w:tabs>
      <w:ind w:left="568" w:hanging="284"/>
    </w:pPr>
    <w:rPr>
      <w:rFonts w:ascii="Garamond" w:hAnsi="Garamond"/>
    </w:rPr>
  </w:style>
  <w:style w:type="paragraph" w:customStyle="1" w:styleId="Byline">
    <w:name w:val="Byline"/>
    <w:rsid w:val="001B70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705D"/>
    <w:pPr>
      <w:tabs>
        <w:tab w:val="clear" w:pos="3600"/>
        <w:tab w:val="clear" w:pos="3958"/>
      </w:tabs>
      <w:jc w:val="right"/>
    </w:pPr>
  </w:style>
  <w:style w:type="character" w:styleId="Emphasis">
    <w:name w:val="Emphasis"/>
    <w:basedOn w:val="DefaultParagraphFont"/>
    <w:qFormat/>
    <w:rsid w:val="001B705D"/>
    <w:rPr>
      <w:i/>
    </w:rPr>
  </w:style>
  <w:style w:type="paragraph" w:styleId="Caption">
    <w:name w:val="caption"/>
    <w:basedOn w:val="BodyText"/>
    <w:next w:val="Normal"/>
    <w:qFormat/>
    <w:rsid w:val="001B705D"/>
    <w:pPr>
      <w:framePr w:w="2268" w:hSpace="181" w:vSpace="181" w:wrap="around" w:vAnchor="text" w:hAnchor="page" w:x="1135" w:y="285" w:anchorLock="1"/>
    </w:pPr>
    <w:rPr>
      <w:i/>
    </w:rPr>
  </w:style>
  <w:style w:type="paragraph" w:customStyle="1" w:styleId="MiniTOCTitle">
    <w:name w:val="MiniTOCTitle"/>
    <w:basedOn w:val="Heading4"/>
    <w:rsid w:val="001B705D"/>
    <w:pPr>
      <w:spacing w:before="240"/>
      <w:outlineLvl w:val="9"/>
    </w:pPr>
    <w:rPr>
      <w:noProof/>
      <w:sz w:val="24"/>
    </w:rPr>
  </w:style>
  <w:style w:type="paragraph" w:customStyle="1" w:styleId="MiniTOCItem">
    <w:name w:val="MiniTOCItem"/>
    <w:basedOn w:val="ListBullet"/>
    <w:rsid w:val="001B705D"/>
    <w:pPr>
      <w:numPr>
        <w:numId w:val="0"/>
      </w:numPr>
      <w:tabs>
        <w:tab w:val="right" w:leader="dot" w:pos="6521"/>
      </w:tabs>
      <w:spacing w:before="0" w:after="0"/>
    </w:pPr>
  </w:style>
  <w:style w:type="paragraph" w:customStyle="1" w:styleId="TOFTitle">
    <w:name w:val="TOFTitle"/>
    <w:basedOn w:val="TOCTitle"/>
    <w:rsid w:val="001B705D"/>
  </w:style>
  <w:style w:type="paragraph" w:styleId="TableofFigures">
    <w:name w:val="table of figures"/>
    <w:basedOn w:val="Normal"/>
    <w:next w:val="Normal"/>
    <w:semiHidden/>
    <w:rsid w:val="001B705D"/>
    <w:pPr>
      <w:tabs>
        <w:tab w:val="right" w:leader="dot" w:pos="9072"/>
      </w:tabs>
      <w:ind w:left="970" w:hanging="403"/>
    </w:pPr>
    <w:rPr>
      <w:rFonts w:ascii="Times New Roman" w:hAnsi="Times New Roman"/>
      <w:b/>
    </w:rPr>
  </w:style>
  <w:style w:type="paragraph" w:styleId="ListNumber">
    <w:name w:val="List Number"/>
    <w:basedOn w:val="List"/>
    <w:rsid w:val="001B705D"/>
    <w:pPr>
      <w:numPr>
        <w:numId w:val="9"/>
      </w:numPr>
    </w:pPr>
  </w:style>
  <w:style w:type="character" w:customStyle="1" w:styleId="WingdingSymbols">
    <w:name w:val="Wingding Symbols"/>
    <w:rsid w:val="001B705D"/>
    <w:rPr>
      <w:rFonts w:ascii="Wingdings" w:hAnsi="Wingdings"/>
    </w:rPr>
  </w:style>
  <w:style w:type="paragraph" w:customStyle="1" w:styleId="TableHeading">
    <w:name w:val="Table Heading"/>
    <w:basedOn w:val="HeadingBase"/>
    <w:rsid w:val="001B705D"/>
    <w:pPr>
      <w:keepLines/>
      <w:pBdr>
        <w:bottom w:val="single" w:sz="6" w:space="1" w:color="918585"/>
      </w:pBdr>
      <w:spacing w:before="240"/>
    </w:pPr>
  </w:style>
  <w:style w:type="character" w:customStyle="1" w:styleId="HotSpot">
    <w:name w:val="HotSpot"/>
    <w:rsid w:val="001B705D"/>
    <w:rPr>
      <w:color w:val="0033CC"/>
      <w:u w:val="none"/>
    </w:rPr>
  </w:style>
  <w:style w:type="paragraph" w:customStyle="1" w:styleId="BodyTextRight">
    <w:name w:val="Body Text Right"/>
    <w:basedOn w:val="BodyText"/>
    <w:rsid w:val="001B705D"/>
    <w:pPr>
      <w:spacing w:before="0" w:after="0"/>
      <w:jc w:val="right"/>
    </w:pPr>
  </w:style>
  <w:style w:type="paragraph" w:styleId="Index3">
    <w:name w:val="index 3"/>
    <w:basedOn w:val="ListNumber2"/>
    <w:next w:val="Normal"/>
    <w:semiHidden/>
    <w:rsid w:val="001B705D"/>
    <w:pPr>
      <w:numPr>
        <w:numId w:val="0"/>
      </w:numPr>
      <w:tabs>
        <w:tab w:val="right" w:leader="dot" w:pos="4176"/>
      </w:tabs>
    </w:pPr>
  </w:style>
  <w:style w:type="paragraph" w:styleId="ListNumber2">
    <w:name w:val="List Number 2"/>
    <w:basedOn w:val="List2"/>
    <w:rsid w:val="001B705D"/>
    <w:pPr>
      <w:numPr>
        <w:numId w:val="8"/>
      </w:numPr>
      <w:tabs>
        <w:tab w:val="clear" w:pos="1060"/>
      </w:tabs>
    </w:pPr>
  </w:style>
  <w:style w:type="paragraph" w:customStyle="1" w:styleId="MarginNote">
    <w:name w:val="Margin Note"/>
    <w:basedOn w:val="BodyText"/>
    <w:rsid w:val="001B70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70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70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705D"/>
    <w:rPr>
      <w:sz w:val="32"/>
    </w:rPr>
  </w:style>
  <w:style w:type="paragraph" w:customStyle="1" w:styleId="HeadingProcedure">
    <w:name w:val="Heading Procedure"/>
    <w:basedOn w:val="HeadingBase"/>
    <w:next w:val="Normal"/>
    <w:rsid w:val="001B705D"/>
    <w:pPr>
      <w:tabs>
        <w:tab w:val="left" w:pos="0"/>
      </w:tabs>
      <w:spacing w:before="120" w:after="60"/>
    </w:pPr>
    <w:rPr>
      <w:i/>
      <w:color w:val="918585"/>
      <w:sz w:val="22"/>
    </w:rPr>
  </w:style>
  <w:style w:type="paragraph" w:customStyle="1" w:styleId="TableBodyText">
    <w:name w:val="Table Body Text"/>
    <w:basedOn w:val="BodyText"/>
    <w:rsid w:val="001B705D"/>
    <w:pPr>
      <w:spacing w:before="60" w:after="60"/>
    </w:pPr>
  </w:style>
  <w:style w:type="paragraph" w:styleId="ListContinue">
    <w:name w:val="List Continue"/>
    <w:basedOn w:val="List"/>
    <w:rsid w:val="001B705D"/>
    <w:pPr>
      <w:ind w:firstLine="0"/>
    </w:pPr>
  </w:style>
  <w:style w:type="paragraph" w:customStyle="1" w:styleId="ListNote">
    <w:name w:val="List Note"/>
    <w:basedOn w:val="List"/>
    <w:rsid w:val="001B705D"/>
    <w:pPr>
      <w:pBdr>
        <w:top w:val="single" w:sz="6" w:space="2" w:color="918585"/>
        <w:bottom w:val="single" w:sz="6" w:space="2" w:color="918585"/>
      </w:pBdr>
      <w:tabs>
        <w:tab w:val="left" w:pos="1021"/>
      </w:tabs>
      <w:ind w:firstLine="0"/>
    </w:pPr>
  </w:style>
  <w:style w:type="paragraph" w:customStyle="1" w:styleId="Warning">
    <w:name w:val="Warning"/>
    <w:basedOn w:val="BodyText"/>
    <w:rsid w:val="001B705D"/>
    <w:pPr>
      <w:shd w:val="clear" w:color="auto" w:fill="D9D9D9"/>
      <w:tabs>
        <w:tab w:val="left" w:pos="992"/>
      </w:tabs>
      <w:ind w:left="119" w:right="119"/>
    </w:pPr>
    <w:rPr>
      <w:sz w:val="20"/>
    </w:rPr>
  </w:style>
  <w:style w:type="paragraph" w:customStyle="1" w:styleId="MarginIcons">
    <w:name w:val="Margin Icons"/>
    <w:basedOn w:val="BodyText"/>
    <w:rsid w:val="001B70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705D"/>
    <w:rPr>
      <w:rFonts w:ascii="Courier New" w:hAnsi="Courier New"/>
    </w:rPr>
  </w:style>
  <w:style w:type="paragraph" w:customStyle="1" w:styleId="NoteBullet">
    <w:name w:val="Note Bullet"/>
    <w:basedOn w:val="Note"/>
    <w:rsid w:val="001B705D"/>
    <w:pPr>
      <w:tabs>
        <w:tab w:val="clear" w:pos="680"/>
      </w:tabs>
      <w:spacing w:before="60" w:after="60"/>
    </w:pPr>
  </w:style>
  <w:style w:type="paragraph" w:customStyle="1" w:styleId="SubHeading2">
    <w:name w:val="SubHeading2"/>
    <w:basedOn w:val="HeadingBase"/>
    <w:rsid w:val="001B705D"/>
    <w:pPr>
      <w:spacing w:before="240" w:after="60"/>
    </w:pPr>
    <w:rPr>
      <w:sz w:val="20"/>
    </w:rPr>
  </w:style>
  <w:style w:type="paragraph" w:customStyle="1" w:styleId="SubHeading1">
    <w:name w:val="SubHeading1"/>
    <w:basedOn w:val="HeadingBase"/>
    <w:rsid w:val="001B705D"/>
    <w:pPr>
      <w:spacing w:before="240" w:after="60"/>
    </w:pPr>
    <w:rPr>
      <w:color w:val="918585"/>
      <w:sz w:val="22"/>
    </w:rPr>
  </w:style>
  <w:style w:type="paragraph" w:customStyle="1" w:styleId="SideHeading">
    <w:name w:val="Side Heading"/>
    <w:basedOn w:val="HeadingBase"/>
    <w:rsid w:val="001B70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705D"/>
    <w:pPr>
      <w:numPr>
        <w:numId w:val="10"/>
      </w:numPr>
    </w:pPr>
  </w:style>
  <w:style w:type="paragraph" w:styleId="PlainText">
    <w:name w:val="Plain Text"/>
    <w:basedOn w:val="Normal"/>
    <w:link w:val="PlainTextChar"/>
    <w:rsid w:val="001B705D"/>
    <w:rPr>
      <w:sz w:val="20"/>
    </w:rPr>
  </w:style>
  <w:style w:type="character" w:customStyle="1" w:styleId="PlainTextChar">
    <w:name w:val="Plain Text Char"/>
    <w:basedOn w:val="DefaultParagraphFont"/>
    <w:link w:val="PlainText"/>
    <w:rsid w:val="001B705D"/>
    <w:rPr>
      <w:rFonts w:ascii="Courier New" w:eastAsia="Times New Roman" w:hAnsi="Courier New" w:cs="Times New Roman"/>
      <w:sz w:val="20"/>
      <w:szCs w:val="20"/>
      <w:lang w:eastAsia="en-US"/>
    </w:rPr>
  </w:style>
  <w:style w:type="character" w:customStyle="1" w:styleId="MenuOption">
    <w:name w:val="Menu Option"/>
    <w:basedOn w:val="DefaultParagraphFont"/>
    <w:rsid w:val="001B705D"/>
    <w:rPr>
      <w:b/>
      <w:smallCaps/>
    </w:rPr>
  </w:style>
  <w:style w:type="paragraph" w:customStyle="1" w:styleId="TableListNumber">
    <w:name w:val="Table List Number"/>
    <w:basedOn w:val="ListNumber"/>
    <w:rsid w:val="001B705D"/>
    <w:pPr>
      <w:numPr>
        <w:numId w:val="0"/>
      </w:numPr>
    </w:pPr>
  </w:style>
  <w:style w:type="paragraph" w:styleId="TOC4">
    <w:name w:val="toc 4"/>
    <w:basedOn w:val="TOCBase"/>
    <w:next w:val="Normal"/>
    <w:semiHidden/>
    <w:rsid w:val="001B705D"/>
    <w:pPr>
      <w:tabs>
        <w:tab w:val="right" w:leader="dot" w:pos="9071"/>
      </w:tabs>
      <w:ind w:left="1701"/>
    </w:pPr>
  </w:style>
  <w:style w:type="paragraph" w:customStyle="1" w:styleId="ListAlpha">
    <w:name w:val="List Alpha"/>
    <w:basedOn w:val="List"/>
    <w:rsid w:val="001B705D"/>
    <w:pPr>
      <w:numPr>
        <w:numId w:val="7"/>
      </w:numPr>
    </w:pPr>
  </w:style>
  <w:style w:type="paragraph" w:customStyle="1" w:styleId="ListAlpha2">
    <w:name w:val="List Alpha 2"/>
    <w:basedOn w:val="List2"/>
    <w:rsid w:val="001B705D"/>
    <w:pPr>
      <w:numPr>
        <w:numId w:val="6"/>
      </w:numPr>
    </w:pPr>
  </w:style>
  <w:style w:type="paragraph" w:styleId="List2">
    <w:name w:val="List 2"/>
    <w:basedOn w:val="BodyText"/>
    <w:rsid w:val="001B705D"/>
    <w:pPr>
      <w:tabs>
        <w:tab w:val="left" w:pos="680"/>
      </w:tabs>
      <w:spacing w:before="60" w:after="60"/>
      <w:ind w:left="680" w:hanging="340"/>
    </w:pPr>
  </w:style>
  <w:style w:type="paragraph" w:styleId="List3">
    <w:name w:val="List 3"/>
    <w:basedOn w:val="BodyText"/>
    <w:rsid w:val="001B705D"/>
    <w:pPr>
      <w:tabs>
        <w:tab w:val="left" w:pos="1021"/>
      </w:tabs>
      <w:spacing w:before="60" w:after="60"/>
      <w:ind w:left="1020" w:hanging="340"/>
    </w:pPr>
  </w:style>
  <w:style w:type="paragraph" w:styleId="List4">
    <w:name w:val="List 4"/>
    <w:basedOn w:val="BodyText"/>
    <w:rsid w:val="001B705D"/>
    <w:pPr>
      <w:tabs>
        <w:tab w:val="left" w:pos="1361"/>
      </w:tabs>
      <w:spacing w:before="60" w:after="60"/>
      <w:ind w:left="1361" w:hanging="340"/>
    </w:pPr>
  </w:style>
  <w:style w:type="paragraph" w:styleId="List5">
    <w:name w:val="List 5"/>
    <w:basedOn w:val="BodyText"/>
    <w:rsid w:val="001B705D"/>
    <w:pPr>
      <w:tabs>
        <w:tab w:val="left" w:pos="1701"/>
      </w:tabs>
      <w:spacing w:before="60" w:after="60"/>
      <w:ind w:left="1701" w:hanging="340"/>
    </w:pPr>
  </w:style>
  <w:style w:type="paragraph" w:styleId="ListBullet3">
    <w:name w:val="List Bullet 3"/>
    <w:basedOn w:val="List3"/>
    <w:rsid w:val="001B705D"/>
    <w:pPr>
      <w:numPr>
        <w:numId w:val="13"/>
      </w:numPr>
      <w:tabs>
        <w:tab w:val="clear" w:pos="1021"/>
      </w:tabs>
      <w:ind w:left="1037" w:hanging="357"/>
    </w:pPr>
  </w:style>
  <w:style w:type="paragraph" w:styleId="ListBullet4">
    <w:name w:val="List Bullet 4"/>
    <w:basedOn w:val="List4"/>
    <w:rsid w:val="001B705D"/>
    <w:pPr>
      <w:numPr>
        <w:numId w:val="1"/>
      </w:numPr>
      <w:tabs>
        <w:tab w:val="clear" w:pos="1361"/>
      </w:tabs>
    </w:pPr>
  </w:style>
  <w:style w:type="paragraph" w:styleId="ListBullet5">
    <w:name w:val="List Bullet 5"/>
    <w:basedOn w:val="List5"/>
    <w:rsid w:val="001B705D"/>
    <w:pPr>
      <w:numPr>
        <w:numId w:val="2"/>
      </w:numPr>
    </w:pPr>
  </w:style>
  <w:style w:type="paragraph" w:styleId="ListContinue2">
    <w:name w:val="List Continue 2"/>
    <w:basedOn w:val="List2"/>
    <w:rsid w:val="001B705D"/>
    <w:pPr>
      <w:ind w:firstLine="0"/>
    </w:pPr>
  </w:style>
  <w:style w:type="paragraph" w:styleId="ListContinue3">
    <w:name w:val="List Continue 3"/>
    <w:basedOn w:val="List3"/>
    <w:rsid w:val="001B705D"/>
    <w:pPr>
      <w:ind w:left="1021" w:firstLine="0"/>
    </w:pPr>
  </w:style>
  <w:style w:type="paragraph" w:styleId="ListContinue4">
    <w:name w:val="List Continue 4"/>
    <w:basedOn w:val="List4"/>
    <w:rsid w:val="001B705D"/>
    <w:pPr>
      <w:ind w:firstLine="0"/>
    </w:pPr>
  </w:style>
  <w:style w:type="paragraph" w:styleId="ListContinue5">
    <w:name w:val="List Continue 5"/>
    <w:basedOn w:val="List5"/>
    <w:rsid w:val="001B705D"/>
    <w:pPr>
      <w:ind w:firstLine="0"/>
    </w:pPr>
  </w:style>
  <w:style w:type="paragraph" w:styleId="ListNumber3">
    <w:name w:val="List Number 3"/>
    <w:basedOn w:val="List3"/>
    <w:rsid w:val="001B705D"/>
    <w:pPr>
      <w:numPr>
        <w:numId w:val="3"/>
      </w:numPr>
    </w:pPr>
  </w:style>
  <w:style w:type="paragraph" w:styleId="ListNumber4">
    <w:name w:val="List Number 4"/>
    <w:basedOn w:val="List4"/>
    <w:rsid w:val="001B705D"/>
    <w:pPr>
      <w:numPr>
        <w:numId w:val="4"/>
      </w:numPr>
    </w:pPr>
  </w:style>
  <w:style w:type="paragraph" w:styleId="ListNumber5">
    <w:name w:val="List Number 5"/>
    <w:basedOn w:val="List5"/>
    <w:rsid w:val="001B705D"/>
    <w:pPr>
      <w:numPr>
        <w:numId w:val="5"/>
      </w:numPr>
    </w:pPr>
  </w:style>
  <w:style w:type="paragraph" w:styleId="BlockText">
    <w:name w:val="Block Text"/>
    <w:basedOn w:val="Normal"/>
    <w:rsid w:val="001B705D"/>
    <w:pPr>
      <w:spacing w:after="120"/>
      <w:ind w:left="1440" w:right="1440"/>
    </w:pPr>
  </w:style>
  <w:style w:type="character" w:customStyle="1" w:styleId="Subscript">
    <w:name w:val="Subscript"/>
    <w:basedOn w:val="DefaultParagraphFont"/>
    <w:rsid w:val="001B705D"/>
    <w:rPr>
      <w:sz w:val="16"/>
      <w:vertAlign w:val="subscript"/>
    </w:rPr>
  </w:style>
  <w:style w:type="character" w:customStyle="1" w:styleId="Superscript">
    <w:name w:val="Superscript"/>
    <w:basedOn w:val="DefaultParagraphFont"/>
    <w:rsid w:val="001B705D"/>
    <w:rPr>
      <w:sz w:val="16"/>
      <w:vertAlign w:val="superscript"/>
    </w:rPr>
  </w:style>
  <w:style w:type="character" w:customStyle="1" w:styleId="Symbols">
    <w:name w:val="Symbols"/>
    <w:basedOn w:val="DefaultParagraphFont"/>
    <w:rsid w:val="001B705D"/>
    <w:rPr>
      <w:rFonts w:ascii="Symbol" w:hAnsi="Symbol"/>
    </w:rPr>
  </w:style>
  <w:style w:type="character" w:customStyle="1" w:styleId="MenuOptions">
    <w:name w:val="Menu Options"/>
    <w:basedOn w:val="DefaultParagraphFont"/>
    <w:rsid w:val="001B705D"/>
    <w:rPr>
      <w:rFonts w:ascii="Arial Narrow" w:hAnsi="Arial Narrow"/>
      <w:smallCaps/>
    </w:rPr>
  </w:style>
  <w:style w:type="character" w:customStyle="1" w:styleId="Buttons">
    <w:name w:val="Buttons"/>
    <w:basedOn w:val="DefaultParagraphFont"/>
    <w:rsid w:val="001B705D"/>
    <w:rPr>
      <w:b/>
    </w:rPr>
  </w:style>
  <w:style w:type="character" w:customStyle="1" w:styleId="Underlined">
    <w:name w:val="Underlined"/>
    <w:basedOn w:val="DefaultParagraphFont"/>
    <w:rsid w:val="001B705D"/>
    <w:rPr>
      <w:u w:val="single"/>
    </w:rPr>
  </w:style>
  <w:style w:type="paragraph" w:customStyle="1" w:styleId="TableBodyTextRight">
    <w:name w:val="Table Body Text Right"/>
    <w:basedOn w:val="TableBodyText"/>
    <w:rsid w:val="001B705D"/>
    <w:pPr>
      <w:widowControl w:val="0"/>
      <w:autoSpaceDE w:val="0"/>
      <w:autoSpaceDN w:val="0"/>
      <w:adjustRightInd w:val="0"/>
      <w:jc w:val="right"/>
    </w:pPr>
    <w:rPr>
      <w:rFonts w:cs="Arial"/>
      <w:szCs w:val="18"/>
    </w:rPr>
  </w:style>
  <w:style w:type="paragraph" w:customStyle="1" w:styleId="CopyrightText">
    <w:name w:val="Copyright Text"/>
    <w:basedOn w:val="BodyText"/>
    <w:rsid w:val="001B705D"/>
    <w:rPr>
      <w:sz w:val="18"/>
    </w:rPr>
  </w:style>
  <w:style w:type="paragraph" w:customStyle="1" w:styleId="BodySmallRight">
    <w:name w:val="Body Small Right"/>
    <w:basedOn w:val="BodyTextRight"/>
    <w:rsid w:val="001B705D"/>
    <w:rPr>
      <w:sz w:val="18"/>
      <w:szCs w:val="18"/>
    </w:rPr>
  </w:style>
  <w:style w:type="paragraph" w:customStyle="1" w:styleId="MarginEdition">
    <w:name w:val="Margin Edition"/>
    <w:basedOn w:val="MarginNote"/>
    <w:rsid w:val="001B705D"/>
    <w:pPr>
      <w:spacing w:before="0" w:after="0"/>
    </w:pPr>
    <w:rPr>
      <w:rFonts w:ascii="Times New Roman" w:hAnsi="Times New Roman"/>
      <w:color w:val="999999"/>
    </w:rPr>
  </w:style>
  <w:style w:type="paragraph" w:customStyle="1" w:styleId="Spacer">
    <w:name w:val="Spacer"/>
    <w:basedOn w:val="Normal"/>
    <w:rsid w:val="001B705D"/>
    <w:rPr>
      <w:sz w:val="2"/>
      <w:szCs w:val="2"/>
    </w:rPr>
  </w:style>
  <w:style w:type="character" w:customStyle="1" w:styleId="Small">
    <w:name w:val="Small"/>
    <w:basedOn w:val="DefaultParagraphFont"/>
    <w:rsid w:val="001B705D"/>
    <w:rPr>
      <w:sz w:val="16"/>
    </w:rPr>
  </w:style>
  <w:style w:type="paragraph" w:customStyle="1" w:styleId="WideTable">
    <w:name w:val="Wide Table"/>
    <w:basedOn w:val="Normal"/>
    <w:rsid w:val="001B705D"/>
    <w:pPr>
      <w:ind w:left="-1418"/>
    </w:pPr>
    <w:rPr>
      <w:sz w:val="2"/>
      <w:szCs w:val="2"/>
    </w:rPr>
  </w:style>
  <w:style w:type="character" w:styleId="PageNumber">
    <w:name w:val="page number"/>
    <w:basedOn w:val="DefaultParagraphFont"/>
    <w:rsid w:val="001B705D"/>
  </w:style>
  <w:style w:type="paragraph" w:styleId="Quote">
    <w:name w:val="Quote"/>
    <w:basedOn w:val="Heading1"/>
    <w:link w:val="QuoteChar"/>
    <w:qFormat/>
    <w:rsid w:val="001B705D"/>
    <w:rPr>
      <w:b w:val="0"/>
      <w:sz w:val="72"/>
      <w:szCs w:val="72"/>
      <w:lang w:val="en-NZ"/>
    </w:rPr>
  </w:style>
  <w:style w:type="character" w:customStyle="1" w:styleId="QuoteChar">
    <w:name w:val="Quote Char"/>
    <w:basedOn w:val="DefaultParagraphFont"/>
    <w:link w:val="Quote"/>
    <w:rsid w:val="001B70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705D"/>
    <w:pPr>
      <w:pageBreakBefore/>
    </w:pPr>
  </w:style>
  <w:style w:type="paragraph" w:customStyle="1" w:styleId="Border">
    <w:name w:val="Border"/>
    <w:basedOn w:val="Normal"/>
    <w:qFormat/>
    <w:rsid w:val="001B70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705D"/>
    <w:rPr>
      <w:b/>
      <w:bCs/>
      <w:i/>
      <w:iCs/>
      <w:color w:val="auto"/>
    </w:rPr>
  </w:style>
  <w:style w:type="paragraph" w:styleId="IntenseQuote">
    <w:name w:val="Intense Quote"/>
    <w:basedOn w:val="Normal"/>
    <w:next w:val="Normal"/>
    <w:link w:val="IntenseQuoteChar"/>
    <w:uiPriority w:val="30"/>
    <w:qFormat/>
    <w:rsid w:val="001B70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70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705D"/>
    <w:rPr>
      <w:smallCaps/>
      <w:color w:val="auto"/>
      <w:u w:val="single"/>
    </w:rPr>
  </w:style>
  <w:style w:type="character" w:styleId="IntenseReference">
    <w:name w:val="Intense Reference"/>
    <w:basedOn w:val="DefaultParagraphFont"/>
    <w:uiPriority w:val="32"/>
    <w:qFormat/>
    <w:rsid w:val="001B705D"/>
    <w:rPr>
      <w:b/>
      <w:bCs/>
      <w:smallCaps/>
      <w:color w:val="auto"/>
      <w:spacing w:val="5"/>
      <w:u w:val="single"/>
    </w:rPr>
  </w:style>
  <w:style w:type="paragraph" w:customStyle="1" w:styleId="2ColumnHeading">
    <w:name w:val="2Column Heading"/>
    <w:basedOn w:val="BodyText"/>
    <w:qFormat/>
    <w:rsid w:val="001B705D"/>
    <w:pPr>
      <w:spacing w:after="60"/>
      <w:ind w:left="-2268"/>
    </w:pPr>
    <w:rPr>
      <w:b/>
    </w:rPr>
  </w:style>
  <w:style w:type="paragraph" w:customStyle="1" w:styleId="Heading1TOC">
    <w:name w:val="Heading1 TOC"/>
    <w:basedOn w:val="Normal"/>
    <w:qFormat/>
    <w:rsid w:val="001B705D"/>
    <w:pPr>
      <w:spacing w:before="240" w:after="120"/>
    </w:pPr>
    <w:rPr>
      <w:rFonts w:ascii="Times New Roman" w:hAnsi="Times New Roman"/>
      <w:b/>
      <w:sz w:val="32"/>
    </w:rPr>
  </w:style>
  <w:style w:type="paragraph" w:customStyle="1" w:styleId="Heading2TOC">
    <w:name w:val="Heading2 TOC"/>
    <w:basedOn w:val="Normal"/>
    <w:qFormat/>
    <w:rsid w:val="001B705D"/>
    <w:pPr>
      <w:spacing w:before="240" w:after="60"/>
    </w:pPr>
    <w:rPr>
      <w:rFonts w:ascii="Times New Roman" w:hAnsi="Times New Roman"/>
      <w:b/>
      <w:sz w:val="28"/>
    </w:rPr>
  </w:style>
  <w:style w:type="character" w:customStyle="1" w:styleId="Underline">
    <w:name w:val="Underline"/>
    <w:basedOn w:val="DefaultParagraphFont"/>
    <w:qFormat/>
    <w:rsid w:val="001B705D"/>
    <w:rPr>
      <w:u w:val="single"/>
    </w:rPr>
  </w:style>
  <w:style w:type="character" w:customStyle="1" w:styleId="BoldandItalics">
    <w:name w:val="Bold and Italics"/>
    <w:qFormat/>
    <w:rsid w:val="001B705D"/>
    <w:rPr>
      <w:b/>
      <w:i/>
      <w:u w:val="none"/>
    </w:rPr>
  </w:style>
  <w:style w:type="paragraph" w:styleId="BalloonText">
    <w:name w:val="Balloon Text"/>
    <w:basedOn w:val="Normal"/>
    <w:link w:val="BalloonTextChar"/>
    <w:rsid w:val="001B705D"/>
    <w:rPr>
      <w:rFonts w:ascii="Tahoma" w:hAnsi="Tahoma" w:cs="Tahoma"/>
      <w:sz w:val="16"/>
      <w:szCs w:val="16"/>
    </w:rPr>
  </w:style>
  <w:style w:type="character" w:customStyle="1" w:styleId="BalloonTextChar">
    <w:name w:val="Balloon Text Char"/>
    <w:basedOn w:val="DefaultParagraphFont"/>
    <w:link w:val="BalloonText"/>
    <w:rsid w:val="001B70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70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70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705D"/>
    <w:rPr>
      <w:b/>
      <w:color w:val="660033"/>
      <w:spacing w:val="0"/>
    </w:rPr>
  </w:style>
  <w:style w:type="paragraph" w:customStyle="1" w:styleId="Nameditemlist">
    <w:name w:val="Named item list"/>
    <w:basedOn w:val="BodyText"/>
    <w:qFormat/>
    <w:rsid w:val="001B705D"/>
    <w:pPr>
      <w:tabs>
        <w:tab w:val="left" w:pos="2835"/>
      </w:tabs>
      <w:ind w:left="2835" w:hanging="2835"/>
    </w:pPr>
  </w:style>
  <w:style w:type="paragraph" w:customStyle="1" w:styleId="BodyTextnopadding">
    <w:name w:val="Body Text no padding"/>
    <w:basedOn w:val="BodyText"/>
    <w:qFormat/>
    <w:rsid w:val="001B705D"/>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2057</Words>
  <Characters>12769</Characters>
  <Application>Microsoft Office Word</Application>
  <DocSecurity>0</DocSecurity>
  <Lines>615</Lines>
  <Paragraphs>453</Paragraphs>
  <ScaleCrop>false</ScaleCrop>
  <Company>Author-it Software Corporation Ltd.</Company>
  <LinksUpToDate>false</LinksUpToDate>
  <CharactersWithSpaces>14398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UEG60118 Advanced Diploma of Gas Supply Industry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2018-09-05T16:05:09Z</dcterms:created>
  <dcterms:modified xsi:type="dcterms:W3CDTF">2018-08-30T01:57:00Z</dcterms:modified>
</cp:coreProperties>
</file>