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845" w:rsidP="00BD4845">
      <w:pPr>
        <w:pStyle w:val="Title"/>
      </w:pPr>
      <w:r>
        <w:fldChar w:fldCharType="begin"/>
      </w:r>
      <w:r>
        <w:instrText xml:space="preserve"> TITLE   \* MERGEFORMAT </w:instrText>
      </w:r>
      <w:r>
        <w:fldChar w:fldCharType="separate"/>
      </w:r>
      <w:r>
        <w:t>UEENEEN121A Repair rail signalling power and control cables</w:t>
      </w:r>
      <w:r>
        <w:fldChar w:fldCharType="end"/>
      </w:r>
    </w:p>
    <w:p w:rsidR="00BD4845" w:rsidP="00BD4845">
      <w:pPr>
        <w:pStyle w:val="Version"/>
        <w:sectPr w:rsidSect="00CB6D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6D78" w:rsidP="00CB6D78">
      <w:pPr>
        <w:pStyle w:val="SuperHeading"/>
      </w:pPr>
      <w:r w:rsidRPr="00CB6D78">
        <w:t>UEENEEN121A Repair rail signalling power and control cables</w:t>
      </w:r>
    </w:p>
    <w:p w:rsidR="00000000" w:rsidRPr="00CB6D78" w:rsidP="00CB6D78">
      <w:pPr>
        <w:pStyle w:val="Heading1"/>
      </w:pPr>
      <w:bookmarkStart w:id="1" w:name="O_585340"/>
      <w:bookmarkEnd w:id="1"/>
      <w:r w:rsidRPr="00CB6D78">
        <w:t>Modification History</w:t>
      </w:r>
    </w:p>
    <w:p w:rsidR="00000000" w:rsidRPr="00CB6D78" w:rsidP="00CB6D78">
      <w:pPr>
        <w:pStyle w:val="BodyText"/>
      </w:pPr>
      <w:r w:rsidRPr="00CB6D78">
        <w:t>Not applicable.</w:t>
      </w:r>
    </w:p>
    <w:p w:rsidR="00000000" w:rsidRPr="00CB6D78" w:rsidP="00CB6D78">
      <w:pPr>
        <w:pStyle w:val="AllowPageBreak"/>
      </w:pPr>
    </w:p>
    <w:p w:rsidR="00000000" w:rsidRPr="00CB6D78" w:rsidP="00CB6D78">
      <w:pPr>
        <w:pStyle w:val="Heading1"/>
      </w:pPr>
      <w:bookmarkStart w:id="2" w:name="O_585339"/>
      <w:bookmarkEnd w:id="2"/>
      <w:r w:rsidRPr="00CB6D78">
        <w:t>Unit Descriptor</w:t>
      </w:r>
    </w:p>
    <w:tbl>
      <w:tblPr>
        <w:tblW w:w="0" w:type="auto"/>
        <w:tblLayout w:type="fixed"/>
        <w:tblCellMar>
          <w:left w:w="62" w:type="dxa"/>
          <w:right w:w="62" w:type="dxa"/>
        </w:tblCellMar>
        <w:tblLook w:val="0000"/>
      </w:tblPr>
      <w:tblGrid>
        <w:gridCol w:w="2700"/>
        <w:gridCol w:w="5760"/>
      </w:tblGrid>
      <w:tr w:rsidTr="00BD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1)</w:t>
            </w:r>
            <w:r w:rsidRPr="00CB6D78">
              <w:t xml:space="preserve"> </w:t>
            </w:r>
            <w:r w:rsidRPr="00CB6D78">
              <w:rPr>
                <w:rStyle w:val="SpecialBold"/>
              </w:rPr>
              <w:t>Scope:</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D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1.1) Descriptor</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This unit covers repair of signalling power cables and multi core signalling control cables up to 50 cores. It encompasses s</w:t>
            </w:r>
            <w:r w:rsidRPr="00CB6D78">
              <w:t>afe working, regulatory requirements and following work procedures, selecting and using appropriate cable joining methods, testing continuity and insulation resistance of repaired cable cores and reporting repair activities.</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3" w:name="O_585338"/>
      <w:bookmarkEnd w:id="3"/>
      <w:r w:rsidRPr="00CB6D78">
        <w:t>Application of the Unit</w:t>
      </w:r>
    </w:p>
    <w:tbl>
      <w:tblPr>
        <w:tblW w:w="0" w:type="auto"/>
        <w:tblLayout w:type="fixed"/>
        <w:tblCellMar>
          <w:left w:w="62" w:type="dxa"/>
          <w:right w:w="62" w:type="dxa"/>
        </w:tblCellMar>
        <w:tblLook w:val="0000"/>
      </w:tblPr>
      <w:tblGrid>
        <w:gridCol w:w="2672"/>
        <w:gridCol w:w="5699"/>
      </w:tblGrid>
      <w:tr w:rsidTr="00BD48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2)</w:t>
            </w:r>
          </w:p>
        </w:tc>
      </w:tr>
      <w:tr w:rsidTr="00BD48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This competency standard is suitable for employment-based programs under an approved contract of training at the AQF level of the qualification in which the unit is first packaged or higher.</w:t>
            </w:r>
          </w:p>
          <w:p w:rsidR="00000000" w:rsidRPr="00CB6D78" w:rsidP="00CB6D78">
            <w:pPr>
              <w:pStyle w:val="BodyText"/>
            </w:pPr>
          </w:p>
          <w:p w:rsidR="00000000" w:rsidRPr="00CB6D78" w:rsidP="00CB6D78">
            <w:pPr>
              <w:pStyle w:val="BodyText"/>
            </w:pPr>
            <w:r w:rsidRPr="00CB6D78">
              <w:t>The unit ma</w:t>
            </w:r>
            <w:r w:rsidRPr="00CB6D78">
              <w:t>y be selected as an elective from the relevant schedule (see qualification packaging rules) provided that all prerequisite units are undertaken or addressed through recognition processes.</w:t>
            </w:r>
          </w:p>
          <w:p w:rsidR="00000000" w:rsidRPr="00CB6D78" w:rsidP="00CB6D78">
            <w:pPr>
              <w:pStyle w:val="BodyText"/>
            </w:pPr>
          </w:p>
          <w:p w:rsidR="00000000" w:rsidRPr="00CB6D78" w:rsidP="00CB6D78">
            <w:pPr>
              <w:pStyle w:val="BodyText"/>
            </w:pPr>
            <w:r w:rsidRPr="00CB6D78">
              <w:t>This unit may be included in a skill set provided that it is listed</w:t>
            </w:r>
            <w:r w:rsidRPr="00CB6D78">
              <w:t xml:space="preserve"> in the schedule of electives (see Qualification Framework) and all prerequisite units are undertaken or addressed through recognition processes.</w:t>
            </w:r>
          </w:p>
          <w:p w:rsidR="00000000" w:rsidRPr="00CB6D78" w:rsidP="00CB6D78">
            <w:pPr>
              <w:pStyle w:val="BodyText"/>
            </w:pPr>
          </w:p>
          <w:p w:rsidR="00000000" w:rsidRPr="00CB6D78" w:rsidP="00CB6D78">
            <w:pPr>
              <w:pStyle w:val="BodyText"/>
            </w:pPr>
            <w:r w:rsidRPr="00CB6D78">
              <w:t xml:space="preserve">Delivery and assessment of this unit should be undertaken within regard to the requirements of License </w:t>
            </w:r>
            <w:r w:rsidRPr="00CB6D78">
              <w:t>to Pra</w:t>
            </w:r>
            <w:r w:rsidRPr="00CB6D78">
              <w:t>ctice (1.2 above), Prerequisite Competencies and Literacy and Numeracy skills (2 above) and the  recommendations for concurrent assessment and relationship with other units (9.5 below).</w:t>
            </w:r>
          </w:p>
          <w:p w:rsidR="00000000" w:rsidRPr="00CB6D78" w:rsidP="00CB6D78">
            <w:pPr>
              <w:pStyle w:val="BodyText"/>
            </w:pPr>
          </w:p>
          <w:p w:rsidR="00000000" w:rsidRPr="00CB6D78" w:rsidP="00CB6D78">
            <w:pPr>
              <w:pStyle w:val="BodyText"/>
            </w:pPr>
            <w:r w:rsidRPr="00CB6D78">
              <w:t>This unit shall apply to qualifications in installation and maintenan</w:t>
            </w:r>
            <w:r w:rsidRPr="00CB6D78">
              <w:t>ce of rail signalling electrical power and control systems AQF Level 3 or higher</w:t>
            </w:r>
          </w:p>
          <w:p w:rsidR="00000000" w:rsidRPr="00CB6D78" w:rsidP="00CB6D78">
            <w:pPr>
              <w:pStyle w:val="BodyText"/>
            </w:pPr>
            <w:r w:rsidRPr="00CB6D78">
              <w:t>Practice in the workplace and during training is also subject to regulations directly related to occupational health and safety and where applicable contracts of training such</w:t>
            </w:r>
            <w:r w:rsidRPr="00CB6D78">
              <w:t xml:space="preserve"> as apprenticeships.</w:t>
            </w:r>
          </w:p>
          <w:p w:rsidR="00000000" w:rsidRPr="00CB6D78" w:rsidP="00CB6D78">
            <w:pPr>
              <w:pStyle w:val="BodyText"/>
            </w:pPr>
            <w:r w:rsidRPr="00CB6D78">
              <w:t xml:space="preserve">Note: </w:t>
            </w:r>
          </w:p>
          <w:p w:rsidR="00000000" w:rsidRPr="00CB6D78" w:rsidP="00CB6D78">
            <w:pPr>
              <w:pStyle w:val="BodyText"/>
            </w:pPr>
            <w:r w:rsidRPr="00CB6D78">
              <w:t>1. Compliance with permits may be required in various jurisdictions and typically relates to the operation of plant, machinery and equipment such as elevating work platforms, powder operated fixing tools, power operated tools, v</w:t>
            </w:r>
            <w:r w:rsidRPr="00CB6D78">
              <w:t>ehicles, road signage and traffic control and lifting equipment. Permits may also be required for some work environments such as confined spaces, working aloft, near live electrical apparatus and site rehabilitation.</w:t>
            </w:r>
          </w:p>
          <w:p w:rsidR="00000000" w:rsidRPr="00CB6D78" w:rsidP="00CB6D78">
            <w:pPr>
              <w:pStyle w:val="BodyText"/>
            </w:pPr>
            <w:r w:rsidRPr="00CB6D78">
              <w:t>2. Compliance may be required in variou</w:t>
            </w:r>
            <w:r w:rsidRPr="00CB6D78">
              <w:t>s jurisdictions relating to currency in First Aid, confined space, lifting, risk safety measures etc.</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4" w:name="O_585337"/>
      <w:bookmarkEnd w:id="4"/>
      <w:r w:rsidRPr="00CB6D78">
        <w:t>Licensing/Regulatory Information</w:t>
      </w:r>
    </w:p>
    <w:tbl>
      <w:tblPr>
        <w:tblW w:w="0" w:type="auto"/>
        <w:tblLayout w:type="fixed"/>
        <w:tblCellMar>
          <w:left w:w="62" w:type="dxa"/>
          <w:right w:w="62" w:type="dxa"/>
        </w:tblCellMar>
        <w:tblLook w:val="0000"/>
      </w:tblPr>
      <w:tblGrid>
        <w:gridCol w:w="2700"/>
        <w:gridCol w:w="5760"/>
      </w:tblGrid>
      <w:tr w:rsidTr="00BD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 xml:space="preserve">3) </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The skills and knowledge described in this unit may only be practised in the workplace under regulations related to electrical work, the codes of practice and regulations of the State/Territory in which the work is carried out. This includes codes of pract</w:t>
            </w:r>
            <w:r w:rsidRPr="00CB6D78">
              <w:t>ice such as the ‘Code Of Practice for the Defined Interstate Rail Network’ for work carried out on that network</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5" w:name="O_585336"/>
      <w:bookmarkEnd w:id="5"/>
      <w:r w:rsidRPr="00CB6D78">
        <w:t>Pre-Requisites</w:t>
      </w:r>
    </w:p>
    <w:tbl>
      <w:tblPr>
        <w:tblW w:w="0" w:type="auto"/>
        <w:tblLayout w:type="fixed"/>
        <w:tblCellMar>
          <w:left w:w="62" w:type="dxa"/>
          <w:right w:w="62" w:type="dxa"/>
        </w:tblCellMar>
        <w:tblLook w:val="0000"/>
      </w:tblPr>
      <w:tblGrid>
        <w:gridCol w:w="2700"/>
        <w:gridCol w:w="1350"/>
        <w:gridCol w:w="4410"/>
      </w:tblGrid>
      <w:tr w:rsidTr="00BD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 xml:space="preserve">4) </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4.1)</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Granting competency in this unit shall be made only after competency in the following unit(s) has/have been confirmed.</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UEENEEN102A</w:t>
            </w:r>
          </w:p>
        </w:tc>
        <w:tc>
          <w:tcPr>
            <w:tcW w:w="441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Assemble and wire internal electrical rail signalling equipment</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And</w:t>
            </w:r>
          </w:p>
          <w:p w:rsidR="00000000" w:rsidRPr="00CB6D78" w:rsidP="00CB6D78">
            <w:pPr>
              <w:pStyle w:val="BodyText"/>
            </w:pPr>
            <w:r w:rsidRPr="00CB6D78">
              <w:t>Work place requirements in ‘Work site protection’</w:t>
            </w:r>
            <w:r w:rsidRPr="00CB6D78">
              <w:t xml:space="preserve"> have been acquired.</w:t>
            </w:r>
          </w:p>
        </w:tc>
      </w:tr>
    </w:tbl>
    <w:p w:rsidR="00000000" w:rsidRPr="00CB6D78" w:rsidP="00CB6D7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D48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 xml:space="preserve">4.2) </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 xml:space="preserve">Participants are best equipped to achieve competency in this unit if they have reading, writing and numeracy skills indicated by the following </w:t>
            </w:r>
            <w:r w:rsidRPr="00CB6D78">
              <w:t>scales. Description of each scale is given in Volume 2, Part 3 ‘Literacy and Numeracy’</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Reading</w:t>
            </w:r>
          </w:p>
        </w:tc>
        <w:tc>
          <w:tcPr>
            <w:tcW w:w="81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4</w:t>
            </w:r>
          </w:p>
        </w:tc>
        <w:tc>
          <w:tcPr>
            <w:tcW w:w="99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Writing</w:t>
            </w: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4</w:t>
            </w:r>
          </w:p>
        </w:tc>
        <w:tc>
          <w:tcPr>
            <w:tcW w:w="12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Numeracy</w:t>
            </w:r>
          </w:p>
        </w:tc>
        <w:tc>
          <w:tcPr>
            <w:tcW w:w="72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4</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6" w:name="O_585335"/>
      <w:bookmarkEnd w:id="6"/>
      <w:r w:rsidRPr="00CB6D78">
        <w:t>Employability Skills Information</w:t>
      </w:r>
    </w:p>
    <w:tbl>
      <w:tblPr>
        <w:tblW w:w="0" w:type="auto"/>
        <w:tblLayout w:type="fixed"/>
        <w:tblCellMar>
          <w:left w:w="62" w:type="dxa"/>
          <w:right w:w="62" w:type="dxa"/>
        </w:tblCellMar>
        <w:tblLook w:val="0000"/>
      </w:tblPr>
      <w:tblGrid>
        <w:gridCol w:w="2700"/>
        <w:gridCol w:w="5760"/>
      </w:tblGrid>
      <w:tr w:rsidTr="00BD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 xml:space="preserve">5) </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This unit contains Employability Skills</w:t>
            </w:r>
          </w:p>
          <w:p w:rsidR="00000000" w:rsidRPr="00CB6D78" w:rsidP="00CB6D78">
            <w:pPr>
              <w:pStyle w:val="BodyText"/>
            </w:pPr>
            <w:r w:rsidRPr="00CB6D7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6D78">
              <w:t>requirements.</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7" w:name="O_585334"/>
      <w:bookmarkEnd w:id="7"/>
      <w:r w:rsidRPr="00CB6D78">
        <w:t>Elements and Performance Criteria Pre-Content</w:t>
      </w:r>
    </w:p>
    <w:tbl>
      <w:tblPr>
        <w:tblW w:w="0" w:type="auto"/>
        <w:tblLayout w:type="fixed"/>
        <w:tblCellMar>
          <w:left w:w="62" w:type="dxa"/>
          <w:right w:w="62" w:type="dxa"/>
        </w:tblCellMar>
        <w:tblLook w:val="0000"/>
      </w:tblPr>
      <w:tblGrid>
        <w:gridCol w:w="2700"/>
        <w:gridCol w:w="5760"/>
      </w:tblGrid>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6)</w:t>
            </w:r>
            <w:r w:rsidRPr="00CB6D7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Performance Criteria describe the required performance needed to demonstrate achievement of the element. Assessment of performance is to be consistent with the Evidence Guide.</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8" w:name="O_585333"/>
      <w:bookmarkEnd w:id="8"/>
      <w:r w:rsidRPr="00CB6D7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48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PERFORMANCE CRITER</w:t>
            </w:r>
            <w:r w:rsidRPr="00CB6D78">
              <w:rPr>
                <w:rStyle w:val="SpecialBold"/>
              </w:rPr>
              <w:t>IA</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w:t>
            </w:r>
          </w:p>
        </w:tc>
        <w:tc>
          <w:tcPr>
            <w:tcW w:w="2296"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 xml:space="preserve">Prepare to repair rail signalling cables </w:t>
            </w: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1.1</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OHS procedures for a given work area are identified, obtained and understood.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1.2</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Established OHS risk control measures and procedures are followed in preparation for the work.</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1.3</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Safety hazards that have not previously been identified are noted, and established risk control measures are implemented.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1.4</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Access times and methods are confirmed to comply with customer requirements and relevant legislation.</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1.5</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Appropriate personnel are consulted to ensure the work is coordinated effectively with others involved on the work site</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1.6</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Extent and nature of the damage to the rail signalling cable is confirmed with appropriate personnel and through established proc</w:t>
            </w:r>
            <w:r w:rsidRPr="00CB6D78">
              <w:t>edures.</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1.7</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Appropriate cable joining kit is obtained in accordance with established procedures and checked against manufacturer’s instructions to ensure all components are included.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1.8</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Cable diagrams necessary to effect repairs are obtained, read and understood.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1.9</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Tools and cable testing devices appropriate for the cable repair are obtained in accordance with established procedures and checked for correct operation and safety.</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w:t>
            </w:r>
          </w:p>
        </w:tc>
        <w:tc>
          <w:tcPr>
            <w:tcW w:w="2296"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Re</w:t>
            </w:r>
            <w:r w:rsidRPr="00CB6D78">
              <w:t>pair damaged rail signalling cables</w:t>
            </w: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2.1</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Work area made safe, the damaged cable is isolated for repair and other OHS risk control measures and procedures for carrying out the repair are followed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2.2</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 xml:space="preserve">Corresponding ends of broken cable core are identified </w:t>
            </w:r>
            <w:r w:rsidRPr="00CB6D78">
              <w:t>by core marking and confirmed by continuity test</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2.3</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Appropriate cable joining kit is used to repair damaged cable following manufacturer’s instructions and established procedures</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2.4</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Effectiveness of the repair to the damage cable is tested for cable core continuity, insulation between cable cores and cores to earth.</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2.5</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Cause of unacceptable test results is located and rectified in accordance with established procedures</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2.6</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Esta</w:t>
            </w:r>
            <w:r w:rsidRPr="00CB6D78">
              <w:t>blished methods for dealing with unexpected situations are dealt with safely and with the approval of an authorised person</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2.7</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Cable repair is performed efficiently without waste of materials or damage to apparatus and the surrounding environment or ser</w:t>
            </w:r>
            <w:r w:rsidRPr="00CB6D78">
              <w:t>vices and using sustainable energy practices</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3</w:t>
            </w:r>
          </w:p>
        </w:tc>
        <w:tc>
          <w:tcPr>
            <w:tcW w:w="2296"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Complete rail signalling cable repairs</w:t>
            </w: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3.1</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OHS work completion risk control measures and procedures are followed</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3.2</w:t>
            </w:r>
          </w:p>
        </w:tc>
        <w:tc>
          <w:tcPr>
            <w:tcW w:w="48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Work area is cleaned and made safe in accordance with established procedures</w:t>
            </w:r>
          </w:p>
        </w:tc>
      </w:tr>
      <w:tr w:rsidTr="00BD4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t>3.3</w:t>
            </w:r>
          </w:p>
        </w:tc>
        <w:tc>
          <w:tcPr>
            <w:tcW w:w="48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Cable repair work is documented including test results and an appropriate person or persons notified in accordance with established procedures, and relevant reports produced</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9" w:name="O_585332"/>
      <w:bookmarkEnd w:id="9"/>
      <w:r w:rsidRPr="00CB6D78">
        <w:t>Required Skills and Knowledge</w:t>
      </w:r>
    </w:p>
    <w:tbl>
      <w:tblPr>
        <w:tblW w:w="0" w:type="auto"/>
        <w:tblLayout w:type="fixed"/>
        <w:tblCellMar>
          <w:left w:w="62" w:type="dxa"/>
          <w:right w:w="62" w:type="dxa"/>
        </w:tblCellMar>
        <w:tblLook w:val="0000"/>
      </w:tblPr>
      <w:tblGrid>
        <w:gridCol w:w="8460"/>
      </w:tblGrid>
      <w:tr w:rsidTr="00BD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REQUIRED SKILLS AND KNOWLEDGE</w:t>
            </w:r>
          </w:p>
        </w:tc>
      </w:tr>
      <w:tr w:rsidTr="00BD48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8)</w:t>
            </w:r>
            <w:r w:rsidRPr="00CB6D78">
              <w:t xml:space="preserve">  This describes the essential skills and knowledge and their level, required for this unit.</w:t>
            </w:r>
          </w:p>
          <w:p w:rsidR="00000000" w:rsidRPr="00CB6D78" w:rsidP="00CB6D78">
            <w:pPr>
              <w:pStyle w:val="BodyText"/>
            </w:pPr>
            <w:r w:rsidRPr="00CB6D78">
              <w:t>Evidence must show that knowledge has been acquired of safe working practices and performing rail signalling cable repairs.</w:t>
            </w:r>
          </w:p>
          <w:p w:rsidR="00000000" w:rsidRPr="00CB6D78" w:rsidP="00CB6D78">
            <w:pPr>
              <w:pStyle w:val="BodyText"/>
            </w:pPr>
            <w:r w:rsidRPr="00CB6D78">
              <w:t>All knowledge and skills detailed in th</w:t>
            </w:r>
            <w:r w:rsidRPr="00CB6D78">
              <w:t>is unit should be contextualised to current industry practices and technologies.</w:t>
            </w:r>
          </w:p>
          <w:p w:rsidR="00000000" w:rsidRPr="00CB6D78" w:rsidP="00CB6D78">
            <w:pPr>
              <w:pStyle w:val="BodyText"/>
            </w:pPr>
            <w:r w:rsidRPr="00CB6D78">
              <w:rPr>
                <w:rStyle w:val="SpecialBold"/>
              </w:rPr>
              <w:t>KS01-EN121A                       Rail signalling power and control cables repair</w:t>
            </w:r>
          </w:p>
          <w:p w:rsidR="00000000" w:rsidRPr="00CB6D78" w:rsidP="00CB6D78">
            <w:pPr>
              <w:pStyle w:val="BodyText"/>
            </w:pPr>
            <w:r w:rsidRPr="00CB6D78">
              <w:t>Evidence shall show an understanding of repairing rail signalling cables to an extent indicat</w:t>
            </w:r>
            <w:r w:rsidRPr="00CB6D78">
              <w:t>ed by the following aspects:</w:t>
            </w:r>
          </w:p>
          <w:p w:rsidR="00000000" w:rsidRPr="00CB6D78" w:rsidP="00CB6D78">
            <w:pPr>
              <w:pStyle w:val="BodyText"/>
            </w:pPr>
            <w:r w:rsidRPr="00CB6D78">
              <w:t>Types of cable used for rail signalling encompassing:</w:t>
            </w:r>
          </w:p>
          <w:p w:rsidR="00000000" w:rsidRPr="00CB6D78" w:rsidP="00CB6D78">
            <w:pPr>
              <w:pStyle w:val="BodyText"/>
            </w:pPr>
            <w:r w:rsidRPr="00CB6D78">
              <w:t>signalling power cables and multi core signalling control cables</w:t>
            </w:r>
          </w:p>
          <w:p w:rsidR="00000000" w:rsidRPr="00CB6D78" w:rsidP="00CB6D78">
            <w:pPr>
              <w:pStyle w:val="BodyText"/>
            </w:pPr>
            <w:r w:rsidRPr="00CB6D78">
              <w:t xml:space="preserve">Types of cable joining kits used to repair damaged signal cables encompassing: </w:t>
            </w:r>
          </w:p>
          <w:p w:rsidR="00000000" w:rsidRPr="00CB6D78" w:rsidP="00CB6D78">
            <w:pPr>
              <w:pStyle w:val="BodyText"/>
            </w:pPr>
            <w:r w:rsidRPr="00CB6D78">
              <w:t xml:space="preserve">heat shrink and water proof </w:t>
            </w:r>
            <w:r w:rsidRPr="00CB6D78">
              <w:t>jointing kits. (e.g. epoxy mould)</w:t>
            </w:r>
          </w:p>
          <w:p w:rsidR="00000000" w:rsidRPr="00CB6D78" w:rsidP="00CB6D78">
            <w:pPr>
              <w:pStyle w:val="BodyText"/>
            </w:pPr>
            <w:r w:rsidRPr="00CB6D78">
              <w:t xml:space="preserve">Procedures for identifying corresponding ends of broken cable cores encompassing: </w:t>
            </w:r>
          </w:p>
          <w:p w:rsidR="00000000" w:rsidRPr="00CB6D78" w:rsidP="00CB6D78">
            <w:pPr>
              <w:pStyle w:val="BodyText"/>
            </w:pPr>
            <w:r w:rsidRPr="00CB6D78">
              <w:t>cable isolation methods and testing deenergised cable cores</w:t>
            </w:r>
          </w:p>
          <w:p w:rsidR="00000000" w:rsidRPr="00CB6D78" w:rsidP="00CB6D78">
            <w:pPr>
              <w:pStyle w:val="BodyText"/>
            </w:pPr>
            <w:r w:rsidRPr="00CB6D78">
              <w:t>Methods of joining broken cable core conductors and reinstating insulation enco</w:t>
            </w:r>
            <w:r w:rsidRPr="00CB6D78">
              <w:t xml:space="preserve">mpassing: </w:t>
            </w:r>
          </w:p>
          <w:p w:rsidR="00000000" w:rsidRPr="00CB6D78" w:rsidP="00CB6D78">
            <w:pPr>
              <w:pStyle w:val="BodyText"/>
            </w:pPr>
            <w:r w:rsidRPr="00CB6D78">
              <w:t>use of hand tools to remove insulation and applying crimp lugs, selection of inline joiner lugs, and selection of appropriate jointing materials and kits</w:t>
            </w:r>
          </w:p>
          <w:p w:rsidR="00000000" w:rsidRPr="00CB6D78" w:rsidP="00CB6D78">
            <w:pPr>
              <w:pStyle w:val="BodyText"/>
            </w:pPr>
            <w:r w:rsidRPr="00CB6D78">
              <w:t>Conductor continuity and core insulation and earth testing procedures and acceptable result</w:t>
            </w:r>
            <w:r w:rsidRPr="00CB6D78">
              <w:t xml:space="preserve">s encompassing: </w:t>
            </w:r>
          </w:p>
          <w:p w:rsidR="00000000" w:rsidRPr="00CB6D78" w:rsidP="00CB6D78">
            <w:pPr>
              <w:pStyle w:val="BodyText"/>
            </w:pPr>
            <w:r w:rsidRPr="00CB6D78">
              <w:t>testing to confirm deenergised cores; continuity of repaired cores, earth resistance of repaired cores and insulation between repaired cores; industry standard acceptable cable test results; and recording of test results</w:t>
            </w:r>
          </w:p>
          <w:p w:rsidR="00000000" w:rsidRPr="00CB6D78" w:rsidP="00CB6D78">
            <w:pPr>
              <w:pStyle w:val="BodyText"/>
            </w:pPr>
            <w:r w:rsidRPr="00CB6D78">
              <w:t>Special terminatio</w:t>
            </w:r>
            <w:r w:rsidRPr="00CB6D78">
              <w:t xml:space="preserve">n tools and their use encompassing: </w:t>
            </w:r>
          </w:p>
          <w:p w:rsidR="00000000" w:rsidRPr="00CB6D78" w:rsidP="00CB6D78">
            <w:pPr>
              <w:pStyle w:val="BodyText"/>
            </w:pPr>
            <w:r w:rsidRPr="00CB6D78">
              <w:t>use of insulation removal tools inline crimping tools, conducting tool tests, checking calibration date and recording tests</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10" w:name="O_585331"/>
      <w:bookmarkEnd w:id="10"/>
      <w:r w:rsidRPr="00CB6D78">
        <w:t>Evidence Guide</w:t>
      </w:r>
    </w:p>
    <w:tbl>
      <w:tblPr>
        <w:tblW w:w="0" w:type="auto"/>
        <w:tblLayout w:type="fixed"/>
        <w:tblCellMar>
          <w:left w:w="62" w:type="dxa"/>
          <w:right w:w="62" w:type="dxa"/>
        </w:tblCellMar>
        <w:tblLook w:val="0000"/>
      </w:tblPr>
      <w:tblGrid>
        <w:gridCol w:w="8460"/>
      </w:tblGrid>
      <w:tr w:rsidTr="00BD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EVIDENCE GUIDE</w:t>
            </w:r>
          </w:p>
        </w:tc>
      </w:tr>
      <w:tr w:rsidTr="00BD48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9)</w:t>
            </w:r>
            <w:r w:rsidRPr="00CB6D78">
              <w:t xml:space="preserve">  The evidence guide provides advice on assessment and must be read in conjunction with the Performance Criteria, Required Skills and Knowledge, the Range Statement and the Assessment Guidelines for this Training Package.</w:t>
            </w:r>
          </w:p>
          <w:p w:rsidR="00000000" w:rsidRPr="00CB6D78" w:rsidP="00CB6D78">
            <w:pPr>
              <w:pStyle w:val="BodyText"/>
            </w:pPr>
            <w:r w:rsidRPr="00CB6D78">
              <w:t>The Evidence Guide forms an integr</w:t>
            </w:r>
            <w:r w:rsidRPr="00CB6D78">
              <w:t>al part of this unit. It must be used in conjunction with all parts of this unit and performed in accordance with the Assessment Guidelines of this Training Package.</w:t>
            </w:r>
          </w:p>
        </w:tc>
      </w:tr>
    </w:tbl>
    <w:p w:rsidR="00000000" w:rsidRPr="00CB6D78" w:rsidP="00CB6D78">
      <w:pPr>
        <w:pStyle w:val="BodyText"/>
      </w:pPr>
    </w:p>
    <w:tbl>
      <w:tblPr>
        <w:tblW w:w="0" w:type="auto"/>
        <w:tblLayout w:type="fixed"/>
        <w:tblCellMar>
          <w:left w:w="62" w:type="dxa"/>
          <w:right w:w="62" w:type="dxa"/>
        </w:tblCellMar>
        <w:tblLook w:val="0000"/>
      </w:tblPr>
      <w:tblGrid>
        <w:gridCol w:w="1890"/>
        <w:gridCol w:w="6570"/>
      </w:tblGrid>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9.1)</w:t>
            </w:r>
          </w:p>
        </w:tc>
      </w:tr>
      <w:tr w:rsidTr="00BD484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Longitudinal competency development appro</w:t>
            </w:r>
            <w:r w:rsidRPr="00CB6D78">
              <w:t>aches to assessment, such as Profiling, require data to be reliably gathered in a form that can be consistently interpreted over time. This approach is best utilised in Apprenticeship programs and reduces assessment intervention. It is the industry-preferr</w:t>
            </w:r>
            <w:r w:rsidRPr="00CB6D78">
              <w:t>ed model for apprenticeships. However, where summative (or final) assessment is used it is to include the application of the competency in the normal work environment or, at a minimum, the application of the competency in a realistically simulated work env</w:t>
            </w:r>
            <w:r w:rsidRPr="00CB6D78">
              <w:t>ironment. In some circumstances, assessment in part or full can occur outside the workplace. However, it must be in accordance with industry and regulatory policy.</w:t>
            </w:r>
          </w:p>
          <w:p w:rsidR="00000000" w:rsidRPr="00CB6D78" w:rsidP="00CB6D78">
            <w:pPr>
              <w:pStyle w:val="BodyText"/>
            </w:pPr>
            <w:r w:rsidRPr="00CB6D78">
              <w:t>Methods chosen for a particular assessment will be influenced by various factors. These incl</w:t>
            </w:r>
            <w:r w:rsidRPr="00CB6D78">
              <w:t>ude the extent of the assessment, the most effective locations for the assessment activities to take place, access to physical resources, additional safety measures that may be required and the critical nature of the competencies being assessed.</w:t>
            </w:r>
          </w:p>
          <w:p w:rsidR="00000000" w:rsidRPr="00CB6D78" w:rsidP="00CB6D78">
            <w:pPr>
              <w:pStyle w:val="BodyText"/>
            </w:pPr>
            <w:r w:rsidRPr="00CB6D78">
              <w:t>The critic</w:t>
            </w:r>
            <w:r w:rsidRPr="00CB6D78">
              <w:t>al safety issues inherent in working with electricity, electrical equipment, gas or any other hazardous substance/material present a challenge for those determining competence. Sources of evidence need to be ‘rich’ in nature to minimise error in judgment.</w:t>
            </w:r>
          </w:p>
          <w:p w:rsidR="00000000" w:rsidRPr="00CB6D78" w:rsidP="00CB6D78">
            <w:pPr>
              <w:pStyle w:val="BodyText"/>
            </w:pPr>
            <w:r w:rsidRPr="00CB6D78">
              <w:t>Activities associated with normal everyday work have a bearing on the decision as to how much and how detailed the data gathered will contribute to its ‘richness’. Some skills are more critical to safety and operational requirements while the same skills m</w:t>
            </w:r>
            <w:r w:rsidRPr="00CB6D78">
              <w:t>ay be more or less frequently practised. These points are raised for the assessors to consider when choosing an assessment method and developing assessment instruments. Sample assessment instruments are included for Assessors in the Assessment Guidelines o</w:t>
            </w:r>
            <w:r w:rsidRPr="00CB6D78">
              <w:t>f this Training Package.</w:t>
            </w:r>
          </w:p>
        </w:tc>
      </w:tr>
    </w:tbl>
    <w:p w:rsidR="00000000" w:rsidRPr="00CB6D78" w:rsidP="00CB6D78">
      <w:pPr>
        <w:pStyle w:val="BodyText"/>
      </w:pPr>
    </w:p>
    <w:tbl>
      <w:tblPr>
        <w:tblW w:w="0" w:type="auto"/>
        <w:tblLayout w:type="fixed"/>
        <w:tblCellMar>
          <w:left w:w="62" w:type="dxa"/>
          <w:right w:w="62" w:type="dxa"/>
        </w:tblCellMar>
        <w:tblLook w:val="0000"/>
      </w:tblPr>
      <w:tblGrid>
        <w:gridCol w:w="1890"/>
        <w:gridCol w:w="6570"/>
      </w:tblGrid>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9.2)</w:t>
            </w:r>
          </w:p>
        </w:tc>
      </w:tr>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Before the critical aspects of evidence are considered all prerequisites must be met.</w:t>
            </w:r>
          </w:p>
          <w:p w:rsidR="00000000" w:rsidRPr="00CB6D78" w:rsidP="00CB6D78">
            <w:pPr>
              <w:pStyle w:val="BodyText"/>
            </w:pPr>
            <w:r w:rsidRPr="00CB6D78">
              <w:t>Evidence for competence in this unit must be considered hol</w:t>
            </w:r>
            <w:r w:rsidRPr="00CB6D78">
              <w:t>istically.  Each element and associated performance criteria must be demonstrated on at least two occasions in accordance with the ‘Assessment Guidelines – UEE11’.  Evidence must  also comprise:</w:t>
            </w:r>
          </w:p>
          <w:p w:rsidR="00000000" w:rsidRPr="00CB6D78" w:rsidP="00CB6D78">
            <w:pPr>
              <w:pStyle w:val="ListBullet"/>
            </w:pPr>
            <w:r w:rsidRPr="00CB6D78">
              <w:t>A representative body of work performance demonstrated withi</w:t>
            </w:r>
            <w:r w:rsidRPr="00CB6D78">
              <w:t>n the timeframes typically expected of the discipline, work function and industrial environment. In particular this must  incorporate evidence that shows a candidate is able to:</w:t>
            </w:r>
          </w:p>
          <w:p w:rsidR="00000000" w:rsidRPr="00CB6D78" w:rsidP="00CB6D78">
            <w:pPr>
              <w:pStyle w:val="ListBullet2"/>
            </w:pPr>
            <w:r w:rsidRPr="00CB6D78">
              <w:t>Implement Occupational Health and Safety workplace procedures and practices including the use of risk control measures as specified in the performance criteria and range statement</w:t>
            </w:r>
          </w:p>
          <w:p w:rsidR="00000000" w:rsidRPr="00CB6D78" w:rsidP="00CB6D78">
            <w:pPr>
              <w:pStyle w:val="ListBullet2"/>
            </w:pPr>
            <w:r w:rsidRPr="00CB6D78">
              <w:t>Apply sustainable energy principles and practices as specified in the perfor</w:t>
            </w:r>
            <w:r w:rsidRPr="00CB6D78">
              <w:t>mance criteria and range statement</w:t>
            </w:r>
          </w:p>
          <w:p w:rsidR="00000000" w:rsidRPr="00CB6D78" w:rsidP="00CB6D78">
            <w:pPr>
              <w:pStyle w:val="ListBullet2"/>
            </w:pPr>
            <w:r w:rsidRPr="00CB6D78">
              <w:t>Demonstrate an understanding of the essential knowledge and associated skills as described in this unit.  It may be required by some jurisdictions that RTOs provide a percentile graded result for the purpose of regulatory</w:t>
            </w:r>
            <w:r w:rsidRPr="00CB6D78">
              <w:t xml:space="preserve"> or licensing requirements.</w:t>
            </w:r>
          </w:p>
          <w:p w:rsidR="00000000" w:rsidRPr="00CB6D78" w:rsidP="00CB6D78">
            <w:pPr>
              <w:pStyle w:val="ListBullet2"/>
            </w:pPr>
            <w:r w:rsidRPr="00CB6D78">
              <w:t>Demonstrate an appropriate level of skills enabling employment</w:t>
            </w:r>
          </w:p>
          <w:p w:rsidR="00000000" w:rsidRPr="00CB6D78" w:rsidP="00CB6D78">
            <w:pPr>
              <w:pStyle w:val="ListBullet2"/>
            </w:pPr>
            <w:r w:rsidRPr="00CB6D78">
              <w:t>Conduct work observing the relevant Anti Discrimination legislation, regulations, polices and workplace procedures</w:t>
            </w:r>
          </w:p>
          <w:p w:rsidR="00000000" w:rsidRPr="00CB6D78" w:rsidP="00CB6D78">
            <w:pPr>
              <w:pStyle w:val="ListBullet"/>
            </w:pPr>
            <w:r w:rsidRPr="00CB6D78">
              <w:t>Demonstrated consistent performance across a repr</w:t>
            </w:r>
            <w:r w:rsidRPr="00CB6D78">
              <w:t>esentative range of contexts from the prescribed items below:</w:t>
            </w:r>
          </w:p>
          <w:p w:rsidR="00000000" w:rsidRPr="00CB6D78" w:rsidP="00CB6D78">
            <w:pPr>
              <w:pStyle w:val="ListBullet2"/>
            </w:pPr>
            <w:r w:rsidRPr="00CB6D78">
              <w:t>Perform signalling cable repairs for the following:</w:t>
            </w:r>
          </w:p>
          <w:p w:rsidR="00000000" w:rsidRPr="00CB6D78" w:rsidP="00CB6D78">
            <w:pPr>
              <w:pStyle w:val="ListBullet3"/>
            </w:pPr>
            <w:r w:rsidRPr="00CB6D78">
              <w:t>Repairing at least one signalling power cable relevant to a particular rail network.</w:t>
            </w:r>
          </w:p>
          <w:p w:rsidR="00000000" w:rsidRPr="00CB6D78" w:rsidP="00CB6D78">
            <w:pPr>
              <w:pStyle w:val="ListBullet3"/>
            </w:pPr>
            <w:r w:rsidRPr="00CB6D78">
              <w:t>Repairing at least one signalling multi-core control cable, 6 cores or greater, relevant to a particular rail network</w:t>
            </w:r>
          </w:p>
          <w:p w:rsidR="00000000" w:rsidRPr="00CB6D78" w:rsidP="00CB6D78">
            <w:pPr>
              <w:pStyle w:val="ListBullet3"/>
            </w:pPr>
            <w:r w:rsidRPr="00CB6D78">
              <w:t>Repairing signalling cables using at least one approved jointing kit, and</w:t>
            </w:r>
          </w:p>
          <w:p w:rsidR="00000000" w:rsidRPr="00CB6D78" w:rsidP="00CB6D78">
            <w:pPr>
              <w:pStyle w:val="ListBullet2"/>
            </w:pPr>
            <w:r w:rsidRPr="00CB6D78">
              <w:t>System tests as described in 8) and including:</w:t>
            </w:r>
          </w:p>
          <w:p w:rsidR="00000000" w:rsidRPr="00CB6D78" w:rsidP="00CB6D78">
            <w:pPr>
              <w:pStyle w:val="ListAlpha2"/>
            </w:pPr>
            <w:r w:rsidRPr="00CB6D78">
              <w:t>Selecting approved cable joining kit, cable repair tools and testing devices</w:t>
            </w:r>
          </w:p>
          <w:p w:rsidR="00000000" w:rsidRPr="00CB6D78" w:rsidP="00CB6D78">
            <w:pPr>
              <w:pStyle w:val="ListAlpha2"/>
            </w:pPr>
            <w:r w:rsidRPr="00CB6D78">
              <w:t>Interpreting cable diagrams</w:t>
            </w:r>
          </w:p>
          <w:p w:rsidR="00000000" w:rsidRPr="00CB6D78" w:rsidP="00CB6D78">
            <w:pPr>
              <w:pStyle w:val="ListAlpha2"/>
            </w:pPr>
            <w:r w:rsidRPr="00CB6D78">
              <w:t>Identifying corresponding ends of broken cable cores accurately</w:t>
            </w:r>
          </w:p>
          <w:p w:rsidR="00000000" w:rsidRPr="00CB6D78" w:rsidP="00CB6D78">
            <w:pPr>
              <w:pStyle w:val="ListAlpha2"/>
            </w:pPr>
            <w:r w:rsidRPr="00CB6D78">
              <w:t>Repairing damaged cable effectively</w:t>
            </w:r>
          </w:p>
          <w:p w:rsidR="00000000" w:rsidRPr="00CB6D78" w:rsidP="00CB6D78">
            <w:pPr>
              <w:pStyle w:val="ListAlpha2"/>
            </w:pPr>
            <w:r w:rsidRPr="00CB6D78">
              <w:t>Using testing devices and tools correctly and safely</w:t>
            </w:r>
          </w:p>
          <w:p w:rsidR="00000000" w:rsidRPr="00CB6D78" w:rsidP="00CB6D78">
            <w:pPr>
              <w:pStyle w:val="ListAlpha2"/>
            </w:pPr>
            <w:r w:rsidRPr="00CB6D78">
              <w:t>Locating and rectifying causes of unacceptable cable test results</w:t>
            </w:r>
          </w:p>
          <w:p w:rsidR="00000000" w:rsidRPr="00CB6D78" w:rsidP="00CB6D78">
            <w:pPr>
              <w:pStyle w:val="ListAlpha2"/>
            </w:pPr>
            <w:r w:rsidRPr="00CB6D78">
              <w:t>Completing relevant technical reports, records and documentation, and</w:t>
            </w:r>
          </w:p>
          <w:p w:rsidR="00000000" w:rsidRPr="00CB6D78" w:rsidP="00CB6D78">
            <w:pPr>
              <w:pStyle w:val="ListAlpha2"/>
            </w:pPr>
            <w:r w:rsidRPr="00CB6D78">
              <w:t>Dealing with unplanned events by drawing on essential knowledge and</w:t>
            </w:r>
            <w:r w:rsidRPr="00CB6D78">
              <w:t xml:space="preserve"> skills to provide appropriate solutions incorporated in a holistic assessment with the above listed items</w:t>
            </w:r>
          </w:p>
          <w:p w:rsidR="00000000" w:rsidRPr="00CB6D78" w:rsidP="00CB6D78">
            <w:pPr>
              <w:pStyle w:val="BodyText"/>
            </w:pPr>
            <w:r w:rsidRPr="00CB6D78">
              <w:t>Note:</w:t>
            </w:r>
          </w:p>
          <w:p w:rsidR="00000000" w:rsidRPr="00CB6D78" w:rsidP="00CB6D78">
            <w:pPr>
              <w:pStyle w:val="BodyText"/>
            </w:pPr>
            <w:r w:rsidRPr="00CB6D78">
              <w:t>Successful completion of relevant vendor training may be used to contribute to evidence on which competency is deemed. In these cases the align</w:t>
            </w:r>
            <w:r w:rsidRPr="00CB6D78">
              <w:t>ment of outcomes of vendor training with performance criteria and critical aspects of evidence shall be clearly identified</w:t>
            </w:r>
          </w:p>
        </w:tc>
      </w:tr>
    </w:tbl>
    <w:p w:rsidR="00000000" w:rsidRPr="00CB6D78" w:rsidP="00CB6D78">
      <w:pPr>
        <w:pStyle w:val="BodyText"/>
      </w:pPr>
    </w:p>
    <w:tbl>
      <w:tblPr>
        <w:tblW w:w="0" w:type="auto"/>
        <w:tblLayout w:type="fixed"/>
        <w:tblCellMar>
          <w:left w:w="62" w:type="dxa"/>
          <w:right w:w="62" w:type="dxa"/>
        </w:tblCellMar>
        <w:tblLook w:val="0000"/>
      </w:tblPr>
      <w:tblGrid>
        <w:gridCol w:w="1890"/>
        <w:gridCol w:w="6570"/>
      </w:tblGrid>
      <w:tr w:rsidTr="00BD4845">
        <w:tblPrEx>
          <w:tblW w:w="0" w:type="auto"/>
          <w:tblLayout w:type="fixed"/>
          <w:tblCellMar>
            <w:left w:w="62" w:type="dxa"/>
            <w:right w:w="62" w:type="dxa"/>
          </w:tblCellMar>
          <w:tblLook w:val="0000"/>
        </w:tblPrEx>
        <w:trPr>
          <w:trHeight w:val="391"/>
        </w:trPr>
        <w:tc>
          <w:tcPr>
            <w:tcW w:w="189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9.3)</w:t>
            </w:r>
          </w:p>
        </w:tc>
      </w:tr>
      <w:tr w:rsidTr="00BD48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This unit should be assessed as it relates to normal work practice using procedures, information and resources typical of a workplace. This should include:</w:t>
            </w:r>
          </w:p>
          <w:p w:rsidR="00000000" w:rsidRPr="00CB6D78" w:rsidP="00CB6D78">
            <w:pPr>
              <w:pStyle w:val="ListBullet"/>
            </w:pPr>
            <w:r w:rsidRPr="00CB6D78">
              <w:t>OHS policy and work procedures and instructions.</w:t>
            </w:r>
          </w:p>
          <w:p w:rsidR="00000000" w:rsidRPr="00CB6D78" w:rsidP="00CB6D78">
            <w:pPr>
              <w:pStyle w:val="ListBullet"/>
            </w:pPr>
            <w:r w:rsidRPr="00CB6D78">
              <w:t>Suitable work environment, facilities, equipment a</w:t>
            </w:r>
            <w:r w:rsidRPr="00CB6D78">
              <w:t>nd materials to undertake actual work as prescribed by this unit.</w:t>
            </w:r>
          </w:p>
          <w:p w:rsidR="00000000" w:rsidRPr="00CB6D78" w:rsidP="00CB6D78">
            <w:pPr>
              <w:pStyle w:val="BodyText"/>
            </w:pPr>
            <w:r w:rsidRPr="00CB6D78">
              <w:t>These should be part of the formal learning/assessment environment.</w:t>
            </w:r>
          </w:p>
          <w:p w:rsidR="00000000" w:rsidRPr="00CB6D78" w:rsidP="00CB6D78">
            <w:pPr>
              <w:pStyle w:val="BodyText"/>
            </w:pPr>
            <w:r w:rsidRPr="00CB6D78">
              <w:t>Note:</w:t>
            </w:r>
          </w:p>
          <w:p w:rsidR="00000000" w:rsidRPr="00CB6D78" w:rsidP="00CB6D78">
            <w:pPr>
              <w:pStyle w:val="BodyText"/>
            </w:pPr>
            <w:r w:rsidRPr="00CB6D78">
              <w:t>Where simulation is considered a suitable strategy for assessment, conditions must be authentic and as far as possib</w:t>
            </w:r>
            <w:r w:rsidRPr="00CB6D78">
              <w:t>le reproduce and replicate the workplace and be consistent with the approved industry simulation policy.</w:t>
            </w:r>
          </w:p>
          <w:p w:rsidR="00000000" w:rsidRPr="00CB6D78" w:rsidP="00CB6D78">
            <w:pPr>
              <w:pStyle w:val="BodyText"/>
            </w:pPr>
            <w:r w:rsidRPr="00CB6D78">
              <w:t>The resources used for assessment should reflect current industry practices in relation to performing signalling cable repair and system tests.</w:t>
            </w:r>
          </w:p>
        </w:tc>
      </w:tr>
    </w:tbl>
    <w:p w:rsidR="00000000" w:rsidRPr="00CB6D78" w:rsidP="00CB6D78">
      <w:pPr>
        <w:pStyle w:val="BodyText"/>
      </w:pPr>
    </w:p>
    <w:tbl>
      <w:tblPr>
        <w:tblW w:w="0" w:type="auto"/>
        <w:tblLayout w:type="fixed"/>
        <w:tblCellMar>
          <w:left w:w="62" w:type="dxa"/>
          <w:right w:w="62" w:type="dxa"/>
        </w:tblCellMar>
        <w:tblLook w:val="0000"/>
      </w:tblPr>
      <w:tblGrid>
        <w:gridCol w:w="1890"/>
        <w:gridCol w:w="6570"/>
      </w:tblGrid>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9.4)</w:t>
            </w:r>
          </w:p>
        </w:tc>
      </w:tr>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This unit shall be assessed by methods given in Volume 1, Part 3 ‘Assessment Guidelines’.</w:t>
            </w:r>
          </w:p>
          <w:p w:rsidR="00000000" w:rsidRPr="00CB6D78" w:rsidP="00CB6D78">
            <w:pPr>
              <w:pStyle w:val="BodyText"/>
            </w:pPr>
            <w:r w:rsidRPr="00CB6D78">
              <w:t xml:space="preserve">Note: </w:t>
            </w:r>
          </w:p>
          <w:p w:rsidR="00000000" w:rsidRPr="00CB6D78" w:rsidP="00CB6D78">
            <w:pPr>
              <w:pStyle w:val="BodyText"/>
            </w:pPr>
            <w:r w:rsidRPr="00CB6D78">
              <w:t>Competent performance with inherent safe working practices is expected in the Industry to which this unit applies. This requires as</w:t>
            </w:r>
            <w:r w:rsidRPr="00CB6D78">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CB6D78" w:rsidP="00CB6D78">
      <w:pPr>
        <w:pStyle w:val="BodyText"/>
      </w:pPr>
    </w:p>
    <w:tbl>
      <w:tblPr>
        <w:tblW w:w="0" w:type="auto"/>
        <w:tblLayout w:type="fixed"/>
        <w:tblCellMar>
          <w:left w:w="62" w:type="dxa"/>
          <w:right w:w="62" w:type="dxa"/>
        </w:tblCellMar>
        <w:tblLook w:val="0000"/>
      </w:tblPr>
      <w:tblGrid>
        <w:gridCol w:w="1890"/>
        <w:gridCol w:w="6570"/>
      </w:tblGrid>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Concurrent</w:t>
            </w:r>
            <w:r w:rsidRPr="00CB6D78">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9.5)</w:t>
            </w:r>
          </w:p>
        </w:tc>
      </w:tr>
      <w:tr w:rsidTr="00BD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For optimisation of training and assessment effort, competency development in this unit may be arranged in combination with other competencies required by a given enterprise installation, maintenance and</w:t>
            </w:r>
            <w:r w:rsidRPr="00CB6D78">
              <w:t xml:space="preserve"> repair functions. </w:t>
            </w:r>
          </w:p>
          <w:p w:rsidR="00000000" w:rsidRPr="00CB6D78" w:rsidP="00CB6D78">
            <w:pPr>
              <w:pStyle w:val="BodyText"/>
            </w:pPr>
            <w:r w:rsidRPr="00CB6D78">
              <w:t>Concurrent assessment may include:</w:t>
            </w:r>
          </w:p>
          <w:p w:rsidR="00000000" w:rsidRPr="00CB6D78" w:rsidP="00CB6D78">
            <w:pPr>
              <w:pStyle w:val="BodyText"/>
            </w:pPr>
            <w:r w:rsidRPr="00CB6D78">
              <w:t>UEENEEN118A Find and repair rail signalling</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11" w:name="O_585330"/>
      <w:bookmarkEnd w:id="11"/>
      <w:r w:rsidRPr="00CB6D78">
        <w:t>Range Statement</w:t>
      </w:r>
    </w:p>
    <w:tbl>
      <w:tblPr>
        <w:tblW w:w="0" w:type="auto"/>
        <w:tblLayout w:type="fixed"/>
        <w:tblCellMar>
          <w:left w:w="62" w:type="dxa"/>
          <w:right w:w="62" w:type="dxa"/>
        </w:tblCellMar>
        <w:tblLook w:val="0000"/>
      </w:tblPr>
      <w:tblGrid>
        <w:gridCol w:w="8460"/>
      </w:tblGrid>
      <w:tr w:rsidTr="00BD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RANGE STATEMENT</w:t>
            </w:r>
          </w:p>
        </w:tc>
      </w:tr>
      <w:tr w:rsidTr="00BD48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10)</w:t>
            </w:r>
            <w:r w:rsidRPr="00CB6D78">
              <w:t xml:space="preserve">  This relates to the unit as a whole providing the range of contexts and conditions to which the </w:t>
            </w:r>
            <w:r w:rsidRPr="00CB6D78">
              <w:t>performance criteria apply. It allows for different work environments and situations that will affect performance.</w:t>
            </w:r>
          </w:p>
          <w:p w:rsidR="00000000" w:rsidRPr="00CB6D78" w:rsidP="00CB6D78">
            <w:pPr>
              <w:pStyle w:val="BodyText"/>
            </w:pPr>
          </w:p>
          <w:p w:rsidR="00000000" w:rsidRPr="00CB6D78" w:rsidP="00CB6D78">
            <w:pPr>
              <w:pStyle w:val="BodyText"/>
            </w:pPr>
            <w:r w:rsidRPr="00CB6D78">
              <w:t>This unit must be demonstrated in relation to:</w:t>
            </w:r>
          </w:p>
          <w:p w:rsidR="00000000" w:rsidRPr="00CB6D78" w:rsidP="00CB6D78">
            <w:pPr>
              <w:pStyle w:val="ListBullet"/>
            </w:pPr>
            <w:r w:rsidRPr="00CB6D78">
              <w:t>the relevant State/Territory codes of practice and safe working requirements</w:t>
            </w:r>
            <w:r w:rsidRPr="00CB6D78">
              <w:tab/>
            </w:r>
          </w:p>
          <w:p w:rsidR="00000000" w:rsidRPr="00CB6D78" w:rsidP="00CB6D78">
            <w:pPr>
              <w:pStyle w:val="BodyText"/>
            </w:pPr>
            <w:r w:rsidRPr="00CB6D78">
              <w:t>Activities may include procedures for the isolation of signalling cable from supply and/or equipment, and may also include the use of plans and drawings, manufacturer’s / enterprise specifications and manuals.</w:t>
            </w:r>
          </w:p>
          <w:p w:rsidR="00000000" w:rsidRPr="00CB6D78" w:rsidP="00CB6D78">
            <w:pPr>
              <w:pStyle w:val="BodyText"/>
            </w:pPr>
            <w:r w:rsidRPr="00CB6D78">
              <w:t>Jointing activities may include: crimping, sol</w:t>
            </w:r>
            <w:r w:rsidRPr="00CB6D78">
              <w:t>dering, heat shrinking and epoxy jointing.</w:t>
            </w:r>
          </w:p>
          <w:p w:rsidR="00000000" w:rsidRPr="00CB6D78" w:rsidP="00CB6D78">
            <w:pPr>
              <w:pStyle w:val="BodyText"/>
            </w:pPr>
            <w:r w:rsidRPr="00CB6D78">
              <w:t>Testing activities may include; continuity tests, insulation resistance tests, determining fit for signalling purpose, compliance and functional testing and completing the necessary documentation.</w:t>
            </w:r>
          </w:p>
          <w:p w:rsidR="00000000" w:rsidRPr="00CB6D78" w:rsidP="00CB6D78">
            <w:pPr>
              <w:pStyle w:val="BodyText"/>
            </w:pPr>
            <w:r w:rsidRPr="00CB6D78">
              <w:t xml:space="preserve">Codes/practices </w:t>
            </w:r>
            <w:r w:rsidRPr="00CB6D78">
              <w:t>could include dial before you dig.</w:t>
            </w:r>
          </w:p>
          <w:p w:rsidR="00000000" w:rsidRPr="00CB6D78" w:rsidP="00CB6D78">
            <w:pPr>
              <w:pStyle w:val="BodyText"/>
            </w:pPr>
            <w:r w:rsidRPr="00CB6D78">
              <w:t>Plant could include; back hoe, Pot holing and generators</w:t>
            </w:r>
          </w:p>
          <w:p w:rsidR="00000000" w:rsidRPr="00CB6D78" w:rsidP="00CB6D78">
            <w:pPr>
              <w:pStyle w:val="BodyText"/>
            </w:pPr>
            <w:r w:rsidRPr="00CB6D78">
              <w:t>Test equipment may include; insulation resistance and continuity tester, multimeter, bell/buzz tester, voltage detector and or daisy chain.</w:t>
            </w:r>
          </w:p>
          <w:p w:rsidR="00000000" w:rsidRPr="00CB6D78" w:rsidP="00CB6D78">
            <w:pPr>
              <w:pStyle w:val="BodyText"/>
            </w:pPr>
            <w:r w:rsidRPr="00CB6D78">
              <w:t>Technical report may inc</w:t>
            </w:r>
            <w:r w:rsidRPr="00CB6D78">
              <w:t xml:space="preserve">lude: Safety incident report, cable survey report and defect report </w:t>
            </w:r>
          </w:p>
          <w:p w:rsidR="00000000" w:rsidRPr="00CB6D78" w:rsidP="00CB6D78">
            <w:pPr>
              <w:pStyle w:val="BodyText"/>
            </w:pPr>
            <w:r w:rsidRPr="00CB6D78">
              <w:t>Specialised equipment, tools and devices may include cable locator and cable fault tester.</w:t>
            </w:r>
          </w:p>
          <w:p w:rsidR="00000000" w:rsidRPr="00CB6D78" w:rsidP="00CB6D78">
            <w:pPr>
              <w:pStyle w:val="BodyText"/>
            </w:pPr>
            <w:r w:rsidRPr="00CB6D78">
              <w:t>Equipment relevant to a particular rail network.</w:t>
            </w:r>
          </w:p>
          <w:p w:rsidR="00000000" w:rsidRPr="00CB6D78" w:rsidP="00CB6D78">
            <w:pPr>
              <w:pStyle w:val="BodyText"/>
            </w:pPr>
            <w:r w:rsidRPr="00CB6D78">
              <w:t>Associated hardware could include Trunking, cab</w:t>
            </w:r>
            <w:r w:rsidRPr="00CB6D78">
              <w:t>le pits, conduits and terminals.</w:t>
            </w:r>
          </w:p>
          <w:p w:rsidR="00000000" w:rsidRPr="00CB6D78" w:rsidP="00CB6D78">
            <w:pPr>
              <w:pStyle w:val="BodyText"/>
            </w:pPr>
            <w:r w:rsidRPr="00CB6D78">
              <w:t>Cable types may include: copper, single core, double core and multi-core signalling cables.</w:t>
            </w:r>
          </w:p>
          <w:p w:rsidR="00000000" w:rsidRPr="00CB6D78" w:rsidP="00CB6D78">
            <w:pPr>
              <w:pStyle w:val="BodyText"/>
            </w:pPr>
            <w:r w:rsidRPr="00CB6D78">
              <w:t>Generic terms used throughout this Vocational Standard shall be regarded as part of the Range Statement in which competency is demo</w:t>
            </w:r>
            <w:r w:rsidRPr="00CB6D78">
              <w:t>nstrated. The definition of these and other terms that apply are given in Volume 2, Part 2.1.</w:t>
            </w:r>
          </w:p>
        </w:tc>
      </w:tr>
    </w:tbl>
    <w:p w:rsidR="00000000" w:rsidRPr="00CB6D78" w:rsidP="00CB6D78">
      <w:pPr>
        <w:pStyle w:val="BodyText"/>
      </w:pPr>
    </w:p>
    <w:p w:rsidR="00000000" w:rsidRPr="00CB6D78" w:rsidP="00CB6D78">
      <w:pPr>
        <w:pStyle w:val="AllowPageBreak"/>
      </w:pPr>
    </w:p>
    <w:p w:rsidR="00000000" w:rsidRPr="00CB6D78" w:rsidP="00CB6D78">
      <w:pPr>
        <w:pStyle w:val="Heading1"/>
      </w:pPr>
      <w:bookmarkStart w:id="12" w:name="O_585329"/>
      <w:bookmarkEnd w:id="12"/>
      <w:r w:rsidRPr="00CB6D78">
        <w:t>Unit Sector(s)</w:t>
      </w:r>
    </w:p>
    <w:p w:rsidR="00000000" w:rsidRPr="00CB6D78" w:rsidP="00CB6D78">
      <w:pPr>
        <w:pStyle w:val="BodyText"/>
      </w:pPr>
      <w:r w:rsidRPr="00CB6D78">
        <w:t>Not applicable.</w:t>
      </w:r>
    </w:p>
    <w:p w:rsidR="00000000" w:rsidRPr="00CB6D78" w:rsidP="00CB6D78">
      <w:pPr>
        <w:pStyle w:val="AllowPageBreak"/>
      </w:pPr>
    </w:p>
    <w:p w:rsidR="00000000" w:rsidRPr="00CB6D78" w:rsidP="00CB6D78">
      <w:pPr>
        <w:pStyle w:val="Heading1"/>
      </w:pPr>
      <w:bookmarkStart w:id="13" w:name="O_585328"/>
      <w:bookmarkEnd w:id="13"/>
      <w:r w:rsidRPr="00CB6D78">
        <w:t>Competency Field</w:t>
      </w:r>
    </w:p>
    <w:tbl>
      <w:tblPr>
        <w:tblW w:w="0" w:type="auto"/>
        <w:tblLayout w:type="fixed"/>
        <w:tblCellMar>
          <w:left w:w="62" w:type="dxa"/>
          <w:right w:w="62" w:type="dxa"/>
        </w:tblCellMar>
        <w:tblLook w:val="0000"/>
      </w:tblPr>
      <w:tblGrid>
        <w:gridCol w:w="2700"/>
        <w:gridCol w:w="5760"/>
      </w:tblGrid>
      <w:tr w:rsidTr="00BD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6D78">
            <w:pPr>
              <w:pStyle w:val="BodyText"/>
              <w:rPr>
                <w:lang w:val="en-NZ"/>
              </w:rPr>
            </w:pPr>
            <w:r w:rsidRPr="00CB6D78">
              <w:rPr>
                <w:rStyle w:val="SpecialBold"/>
              </w:rPr>
              <w:t xml:space="preserve">11) </w:t>
            </w:r>
          </w:p>
        </w:tc>
      </w:tr>
      <w:tr w:rsidTr="00BD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D78" w:rsidP="00CB6D78">
            <w:pPr>
              <w:pStyle w:val="BodyText"/>
            </w:pPr>
            <w:r w:rsidRPr="00CB6D78">
              <w:t>Rail Signalling</w:t>
            </w:r>
          </w:p>
        </w:tc>
      </w:tr>
    </w:tbl>
    <w:p w:rsidR="00000000" w:rsidRPr="00CB6D78" w:rsidP="00CB6D78">
      <w:pPr>
        <w:pStyle w:val="BodyText"/>
      </w:pPr>
    </w:p>
    <w:p w:rsidR="00000000" w:rsidRPr="00CB6D78" w:rsidP="00CB6D78"/>
    <w:sectPr w:rsidSect="00CB6D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rsidRPr="00BD4845" w:rsidP="00BD4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45" w:rsidP="00CB6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4845" w:rsidP="00CB6D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D4845" w:rsidP="00CB6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rsidRPr="00BD4845" w:rsidP="00BD48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45" w:rsidRPr="002D2AF8" w:rsidP="00CB6D78">
    <w:pPr>
      <w:pStyle w:val="Header"/>
      <w:framePr w:wrap="around"/>
    </w:pPr>
    <w:r>
      <w:fldChar w:fldCharType="begin"/>
    </w:r>
    <w:r>
      <w:instrText xml:space="preserve"> TITLE   \* MERGEFORMAT </w:instrText>
    </w:r>
    <w:r>
      <w:fldChar w:fldCharType="separate"/>
    </w:r>
    <w:r>
      <w:t>UEENEEN121A Repair rail signalling power and control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D4845" w:rsidP="00CB6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8B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E8C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2D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998063F"/>
    <w:multiLevelType w:val="multilevel"/>
    <w:tmpl w:val="9AF662B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5"/>
  </w:num>
  <w:num w:numId="10">
    <w:abstractNumId w:val="11"/>
  </w:num>
  <w:num w:numId="11">
    <w:abstractNumId w:val="16"/>
  </w:num>
  <w:num w:numId="12">
    <w:abstractNumId w:val="14"/>
  </w:num>
  <w:num w:numId="13">
    <w:abstractNumId w:val="9"/>
  </w:num>
  <w:num w:numId="14">
    <w:abstractNumId w:val="13"/>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D78"/>
    <w:pPr>
      <w:spacing w:before="360" w:after="60"/>
      <w:outlineLvl w:val="0"/>
    </w:pPr>
    <w:rPr>
      <w:sz w:val="32"/>
    </w:rPr>
  </w:style>
  <w:style w:type="paragraph" w:styleId="Heading2">
    <w:name w:val="heading 2"/>
    <w:basedOn w:val="HeadingBase"/>
    <w:next w:val="BodyText"/>
    <w:link w:val="Heading2Char"/>
    <w:qFormat/>
    <w:rsid w:val="00CB6D78"/>
    <w:pPr>
      <w:keepLines/>
      <w:spacing w:before="240" w:after="120"/>
      <w:outlineLvl w:val="1"/>
    </w:pPr>
    <w:rPr>
      <w:sz w:val="28"/>
      <w:szCs w:val="40"/>
    </w:rPr>
  </w:style>
  <w:style w:type="paragraph" w:styleId="Heading3">
    <w:name w:val="heading 3"/>
    <w:basedOn w:val="HeadingBase"/>
    <w:next w:val="BodyText"/>
    <w:link w:val="Heading3Char"/>
    <w:qFormat/>
    <w:rsid w:val="00CB6D78"/>
    <w:pPr>
      <w:spacing w:before="180" w:after="120"/>
      <w:outlineLvl w:val="2"/>
    </w:pPr>
    <w:rPr>
      <w:spacing w:val="-10"/>
      <w:kern w:val="32"/>
    </w:rPr>
  </w:style>
  <w:style w:type="paragraph" w:styleId="Heading4">
    <w:name w:val="heading 4"/>
    <w:basedOn w:val="HeadingBase"/>
    <w:next w:val="BodyText"/>
    <w:link w:val="Heading4Char"/>
    <w:qFormat/>
    <w:rsid w:val="00CB6D78"/>
    <w:pPr>
      <w:spacing w:before="160" w:after="120"/>
      <w:outlineLvl w:val="3"/>
    </w:pPr>
    <w:rPr>
      <w:sz w:val="22"/>
    </w:rPr>
  </w:style>
  <w:style w:type="paragraph" w:styleId="Heading5">
    <w:name w:val="heading 5"/>
    <w:basedOn w:val="HeadingBase"/>
    <w:next w:val="Normal"/>
    <w:link w:val="Heading5Char"/>
    <w:qFormat/>
    <w:rsid w:val="00CB6D78"/>
    <w:pPr>
      <w:spacing w:before="80"/>
      <w:outlineLvl w:val="4"/>
    </w:pPr>
    <w:rPr>
      <w:color w:val="918585"/>
      <w:sz w:val="20"/>
    </w:rPr>
  </w:style>
  <w:style w:type="paragraph" w:styleId="Heading6">
    <w:name w:val="heading 6"/>
    <w:basedOn w:val="HeadingBase"/>
    <w:next w:val="Normal"/>
    <w:link w:val="Heading6Char"/>
    <w:qFormat/>
    <w:rsid w:val="00CB6D78"/>
    <w:pPr>
      <w:spacing w:before="60"/>
      <w:outlineLvl w:val="5"/>
    </w:pPr>
    <w:rPr>
      <w:color w:val="918585"/>
      <w:sz w:val="20"/>
    </w:rPr>
  </w:style>
  <w:style w:type="paragraph" w:styleId="Heading7">
    <w:name w:val="heading 7"/>
    <w:basedOn w:val="Normal"/>
    <w:next w:val="Normal"/>
    <w:link w:val="Heading7Char"/>
    <w:qFormat/>
    <w:rsid w:val="00CB6D78"/>
    <w:pPr>
      <w:ind w:left="720"/>
      <w:outlineLvl w:val="6"/>
    </w:pPr>
    <w:rPr>
      <w:i/>
    </w:rPr>
  </w:style>
  <w:style w:type="paragraph" w:styleId="Heading8">
    <w:name w:val="heading 8"/>
    <w:basedOn w:val="Normal"/>
    <w:next w:val="Normal"/>
    <w:link w:val="Heading8Char"/>
    <w:qFormat/>
    <w:rsid w:val="00CB6D78"/>
    <w:pPr>
      <w:ind w:left="720"/>
      <w:outlineLvl w:val="7"/>
    </w:pPr>
    <w:rPr>
      <w:i/>
    </w:rPr>
  </w:style>
  <w:style w:type="paragraph" w:styleId="Heading9">
    <w:name w:val="heading 9"/>
    <w:basedOn w:val="Normal"/>
    <w:next w:val="Normal"/>
    <w:link w:val="Heading9Char"/>
    <w:qFormat/>
    <w:rsid w:val="00CB6D78"/>
    <w:pPr>
      <w:ind w:left="720"/>
      <w:outlineLvl w:val="8"/>
    </w:pPr>
    <w:rPr>
      <w:i/>
    </w:rPr>
  </w:style>
  <w:style w:type="character" w:default="1" w:styleId="DefaultParagraphFont">
    <w:name w:val="Default Paragraph Font"/>
    <w:uiPriority w:val="1"/>
    <w:unhideWhenUsed/>
    <w:rsid w:val="00CB6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D78"/>
  </w:style>
  <w:style w:type="character" w:customStyle="1" w:styleId="Heading1Char">
    <w:name w:val="Heading 1 Char"/>
    <w:basedOn w:val="DefaultParagraphFont"/>
    <w:link w:val="Heading1"/>
    <w:rsid w:val="00CB6D78"/>
    <w:rPr>
      <w:rFonts w:ascii="Times New Roman" w:eastAsia="Times New Roman" w:hAnsi="Times New Roman" w:cs="Times New Roman"/>
      <w:b/>
      <w:sz w:val="32"/>
      <w:szCs w:val="20"/>
      <w:lang w:eastAsia="en-US"/>
    </w:rPr>
  </w:style>
  <w:style w:type="paragraph" w:styleId="BodyText">
    <w:name w:val="Body Text"/>
    <w:basedOn w:val="Normal"/>
    <w:link w:val="BodyTextChar"/>
    <w:rsid w:val="00CB6D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D78"/>
    <w:rPr>
      <w:rFonts w:ascii="Times New Roman" w:eastAsia="Times New Roman" w:hAnsi="Times New Roman" w:cs="Times New Roman"/>
      <w:sz w:val="24"/>
      <w:lang w:eastAsia="en-US"/>
    </w:rPr>
  </w:style>
  <w:style w:type="paragraph" w:styleId="ListBullet">
    <w:name w:val="List Bullet"/>
    <w:basedOn w:val="List"/>
    <w:rsid w:val="00CB6D78"/>
    <w:pPr>
      <w:numPr>
        <w:numId w:val="14"/>
      </w:numPr>
      <w:tabs>
        <w:tab w:val="clear" w:pos="340"/>
      </w:tabs>
      <w:spacing w:before="40" w:after="40"/>
    </w:pPr>
  </w:style>
  <w:style w:type="character" w:customStyle="1" w:styleId="SpecialBold">
    <w:name w:val="Special Bold"/>
    <w:basedOn w:val="DefaultParagraphFont"/>
    <w:rsid w:val="00CB6D78"/>
    <w:rPr>
      <w:b/>
      <w:spacing w:val="0"/>
    </w:rPr>
  </w:style>
  <w:style w:type="paragraph" w:styleId="ListBullet2">
    <w:name w:val="List Bullet 2"/>
    <w:basedOn w:val="List2"/>
    <w:rsid w:val="00CB6D78"/>
    <w:pPr>
      <w:numPr>
        <w:numId w:val="15"/>
      </w:numPr>
      <w:tabs>
        <w:tab w:val="clear" w:pos="680"/>
      </w:tabs>
    </w:pPr>
  </w:style>
  <w:style w:type="paragraph" w:customStyle="1" w:styleId="SuperHeading">
    <w:name w:val="SuperHeading"/>
    <w:basedOn w:val="Normal"/>
    <w:rsid w:val="00CB6D78"/>
    <w:pPr>
      <w:spacing w:before="240" w:after="120"/>
      <w:outlineLvl w:val="0"/>
    </w:pPr>
    <w:rPr>
      <w:rFonts w:ascii="Times New Roman" w:hAnsi="Times New Roman"/>
      <w:b/>
      <w:sz w:val="32"/>
    </w:rPr>
  </w:style>
  <w:style w:type="paragraph" w:customStyle="1" w:styleId="AllowPageBreak">
    <w:name w:val="AllowPageBreak"/>
    <w:rsid w:val="00CB6D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CB6D78"/>
    <w:pPr>
      <w:numPr>
        <w:numId w:val="9"/>
      </w:numPr>
    </w:pPr>
  </w:style>
  <w:style w:type="paragraph" w:styleId="ListBullet3">
    <w:name w:val="List Bullet 3"/>
    <w:basedOn w:val="List3"/>
    <w:rsid w:val="00CB6D78"/>
    <w:pPr>
      <w:numPr>
        <w:numId w:val="3"/>
      </w:numPr>
      <w:tabs>
        <w:tab w:val="clear" w:pos="1021"/>
      </w:tabs>
      <w:ind w:left="1037" w:hanging="357"/>
    </w:pPr>
  </w:style>
  <w:style w:type="character" w:customStyle="1" w:styleId="Heading2Char">
    <w:name w:val="Heading 2 Char"/>
    <w:basedOn w:val="DefaultParagraphFont"/>
    <w:link w:val="Heading2"/>
    <w:rsid w:val="00CB6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D78"/>
    <w:rPr>
      <w:rFonts w:ascii="Courier New" w:eastAsia="Times New Roman" w:hAnsi="Courier New" w:cs="Times New Roman"/>
      <w:i/>
      <w:szCs w:val="20"/>
      <w:lang w:eastAsia="en-US"/>
    </w:rPr>
  </w:style>
  <w:style w:type="paragraph" w:customStyle="1" w:styleId="HeadingBase">
    <w:name w:val="Heading Base"/>
    <w:rsid w:val="00CB6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D78"/>
    <w:pPr>
      <w:tabs>
        <w:tab w:val="right" w:leader="dot" w:pos="9072"/>
      </w:tabs>
      <w:ind w:left="567"/>
    </w:pPr>
    <w:rPr>
      <w:szCs w:val="22"/>
    </w:rPr>
  </w:style>
  <w:style w:type="paragraph" w:customStyle="1" w:styleId="TOCBase">
    <w:name w:val="TOC Base"/>
    <w:rsid w:val="00CB6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D78"/>
    <w:pPr>
      <w:tabs>
        <w:tab w:val="right" w:leader="dot" w:pos="9072"/>
      </w:tabs>
      <w:spacing w:before="40" w:after="40"/>
      <w:ind w:left="284"/>
    </w:pPr>
    <w:rPr>
      <w:rFonts w:ascii="Times New Roman" w:hAnsi="Times New Roman"/>
    </w:rPr>
  </w:style>
  <w:style w:type="paragraph" w:styleId="TOC1">
    <w:name w:val="toc 1"/>
    <w:basedOn w:val="TOCBase"/>
    <w:next w:val="Normal"/>
    <w:rsid w:val="00CB6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D78"/>
    <w:rPr>
      <w:rFonts w:ascii="Times New Roman" w:eastAsia="Times New Roman" w:hAnsi="Times New Roman" w:cs="Times New Roman"/>
      <w:sz w:val="16"/>
      <w:lang w:eastAsia="en-US"/>
    </w:rPr>
  </w:style>
  <w:style w:type="paragraph" w:styleId="Title">
    <w:name w:val="Title"/>
    <w:basedOn w:val="HeadingBase"/>
    <w:link w:val="TitleChar"/>
    <w:qFormat/>
    <w:rsid w:val="00CB6D78"/>
    <w:pPr>
      <w:spacing w:before="5040"/>
      <w:jc w:val="center"/>
    </w:pPr>
    <w:rPr>
      <w:sz w:val="48"/>
      <w:szCs w:val="72"/>
      <w:lang w:val="en-US"/>
    </w:rPr>
  </w:style>
  <w:style w:type="character" w:customStyle="1" w:styleId="TitleChar">
    <w:name w:val="Title Char"/>
    <w:basedOn w:val="DefaultParagraphFont"/>
    <w:link w:val="Title"/>
    <w:rsid w:val="00CB6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D78"/>
    <w:pPr>
      <w:tabs>
        <w:tab w:val="left" w:pos="3600"/>
        <w:tab w:val="left" w:pos="3958"/>
      </w:tabs>
    </w:pPr>
  </w:style>
  <w:style w:type="paragraph" w:styleId="List">
    <w:name w:val="List"/>
    <w:basedOn w:val="BodyText"/>
    <w:next w:val="BodyText"/>
    <w:rsid w:val="00CB6D78"/>
    <w:pPr>
      <w:tabs>
        <w:tab w:val="left" w:pos="340"/>
      </w:tabs>
      <w:spacing w:before="60" w:after="60"/>
      <w:ind w:left="340" w:hanging="340"/>
    </w:pPr>
  </w:style>
  <w:style w:type="paragraph" w:customStyle="1" w:styleId="Note">
    <w:name w:val="Note"/>
    <w:basedOn w:val="BodyText"/>
    <w:rsid w:val="00CB6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D78"/>
    <w:pPr>
      <w:framePr w:wrap="auto" w:hAnchor="text" w:y="6049"/>
    </w:pPr>
    <w:rPr>
      <w:color w:val="000000"/>
      <w:sz w:val="40"/>
    </w:rPr>
  </w:style>
  <w:style w:type="paragraph" w:customStyle="1" w:styleId="TOCTitle">
    <w:name w:val="TOCTitle"/>
    <w:basedOn w:val="Heading1"/>
    <w:rsid w:val="00CB6D78"/>
    <w:pPr>
      <w:spacing w:after="240"/>
      <w:jc w:val="center"/>
      <w:outlineLvl w:val="9"/>
    </w:pPr>
    <w:rPr>
      <w:caps/>
    </w:rPr>
  </w:style>
  <w:style w:type="paragraph" w:customStyle="1" w:styleId="Version">
    <w:name w:val="Version"/>
    <w:rsid w:val="00CB6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D78"/>
    <w:pPr>
      <w:keepNext w:val="0"/>
      <w:tabs>
        <w:tab w:val="right" w:pos="4176"/>
      </w:tabs>
      <w:ind w:left="198" w:hanging="198"/>
    </w:pPr>
    <w:rPr>
      <w:rFonts w:ascii="Garamond" w:hAnsi="Garamond"/>
    </w:rPr>
  </w:style>
  <w:style w:type="paragraph" w:styleId="IndexHeading">
    <w:name w:val="index heading"/>
    <w:basedOn w:val="Normal"/>
    <w:next w:val="Index1"/>
    <w:semiHidden/>
    <w:rsid w:val="00CB6D78"/>
    <w:pPr>
      <w:spacing w:before="120" w:after="120"/>
    </w:pPr>
    <w:rPr>
      <w:rFonts w:ascii="Arial" w:hAnsi="Arial"/>
      <w:b/>
      <w:color w:val="918585"/>
      <w:sz w:val="24"/>
    </w:rPr>
  </w:style>
  <w:style w:type="paragraph" w:styleId="Header">
    <w:name w:val="header"/>
    <w:basedOn w:val="Normal"/>
    <w:link w:val="HeaderChar"/>
    <w:rsid w:val="00CB6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D78"/>
    <w:rPr>
      <w:rFonts w:ascii="Times New Roman" w:eastAsia="Times New Roman" w:hAnsi="Times New Roman" w:cs="Times New Roman"/>
      <w:sz w:val="16"/>
      <w:szCs w:val="20"/>
      <w:lang w:val="en-GB" w:eastAsia="en-US"/>
    </w:rPr>
  </w:style>
  <w:style w:type="paragraph" w:customStyle="1" w:styleId="Chapter">
    <w:name w:val="Chapter"/>
    <w:basedOn w:val="Normal"/>
    <w:rsid w:val="00CB6D78"/>
    <w:pPr>
      <w:spacing w:before="240"/>
    </w:pPr>
    <w:rPr>
      <w:rFonts w:ascii="Times New Roman" w:hAnsi="Times New Roman"/>
      <w:smallCaps/>
      <w:spacing w:val="80"/>
      <w:sz w:val="28"/>
    </w:rPr>
  </w:style>
  <w:style w:type="paragraph" w:customStyle="1" w:styleId="InChapter">
    <w:name w:val="InChapter"/>
    <w:basedOn w:val="Heading3"/>
    <w:rsid w:val="00CB6D78"/>
    <w:pPr>
      <w:spacing w:after="240"/>
      <w:outlineLvl w:val="9"/>
    </w:pPr>
    <w:rPr>
      <w:noProof/>
    </w:rPr>
  </w:style>
  <w:style w:type="paragraph" w:styleId="Index2">
    <w:name w:val="index 2"/>
    <w:basedOn w:val="Normal"/>
    <w:next w:val="Normal"/>
    <w:semiHidden/>
    <w:rsid w:val="00CB6D78"/>
    <w:pPr>
      <w:tabs>
        <w:tab w:val="right" w:pos="4176"/>
      </w:tabs>
      <w:ind w:left="568" w:hanging="284"/>
    </w:pPr>
    <w:rPr>
      <w:rFonts w:ascii="Garamond" w:hAnsi="Garamond"/>
    </w:rPr>
  </w:style>
  <w:style w:type="paragraph" w:customStyle="1" w:styleId="Byline">
    <w:name w:val="Byline"/>
    <w:rsid w:val="00CB6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D78"/>
    <w:pPr>
      <w:tabs>
        <w:tab w:val="clear" w:pos="3600"/>
        <w:tab w:val="clear" w:pos="3958"/>
      </w:tabs>
      <w:jc w:val="right"/>
    </w:pPr>
  </w:style>
  <w:style w:type="character" w:styleId="Emphasis">
    <w:name w:val="Emphasis"/>
    <w:basedOn w:val="DefaultParagraphFont"/>
    <w:qFormat/>
    <w:rsid w:val="00CB6D78"/>
    <w:rPr>
      <w:i/>
    </w:rPr>
  </w:style>
  <w:style w:type="paragraph" w:styleId="Caption">
    <w:name w:val="caption"/>
    <w:basedOn w:val="BodyText"/>
    <w:next w:val="Normal"/>
    <w:qFormat/>
    <w:rsid w:val="00CB6D78"/>
    <w:pPr>
      <w:framePr w:w="2268" w:hSpace="181" w:vSpace="181" w:wrap="around" w:vAnchor="text" w:hAnchor="page" w:x="1135" w:y="285" w:anchorLock="1"/>
    </w:pPr>
    <w:rPr>
      <w:i/>
    </w:rPr>
  </w:style>
  <w:style w:type="paragraph" w:customStyle="1" w:styleId="MiniTOCTitle">
    <w:name w:val="MiniTOCTitle"/>
    <w:basedOn w:val="Heading4"/>
    <w:rsid w:val="00CB6D78"/>
    <w:pPr>
      <w:spacing w:before="240"/>
      <w:outlineLvl w:val="9"/>
    </w:pPr>
    <w:rPr>
      <w:noProof/>
      <w:sz w:val="24"/>
    </w:rPr>
  </w:style>
  <w:style w:type="paragraph" w:customStyle="1" w:styleId="MiniTOCItem">
    <w:name w:val="MiniTOCItem"/>
    <w:basedOn w:val="ListBullet"/>
    <w:rsid w:val="00CB6D78"/>
    <w:pPr>
      <w:numPr>
        <w:numId w:val="0"/>
      </w:numPr>
      <w:tabs>
        <w:tab w:val="right" w:leader="dot" w:pos="6521"/>
      </w:tabs>
      <w:spacing w:before="0" w:after="0"/>
    </w:pPr>
  </w:style>
  <w:style w:type="paragraph" w:customStyle="1" w:styleId="TOFTitle">
    <w:name w:val="TOFTitle"/>
    <w:basedOn w:val="TOCTitle"/>
    <w:rsid w:val="00CB6D78"/>
  </w:style>
  <w:style w:type="paragraph" w:styleId="TableofFigures">
    <w:name w:val="table of figures"/>
    <w:basedOn w:val="Normal"/>
    <w:next w:val="Normal"/>
    <w:semiHidden/>
    <w:rsid w:val="00CB6D78"/>
    <w:pPr>
      <w:tabs>
        <w:tab w:val="right" w:leader="dot" w:pos="9072"/>
      </w:tabs>
      <w:ind w:left="970" w:hanging="403"/>
    </w:pPr>
    <w:rPr>
      <w:rFonts w:ascii="Times New Roman" w:hAnsi="Times New Roman"/>
      <w:b/>
    </w:rPr>
  </w:style>
  <w:style w:type="paragraph" w:styleId="ListNumber">
    <w:name w:val="List Number"/>
    <w:basedOn w:val="List"/>
    <w:rsid w:val="00CB6D78"/>
    <w:pPr>
      <w:numPr>
        <w:numId w:val="12"/>
      </w:numPr>
    </w:pPr>
  </w:style>
  <w:style w:type="character" w:customStyle="1" w:styleId="WingdingSymbols">
    <w:name w:val="Wingding Symbols"/>
    <w:rsid w:val="00CB6D78"/>
    <w:rPr>
      <w:rFonts w:ascii="Wingdings" w:hAnsi="Wingdings"/>
    </w:rPr>
  </w:style>
  <w:style w:type="paragraph" w:customStyle="1" w:styleId="TableHeading">
    <w:name w:val="Table Heading"/>
    <w:basedOn w:val="HeadingBase"/>
    <w:rsid w:val="00CB6D78"/>
    <w:pPr>
      <w:keepLines/>
      <w:pBdr>
        <w:bottom w:val="single" w:sz="6" w:space="1" w:color="918585"/>
      </w:pBdr>
      <w:spacing w:before="240"/>
    </w:pPr>
  </w:style>
  <w:style w:type="character" w:customStyle="1" w:styleId="HotSpot">
    <w:name w:val="HotSpot"/>
    <w:rsid w:val="00CB6D78"/>
    <w:rPr>
      <w:color w:val="0033CC"/>
      <w:u w:val="none"/>
    </w:rPr>
  </w:style>
  <w:style w:type="paragraph" w:customStyle="1" w:styleId="BodyTextRight">
    <w:name w:val="Body Text Right"/>
    <w:basedOn w:val="BodyText"/>
    <w:rsid w:val="00CB6D78"/>
    <w:pPr>
      <w:spacing w:before="0" w:after="0"/>
      <w:jc w:val="right"/>
    </w:pPr>
  </w:style>
  <w:style w:type="paragraph" w:styleId="Index3">
    <w:name w:val="index 3"/>
    <w:basedOn w:val="ListNumber2"/>
    <w:next w:val="Normal"/>
    <w:semiHidden/>
    <w:rsid w:val="00CB6D78"/>
    <w:pPr>
      <w:numPr>
        <w:numId w:val="0"/>
      </w:numPr>
      <w:tabs>
        <w:tab w:val="right" w:leader="dot" w:pos="4176"/>
      </w:tabs>
    </w:pPr>
  </w:style>
  <w:style w:type="paragraph" w:styleId="ListNumber2">
    <w:name w:val="List Number 2"/>
    <w:basedOn w:val="List2"/>
    <w:rsid w:val="00CB6D78"/>
    <w:pPr>
      <w:numPr>
        <w:numId w:val="11"/>
      </w:numPr>
      <w:tabs>
        <w:tab w:val="clear" w:pos="1060"/>
      </w:tabs>
    </w:pPr>
  </w:style>
  <w:style w:type="paragraph" w:customStyle="1" w:styleId="MarginNote">
    <w:name w:val="Margin Note"/>
    <w:basedOn w:val="BodyText"/>
    <w:rsid w:val="00CB6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D78"/>
    <w:rPr>
      <w:sz w:val="32"/>
    </w:rPr>
  </w:style>
  <w:style w:type="paragraph" w:customStyle="1" w:styleId="HeadingProcedure">
    <w:name w:val="Heading Procedure"/>
    <w:basedOn w:val="HeadingBase"/>
    <w:next w:val="Normal"/>
    <w:rsid w:val="00CB6D78"/>
    <w:pPr>
      <w:tabs>
        <w:tab w:val="left" w:pos="0"/>
      </w:tabs>
      <w:spacing w:before="120" w:after="60"/>
    </w:pPr>
    <w:rPr>
      <w:i/>
      <w:color w:val="918585"/>
      <w:sz w:val="22"/>
    </w:rPr>
  </w:style>
  <w:style w:type="paragraph" w:customStyle="1" w:styleId="TableBodyText">
    <w:name w:val="Table Body Text"/>
    <w:basedOn w:val="BodyText"/>
    <w:rsid w:val="00CB6D78"/>
    <w:pPr>
      <w:spacing w:before="60" w:after="60"/>
    </w:pPr>
  </w:style>
  <w:style w:type="paragraph" w:styleId="ListContinue">
    <w:name w:val="List Continue"/>
    <w:basedOn w:val="List"/>
    <w:rsid w:val="00CB6D78"/>
    <w:pPr>
      <w:ind w:firstLine="0"/>
    </w:pPr>
  </w:style>
  <w:style w:type="paragraph" w:customStyle="1" w:styleId="ListNote">
    <w:name w:val="List Note"/>
    <w:basedOn w:val="List"/>
    <w:rsid w:val="00CB6D78"/>
    <w:pPr>
      <w:pBdr>
        <w:top w:val="single" w:sz="6" w:space="2" w:color="918585"/>
        <w:bottom w:val="single" w:sz="6" w:space="2" w:color="918585"/>
      </w:pBdr>
      <w:tabs>
        <w:tab w:val="left" w:pos="1021"/>
      </w:tabs>
      <w:ind w:firstLine="0"/>
    </w:pPr>
  </w:style>
  <w:style w:type="paragraph" w:customStyle="1" w:styleId="Warning">
    <w:name w:val="Warning"/>
    <w:basedOn w:val="BodyText"/>
    <w:rsid w:val="00CB6D78"/>
    <w:pPr>
      <w:shd w:val="clear" w:color="auto" w:fill="D9D9D9"/>
      <w:tabs>
        <w:tab w:val="left" w:pos="992"/>
      </w:tabs>
      <w:ind w:left="119" w:right="119"/>
    </w:pPr>
    <w:rPr>
      <w:sz w:val="20"/>
    </w:rPr>
  </w:style>
  <w:style w:type="paragraph" w:customStyle="1" w:styleId="MarginIcons">
    <w:name w:val="Margin Icons"/>
    <w:basedOn w:val="BodyText"/>
    <w:rsid w:val="00CB6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D78"/>
    <w:rPr>
      <w:rFonts w:ascii="Courier New" w:hAnsi="Courier New"/>
    </w:rPr>
  </w:style>
  <w:style w:type="paragraph" w:customStyle="1" w:styleId="NoteBullet">
    <w:name w:val="Note Bullet"/>
    <w:basedOn w:val="Note"/>
    <w:rsid w:val="00CB6D78"/>
    <w:pPr>
      <w:tabs>
        <w:tab w:val="clear" w:pos="680"/>
      </w:tabs>
      <w:spacing w:before="60" w:after="60"/>
    </w:pPr>
  </w:style>
  <w:style w:type="paragraph" w:customStyle="1" w:styleId="SubHeading2">
    <w:name w:val="SubHeading2"/>
    <w:basedOn w:val="HeadingBase"/>
    <w:rsid w:val="00CB6D78"/>
    <w:pPr>
      <w:spacing w:before="240" w:after="60"/>
    </w:pPr>
    <w:rPr>
      <w:sz w:val="20"/>
    </w:rPr>
  </w:style>
  <w:style w:type="paragraph" w:customStyle="1" w:styleId="SubHeading1">
    <w:name w:val="SubHeading1"/>
    <w:basedOn w:val="HeadingBase"/>
    <w:rsid w:val="00CB6D78"/>
    <w:pPr>
      <w:spacing w:before="240" w:after="60"/>
    </w:pPr>
    <w:rPr>
      <w:color w:val="918585"/>
      <w:sz w:val="22"/>
    </w:rPr>
  </w:style>
  <w:style w:type="paragraph" w:customStyle="1" w:styleId="SideHeading">
    <w:name w:val="Side Heading"/>
    <w:basedOn w:val="HeadingBase"/>
    <w:rsid w:val="00CB6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D78"/>
    <w:pPr>
      <w:numPr>
        <w:numId w:val="13"/>
      </w:numPr>
    </w:pPr>
  </w:style>
  <w:style w:type="paragraph" w:styleId="PlainText">
    <w:name w:val="Plain Text"/>
    <w:basedOn w:val="Normal"/>
    <w:link w:val="PlainTextChar"/>
    <w:rsid w:val="00CB6D78"/>
    <w:rPr>
      <w:sz w:val="20"/>
    </w:rPr>
  </w:style>
  <w:style w:type="character" w:customStyle="1" w:styleId="PlainTextChar">
    <w:name w:val="Plain Text Char"/>
    <w:basedOn w:val="DefaultParagraphFont"/>
    <w:link w:val="PlainText"/>
    <w:rsid w:val="00CB6D78"/>
    <w:rPr>
      <w:rFonts w:ascii="Courier New" w:eastAsia="Times New Roman" w:hAnsi="Courier New" w:cs="Times New Roman"/>
      <w:sz w:val="20"/>
      <w:szCs w:val="20"/>
      <w:lang w:eastAsia="en-US"/>
    </w:rPr>
  </w:style>
  <w:style w:type="character" w:customStyle="1" w:styleId="MenuOption">
    <w:name w:val="Menu Option"/>
    <w:basedOn w:val="DefaultParagraphFont"/>
    <w:rsid w:val="00CB6D78"/>
    <w:rPr>
      <w:b/>
      <w:smallCaps/>
    </w:rPr>
  </w:style>
  <w:style w:type="paragraph" w:customStyle="1" w:styleId="TableListNumber">
    <w:name w:val="Table List Number"/>
    <w:basedOn w:val="ListNumber"/>
    <w:rsid w:val="00CB6D78"/>
    <w:pPr>
      <w:numPr>
        <w:numId w:val="0"/>
      </w:numPr>
    </w:pPr>
  </w:style>
  <w:style w:type="paragraph" w:styleId="TOC4">
    <w:name w:val="toc 4"/>
    <w:basedOn w:val="TOCBase"/>
    <w:next w:val="Normal"/>
    <w:semiHidden/>
    <w:rsid w:val="00CB6D78"/>
    <w:pPr>
      <w:tabs>
        <w:tab w:val="right" w:leader="dot" w:pos="9071"/>
      </w:tabs>
      <w:ind w:left="1701"/>
    </w:pPr>
  </w:style>
  <w:style w:type="paragraph" w:customStyle="1" w:styleId="ListAlpha">
    <w:name w:val="List Alpha"/>
    <w:basedOn w:val="List"/>
    <w:rsid w:val="00CB6D78"/>
    <w:pPr>
      <w:numPr>
        <w:numId w:val="10"/>
      </w:numPr>
    </w:pPr>
  </w:style>
  <w:style w:type="paragraph" w:styleId="List2">
    <w:name w:val="List 2"/>
    <w:basedOn w:val="BodyText"/>
    <w:rsid w:val="00CB6D78"/>
    <w:pPr>
      <w:tabs>
        <w:tab w:val="left" w:pos="680"/>
      </w:tabs>
      <w:spacing w:before="60" w:after="60"/>
      <w:ind w:left="680" w:hanging="340"/>
    </w:pPr>
  </w:style>
  <w:style w:type="paragraph" w:styleId="List3">
    <w:name w:val="List 3"/>
    <w:basedOn w:val="BodyText"/>
    <w:rsid w:val="00CB6D78"/>
    <w:pPr>
      <w:tabs>
        <w:tab w:val="left" w:pos="1021"/>
      </w:tabs>
      <w:spacing w:before="60" w:after="60"/>
      <w:ind w:left="1020" w:hanging="340"/>
    </w:pPr>
  </w:style>
  <w:style w:type="paragraph" w:styleId="List4">
    <w:name w:val="List 4"/>
    <w:basedOn w:val="BodyText"/>
    <w:rsid w:val="00CB6D78"/>
    <w:pPr>
      <w:tabs>
        <w:tab w:val="left" w:pos="1361"/>
      </w:tabs>
      <w:spacing w:before="60" w:after="60"/>
      <w:ind w:left="1361" w:hanging="340"/>
    </w:pPr>
  </w:style>
  <w:style w:type="paragraph" w:styleId="List5">
    <w:name w:val="List 5"/>
    <w:basedOn w:val="BodyText"/>
    <w:rsid w:val="00CB6D78"/>
    <w:pPr>
      <w:tabs>
        <w:tab w:val="left" w:pos="1701"/>
      </w:tabs>
      <w:spacing w:before="60" w:after="60"/>
      <w:ind w:left="1701" w:hanging="340"/>
    </w:pPr>
  </w:style>
  <w:style w:type="paragraph" w:styleId="ListBullet4">
    <w:name w:val="List Bullet 4"/>
    <w:basedOn w:val="List4"/>
    <w:rsid w:val="00CB6D78"/>
    <w:pPr>
      <w:numPr>
        <w:numId w:val="4"/>
      </w:numPr>
    </w:pPr>
  </w:style>
  <w:style w:type="paragraph" w:styleId="ListBullet5">
    <w:name w:val="List Bullet 5"/>
    <w:basedOn w:val="List5"/>
    <w:rsid w:val="00CB6D78"/>
    <w:pPr>
      <w:numPr>
        <w:numId w:val="5"/>
      </w:numPr>
    </w:pPr>
  </w:style>
  <w:style w:type="paragraph" w:styleId="ListContinue2">
    <w:name w:val="List Continue 2"/>
    <w:basedOn w:val="List2"/>
    <w:rsid w:val="00CB6D78"/>
    <w:pPr>
      <w:ind w:firstLine="0"/>
    </w:pPr>
  </w:style>
  <w:style w:type="paragraph" w:styleId="ListContinue3">
    <w:name w:val="List Continue 3"/>
    <w:basedOn w:val="List3"/>
    <w:rsid w:val="00CB6D78"/>
    <w:pPr>
      <w:ind w:left="1021" w:firstLine="0"/>
    </w:pPr>
  </w:style>
  <w:style w:type="paragraph" w:styleId="ListContinue4">
    <w:name w:val="List Continue 4"/>
    <w:basedOn w:val="List4"/>
    <w:rsid w:val="00CB6D78"/>
    <w:pPr>
      <w:ind w:firstLine="0"/>
    </w:pPr>
  </w:style>
  <w:style w:type="paragraph" w:styleId="ListContinue5">
    <w:name w:val="List Continue 5"/>
    <w:basedOn w:val="List5"/>
    <w:rsid w:val="00CB6D78"/>
    <w:pPr>
      <w:ind w:firstLine="0"/>
    </w:pPr>
  </w:style>
  <w:style w:type="paragraph" w:styleId="ListNumber3">
    <w:name w:val="List Number 3"/>
    <w:basedOn w:val="List3"/>
    <w:rsid w:val="00CB6D78"/>
    <w:pPr>
      <w:numPr>
        <w:numId w:val="6"/>
      </w:numPr>
    </w:pPr>
  </w:style>
  <w:style w:type="paragraph" w:styleId="ListNumber4">
    <w:name w:val="List Number 4"/>
    <w:basedOn w:val="List4"/>
    <w:rsid w:val="00CB6D78"/>
    <w:pPr>
      <w:numPr>
        <w:numId w:val="7"/>
      </w:numPr>
    </w:pPr>
  </w:style>
  <w:style w:type="paragraph" w:styleId="ListNumber5">
    <w:name w:val="List Number 5"/>
    <w:basedOn w:val="List5"/>
    <w:rsid w:val="00CB6D78"/>
    <w:pPr>
      <w:numPr>
        <w:numId w:val="8"/>
      </w:numPr>
    </w:pPr>
  </w:style>
  <w:style w:type="paragraph" w:styleId="BlockText">
    <w:name w:val="Block Text"/>
    <w:basedOn w:val="Normal"/>
    <w:rsid w:val="00CB6D78"/>
    <w:pPr>
      <w:spacing w:after="120"/>
      <w:ind w:left="1440" w:right="1440"/>
    </w:pPr>
  </w:style>
  <w:style w:type="character" w:customStyle="1" w:styleId="Subscript">
    <w:name w:val="Subscript"/>
    <w:basedOn w:val="DefaultParagraphFont"/>
    <w:rsid w:val="00CB6D78"/>
    <w:rPr>
      <w:sz w:val="16"/>
      <w:vertAlign w:val="subscript"/>
    </w:rPr>
  </w:style>
  <w:style w:type="character" w:customStyle="1" w:styleId="Superscript">
    <w:name w:val="Superscript"/>
    <w:basedOn w:val="DefaultParagraphFont"/>
    <w:rsid w:val="00CB6D78"/>
    <w:rPr>
      <w:sz w:val="16"/>
      <w:vertAlign w:val="superscript"/>
    </w:rPr>
  </w:style>
  <w:style w:type="character" w:customStyle="1" w:styleId="Symbols">
    <w:name w:val="Symbols"/>
    <w:basedOn w:val="DefaultParagraphFont"/>
    <w:rsid w:val="00CB6D78"/>
    <w:rPr>
      <w:rFonts w:ascii="Symbol" w:hAnsi="Symbol"/>
    </w:rPr>
  </w:style>
  <w:style w:type="character" w:customStyle="1" w:styleId="MenuOptions">
    <w:name w:val="Menu Options"/>
    <w:basedOn w:val="DefaultParagraphFont"/>
    <w:rsid w:val="00CB6D78"/>
    <w:rPr>
      <w:rFonts w:ascii="Arial Narrow" w:hAnsi="Arial Narrow"/>
      <w:smallCaps/>
    </w:rPr>
  </w:style>
  <w:style w:type="character" w:customStyle="1" w:styleId="Buttons">
    <w:name w:val="Buttons"/>
    <w:basedOn w:val="DefaultParagraphFont"/>
    <w:rsid w:val="00CB6D78"/>
    <w:rPr>
      <w:b/>
    </w:rPr>
  </w:style>
  <w:style w:type="character" w:customStyle="1" w:styleId="Underlined">
    <w:name w:val="Underlined"/>
    <w:basedOn w:val="DefaultParagraphFont"/>
    <w:rsid w:val="00CB6D78"/>
    <w:rPr>
      <w:u w:val="single"/>
    </w:rPr>
  </w:style>
  <w:style w:type="paragraph" w:customStyle="1" w:styleId="TableBodyTextRight">
    <w:name w:val="Table Body Text Right"/>
    <w:basedOn w:val="TableBodyText"/>
    <w:rsid w:val="00CB6D78"/>
    <w:pPr>
      <w:widowControl w:val="0"/>
      <w:autoSpaceDE w:val="0"/>
      <w:autoSpaceDN w:val="0"/>
      <w:adjustRightInd w:val="0"/>
      <w:jc w:val="right"/>
    </w:pPr>
    <w:rPr>
      <w:rFonts w:cs="Arial"/>
      <w:szCs w:val="18"/>
    </w:rPr>
  </w:style>
  <w:style w:type="paragraph" w:customStyle="1" w:styleId="CopyrightText">
    <w:name w:val="Copyright Text"/>
    <w:basedOn w:val="BodyText"/>
    <w:rsid w:val="00CB6D78"/>
    <w:rPr>
      <w:sz w:val="18"/>
    </w:rPr>
  </w:style>
  <w:style w:type="paragraph" w:customStyle="1" w:styleId="BodySmallRight">
    <w:name w:val="Body Small Right"/>
    <w:basedOn w:val="BodyTextRight"/>
    <w:rsid w:val="00CB6D78"/>
    <w:rPr>
      <w:sz w:val="18"/>
      <w:szCs w:val="18"/>
    </w:rPr>
  </w:style>
  <w:style w:type="paragraph" w:customStyle="1" w:styleId="MarginEdition">
    <w:name w:val="Margin Edition"/>
    <w:basedOn w:val="MarginNote"/>
    <w:rsid w:val="00CB6D78"/>
    <w:pPr>
      <w:spacing w:before="0" w:after="0"/>
    </w:pPr>
    <w:rPr>
      <w:rFonts w:ascii="Times New Roman" w:hAnsi="Times New Roman"/>
      <w:color w:val="999999"/>
    </w:rPr>
  </w:style>
  <w:style w:type="paragraph" w:customStyle="1" w:styleId="Spacer">
    <w:name w:val="Spacer"/>
    <w:basedOn w:val="Normal"/>
    <w:rsid w:val="00CB6D78"/>
    <w:rPr>
      <w:sz w:val="2"/>
      <w:szCs w:val="2"/>
    </w:rPr>
  </w:style>
  <w:style w:type="character" w:customStyle="1" w:styleId="Small">
    <w:name w:val="Small"/>
    <w:basedOn w:val="DefaultParagraphFont"/>
    <w:rsid w:val="00CB6D78"/>
    <w:rPr>
      <w:sz w:val="16"/>
    </w:rPr>
  </w:style>
  <w:style w:type="paragraph" w:customStyle="1" w:styleId="WideTable">
    <w:name w:val="Wide Table"/>
    <w:basedOn w:val="Normal"/>
    <w:rsid w:val="00CB6D78"/>
    <w:pPr>
      <w:ind w:left="-1418"/>
    </w:pPr>
    <w:rPr>
      <w:sz w:val="2"/>
      <w:szCs w:val="2"/>
    </w:rPr>
  </w:style>
  <w:style w:type="character" w:styleId="PageNumber">
    <w:name w:val="page number"/>
    <w:basedOn w:val="DefaultParagraphFont"/>
    <w:rsid w:val="00CB6D78"/>
  </w:style>
  <w:style w:type="paragraph" w:styleId="Quote">
    <w:name w:val="Quote"/>
    <w:basedOn w:val="Heading1"/>
    <w:link w:val="QuoteChar"/>
    <w:qFormat/>
    <w:rsid w:val="00CB6D78"/>
    <w:rPr>
      <w:b w:val="0"/>
      <w:sz w:val="72"/>
      <w:szCs w:val="72"/>
      <w:lang w:val="en-NZ"/>
    </w:rPr>
  </w:style>
  <w:style w:type="character" w:customStyle="1" w:styleId="QuoteChar">
    <w:name w:val="Quote Char"/>
    <w:basedOn w:val="DefaultParagraphFont"/>
    <w:link w:val="Quote"/>
    <w:rsid w:val="00CB6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D78"/>
    <w:pPr>
      <w:pageBreakBefore/>
    </w:pPr>
  </w:style>
  <w:style w:type="paragraph" w:customStyle="1" w:styleId="Border">
    <w:name w:val="Border"/>
    <w:basedOn w:val="Normal"/>
    <w:qFormat/>
    <w:rsid w:val="00CB6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D78"/>
    <w:rPr>
      <w:b/>
      <w:bCs/>
      <w:i/>
      <w:iCs/>
      <w:color w:val="auto"/>
    </w:rPr>
  </w:style>
  <w:style w:type="paragraph" w:styleId="IntenseQuote">
    <w:name w:val="Intense Quote"/>
    <w:basedOn w:val="Normal"/>
    <w:next w:val="Normal"/>
    <w:link w:val="IntenseQuoteChar"/>
    <w:uiPriority w:val="30"/>
    <w:qFormat/>
    <w:rsid w:val="00CB6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D78"/>
    <w:rPr>
      <w:smallCaps/>
      <w:color w:val="auto"/>
      <w:u w:val="single"/>
    </w:rPr>
  </w:style>
  <w:style w:type="character" w:styleId="IntenseReference">
    <w:name w:val="Intense Reference"/>
    <w:basedOn w:val="DefaultParagraphFont"/>
    <w:uiPriority w:val="32"/>
    <w:qFormat/>
    <w:rsid w:val="00CB6D78"/>
    <w:rPr>
      <w:b/>
      <w:bCs/>
      <w:smallCaps/>
      <w:color w:val="auto"/>
      <w:spacing w:val="5"/>
      <w:u w:val="single"/>
    </w:rPr>
  </w:style>
  <w:style w:type="paragraph" w:customStyle="1" w:styleId="2ColumnHeading">
    <w:name w:val="2Column Heading"/>
    <w:basedOn w:val="BodyText"/>
    <w:qFormat/>
    <w:rsid w:val="00CB6D78"/>
    <w:pPr>
      <w:spacing w:after="60"/>
      <w:ind w:left="-2268"/>
    </w:pPr>
    <w:rPr>
      <w:b/>
    </w:rPr>
  </w:style>
  <w:style w:type="paragraph" w:customStyle="1" w:styleId="Heading1TOC">
    <w:name w:val="Heading1 TOC"/>
    <w:basedOn w:val="Normal"/>
    <w:qFormat/>
    <w:rsid w:val="00CB6D78"/>
    <w:pPr>
      <w:spacing w:before="240" w:after="120"/>
    </w:pPr>
    <w:rPr>
      <w:rFonts w:ascii="Times New Roman" w:hAnsi="Times New Roman"/>
      <w:b/>
      <w:sz w:val="32"/>
    </w:rPr>
  </w:style>
  <w:style w:type="paragraph" w:customStyle="1" w:styleId="Heading2TOC">
    <w:name w:val="Heading2 TOC"/>
    <w:basedOn w:val="Normal"/>
    <w:qFormat/>
    <w:rsid w:val="00CB6D78"/>
    <w:pPr>
      <w:spacing w:before="240" w:after="60"/>
    </w:pPr>
    <w:rPr>
      <w:rFonts w:ascii="Times New Roman" w:hAnsi="Times New Roman"/>
      <w:b/>
      <w:sz w:val="28"/>
    </w:rPr>
  </w:style>
  <w:style w:type="character" w:customStyle="1" w:styleId="Underline">
    <w:name w:val="Underline"/>
    <w:basedOn w:val="DefaultParagraphFont"/>
    <w:qFormat/>
    <w:rsid w:val="00CB6D78"/>
    <w:rPr>
      <w:u w:val="single"/>
    </w:rPr>
  </w:style>
  <w:style w:type="character" w:customStyle="1" w:styleId="BoldandItalics">
    <w:name w:val="Bold and Italics"/>
    <w:qFormat/>
    <w:rsid w:val="00CB6D78"/>
    <w:rPr>
      <w:b/>
      <w:i/>
      <w:u w:val="none"/>
    </w:rPr>
  </w:style>
  <w:style w:type="paragraph" w:styleId="BalloonText">
    <w:name w:val="Balloon Text"/>
    <w:basedOn w:val="Normal"/>
    <w:link w:val="BalloonTextChar"/>
    <w:rsid w:val="00CB6D78"/>
    <w:rPr>
      <w:rFonts w:ascii="Tahoma" w:hAnsi="Tahoma" w:cs="Tahoma"/>
      <w:sz w:val="16"/>
      <w:szCs w:val="16"/>
    </w:rPr>
  </w:style>
  <w:style w:type="character" w:customStyle="1" w:styleId="BalloonTextChar">
    <w:name w:val="Balloon Text Char"/>
    <w:basedOn w:val="DefaultParagraphFont"/>
    <w:link w:val="BalloonText"/>
    <w:rsid w:val="00CB6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D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D78"/>
    <w:rPr>
      <w:b/>
      <w:color w:val="660033"/>
      <w:spacing w:val="0"/>
    </w:rPr>
  </w:style>
  <w:style w:type="paragraph" w:customStyle="1" w:styleId="Nameditemlist">
    <w:name w:val="Named item list"/>
    <w:basedOn w:val="BodyText"/>
    <w:qFormat/>
    <w:rsid w:val="00CB6D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2458</Words>
  <Characters>14595</Characters>
  <Application>Microsoft Office Word</Application>
  <DocSecurity>0</DocSecurity>
  <Lines>504</Lines>
  <Paragraphs>197</Paragraphs>
  <ScaleCrop>false</ScaleCrop>
  <Company>Author-it Software Corporation Ltd.</Company>
  <LinksUpToDate>false</LinksUpToDate>
  <CharactersWithSpaces>16918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UEENEEN121A Repair rail signalling power and control cables</dc:title>
  <dc:subject>Approved</dc:subject>
  <dc:creator>E-OZ Training Standards</dc:creator>
  <cp:keywords>Release: 2</cp:keywords>
  <dc:description>Review Date: 12 April 2008</dc:description>
  <cp:lastModifiedBy>HSD_TPCMSd.prod</cp:lastModifiedBy>
  <cp:revision>3</cp:revision>
  <dcterms:created xsi:type="dcterms:W3CDTF">2013-08-14T07:27:00Z</dcterms:created>
  <dcterms:modified xsi:type="dcterms:W3CDTF">2013-08-14T07:27:00Z</dcterms:modified>
</cp:coreProperties>
</file>