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765" w:rsidP="008B7765">
      <w:pPr>
        <w:pStyle w:val="Title"/>
      </w:pPr>
      <w:r>
        <w:fldChar w:fldCharType="begin"/>
      </w:r>
      <w:r>
        <w:instrText xml:space="preserve"> TITLE   \* MERGEFORMAT </w:instrText>
      </w:r>
      <w:r>
        <w:fldChar w:fldCharType="separate"/>
      </w:r>
      <w:r>
        <w:t>UEENEEN112A Install and maintain vital relay interlocking systems</w:t>
      </w:r>
      <w:r>
        <w:fldChar w:fldCharType="end"/>
      </w:r>
    </w:p>
    <w:p w:rsidR="008B7765" w:rsidP="008B7765">
      <w:pPr>
        <w:pStyle w:val="Version"/>
        <w:sectPr w:rsidSect="008F2D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F2D8C" w:rsidP="008F2D8C">
      <w:pPr>
        <w:pStyle w:val="SuperHeading"/>
      </w:pPr>
      <w:r w:rsidRPr="008F2D8C">
        <w:t>UEENEEN112A Install and maintain vital relay interlocking systems</w:t>
      </w:r>
    </w:p>
    <w:p w:rsidR="00000000" w:rsidRPr="008F2D8C" w:rsidP="008F2D8C">
      <w:pPr>
        <w:pStyle w:val="Heading1"/>
      </w:pPr>
      <w:bookmarkStart w:id="1" w:name="O_585480"/>
      <w:bookmarkEnd w:id="1"/>
      <w:r w:rsidRPr="008F2D8C">
        <w:t>Modification History</w:t>
      </w:r>
    </w:p>
    <w:p w:rsidR="00000000" w:rsidRPr="008F2D8C" w:rsidP="008F2D8C">
      <w:pPr>
        <w:pStyle w:val="BodyText"/>
      </w:pPr>
      <w:r w:rsidRPr="008F2D8C">
        <w:t>Not applicable.</w:t>
      </w:r>
    </w:p>
    <w:p w:rsidR="00000000" w:rsidRPr="008F2D8C" w:rsidP="008F2D8C">
      <w:pPr>
        <w:pStyle w:val="AllowPageBreak"/>
      </w:pPr>
    </w:p>
    <w:p w:rsidR="00000000" w:rsidRPr="008F2D8C" w:rsidP="008F2D8C">
      <w:pPr>
        <w:pStyle w:val="Heading1"/>
      </w:pPr>
      <w:bookmarkStart w:id="2" w:name="O_585479"/>
      <w:bookmarkEnd w:id="2"/>
      <w:r w:rsidRPr="008F2D8C">
        <w:t>Unit Descriptor</w:t>
      </w:r>
    </w:p>
    <w:tbl>
      <w:tblPr>
        <w:tblW w:w="0" w:type="auto"/>
        <w:tblLayout w:type="fixed"/>
        <w:tblCellMar>
          <w:left w:w="62" w:type="dxa"/>
          <w:right w:w="62" w:type="dxa"/>
        </w:tblCellMar>
        <w:tblLook w:val="0000"/>
      </w:tblPr>
      <w:tblGrid>
        <w:gridCol w:w="2700"/>
        <w:gridCol w:w="5760"/>
      </w:tblGrid>
      <w:tr w:rsidTr="008B77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rPr>
                <w:rStyle w:val="SpecialBold"/>
              </w:rPr>
              <w:t>1)</w:t>
            </w:r>
            <w:r w:rsidRPr="008F2D8C">
              <w:t xml:space="preserve"> </w:t>
            </w:r>
            <w:r w:rsidRPr="008F2D8C">
              <w:rPr>
                <w:rStyle w:val="SpecialBold"/>
              </w:rPr>
              <w:t>Scope:</w:t>
            </w:r>
          </w:p>
        </w:tc>
      </w:tr>
      <w:tr w:rsidTr="008B7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F2D8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rPr>
                <w:rStyle w:val="SpecialBold"/>
              </w:rPr>
              <w:t>1.1) Descriptor</w:t>
            </w:r>
          </w:p>
        </w:tc>
      </w:tr>
      <w:tr w:rsidTr="008B7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t>This unit covers the installation and maintenance of vital relay interlocking systems in a rail network. It encompasses safe working, regulatory requirements and following installation and work procedures, performing schedules maintenance, diagnosing and r</w:t>
            </w:r>
            <w:r w:rsidRPr="008F2D8C">
              <w:t>epairing system faults, performing operational tests and reporting.</w:t>
            </w:r>
          </w:p>
        </w:tc>
      </w:tr>
    </w:tbl>
    <w:p w:rsidR="00000000" w:rsidRPr="008F2D8C" w:rsidP="008F2D8C">
      <w:pPr>
        <w:pStyle w:val="BodyText"/>
      </w:pPr>
    </w:p>
    <w:p w:rsidR="00000000" w:rsidRPr="008F2D8C" w:rsidP="008F2D8C">
      <w:pPr>
        <w:pStyle w:val="AllowPageBreak"/>
      </w:pPr>
    </w:p>
    <w:p w:rsidR="00000000" w:rsidRPr="008F2D8C" w:rsidP="008F2D8C">
      <w:pPr>
        <w:pStyle w:val="Heading1"/>
      </w:pPr>
      <w:bookmarkStart w:id="3" w:name="O_585478"/>
      <w:bookmarkEnd w:id="3"/>
      <w:r w:rsidRPr="008F2D8C">
        <w:t>Application of the Unit</w:t>
      </w:r>
    </w:p>
    <w:tbl>
      <w:tblPr>
        <w:tblW w:w="0" w:type="auto"/>
        <w:tblLayout w:type="fixed"/>
        <w:tblCellMar>
          <w:left w:w="62" w:type="dxa"/>
          <w:right w:w="62" w:type="dxa"/>
        </w:tblCellMar>
        <w:tblLook w:val="0000"/>
      </w:tblPr>
      <w:tblGrid>
        <w:gridCol w:w="2672"/>
        <w:gridCol w:w="5699"/>
      </w:tblGrid>
      <w:tr w:rsidTr="008B776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rPr>
                <w:rStyle w:val="SpecialBold"/>
              </w:rPr>
              <w:t>2)</w:t>
            </w:r>
          </w:p>
        </w:tc>
      </w:tr>
      <w:tr w:rsidTr="008B776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t>This unit shall apply</w:t>
            </w:r>
            <w:r w:rsidRPr="008F2D8C">
              <w:t xml:space="preserve"> to qualifications in installation and maintenance of rail signalling electrical power and control systems.</w:t>
            </w:r>
          </w:p>
        </w:tc>
      </w:tr>
    </w:tbl>
    <w:p w:rsidR="00000000" w:rsidRPr="008F2D8C" w:rsidP="008F2D8C">
      <w:pPr>
        <w:pStyle w:val="BodyText"/>
      </w:pPr>
    </w:p>
    <w:p w:rsidR="00000000" w:rsidRPr="008F2D8C" w:rsidP="008F2D8C">
      <w:pPr>
        <w:pStyle w:val="AllowPageBreak"/>
      </w:pPr>
    </w:p>
    <w:p w:rsidR="00000000" w:rsidRPr="008F2D8C" w:rsidP="008F2D8C">
      <w:pPr>
        <w:pStyle w:val="Heading1"/>
      </w:pPr>
      <w:bookmarkStart w:id="4" w:name="O_585477"/>
      <w:bookmarkEnd w:id="4"/>
      <w:r w:rsidRPr="008F2D8C">
        <w:t>Licensing/Regulatory Information</w:t>
      </w:r>
    </w:p>
    <w:tbl>
      <w:tblPr>
        <w:tblW w:w="0" w:type="auto"/>
        <w:tblLayout w:type="fixed"/>
        <w:tblCellMar>
          <w:left w:w="62" w:type="dxa"/>
          <w:right w:w="62" w:type="dxa"/>
        </w:tblCellMar>
        <w:tblLook w:val="0000"/>
      </w:tblPr>
      <w:tblGrid>
        <w:gridCol w:w="2700"/>
        <w:gridCol w:w="5760"/>
      </w:tblGrid>
      <w:tr w:rsidTr="008B77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rPr>
                <w:rStyle w:val="SpecialBold"/>
              </w:rPr>
              <w:t xml:space="preserve">3) </w:t>
            </w:r>
          </w:p>
        </w:tc>
      </w:tr>
      <w:tr w:rsidTr="008B7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t xml:space="preserve">The skills and knowledge described in this unit may only be practised </w:t>
            </w:r>
            <w:r w:rsidRPr="008F2D8C">
              <w:t>in the workplace under regulations related to electrical work, the codes of practice and regulations of the State/Territory in which the work is carried out. This includes codes of practice such as the ‘Code Of Practice for the Defined Interstate Rail Netw</w:t>
            </w:r>
            <w:r w:rsidRPr="008F2D8C">
              <w:t>ork’ for work carried out on that network.</w:t>
            </w:r>
          </w:p>
        </w:tc>
      </w:tr>
    </w:tbl>
    <w:p w:rsidR="00000000" w:rsidRPr="008F2D8C" w:rsidP="008F2D8C">
      <w:pPr>
        <w:pStyle w:val="BodyText"/>
      </w:pPr>
    </w:p>
    <w:p w:rsidR="00000000" w:rsidRPr="008F2D8C" w:rsidP="008F2D8C">
      <w:pPr>
        <w:pStyle w:val="AllowPageBreak"/>
      </w:pPr>
    </w:p>
    <w:p w:rsidR="00000000" w:rsidRPr="008F2D8C" w:rsidP="008F2D8C">
      <w:pPr>
        <w:pStyle w:val="Heading1"/>
      </w:pPr>
      <w:bookmarkStart w:id="5" w:name="O_585476"/>
      <w:bookmarkEnd w:id="5"/>
      <w:r w:rsidRPr="008F2D8C">
        <w:t>Pre-Requisites</w:t>
      </w:r>
    </w:p>
    <w:tbl>
      <w:tblPr>
        <w:tblW w:w="0" w:type="auto"/>
        <w:tblLayout w:type="fixed"/>
        <w:tblCellMar>
          <w:left w:w="62" w:type="dxa"/>
          <w:right w:w="62" w:type="dxa"/>
        </w:tblCellMar>
        <w:tblLook w:val="0000"/>
      </w:tblPr>
      <w:tblGrid>
        <w:gridCol w:w="2700"/>
        <w:gridCol w:w="1350"/>
        <w:gridCol w:w="4410"/>
      </w:tblGrid>
      <w:tr w:rsidTr="008B77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rPr>
                <w:rStyle w:val="SpecialBold"/>
              </w:rPr>
              <w:t xml:space="preserve">4) </w:t>
            </w:r>
          </w:p>
        </w:tc>
      </w:tr>
      <w:tr w:rsidTr="008B7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rPr>
                <w:rStyle w:val="SpecialBold"/>
              </w:rPr>
              <w:t>4.1)</w:t>
            </w:r>
          </w:p>
        </w:tc>
      </w:tr>
      <w:tr w:rsidTr="008B7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Granting competency in this unit shall be made only after competency in the following unit(s) has/have been confirmed.</w:t>
            </w:r>
          </w:p>
        </w:tc>
      </w:tr>
      <w:tr w:rsidTr="008B7765">
        <w:tblPrEx>
          <w:tblW w:w="0" w:type="auto"/>
          <w:tblLayout w:type="fixed"/>
          <w:tblCellMar>
            <w:left w:w="62" w:type="dxa"/>
            <w:right w:w="62" w:type="dxa"/>
          </w:tblCellMar>
          <w:tblLook w:val="0000"/>
        </w:tblPrEx>
        <w:trPr>
          <w:trHeight w:val="72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UEENEEN107A</w:t>
            </w:r>
          </w:p>
        </w:tc>
        <w:tc>
          <w:tcPr>
            <w:tcW w:w="441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Install and maintain active level crossing equipment</w:t>
            </w:r>
          </w:p>
        </w:tc>
      </w:tr>
      <w:tr w:rsidTr="008B7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AND</w:t>
            </w:r>
          </w:p>
        </w:tc>
        <w:tc>
          <w:tcPr>
            <w:tcW w:w="441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p>
        </w:tc>
      </w:tr>
      <w:tr w:rsidTr="008B7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UEENEEN108A</w:t>
            </w:r>
          </w:p>
        </w:tc>
        <w:tc>
          <w:tcPr>
            <w:tcW w:w="441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Install and maintain power operated point actuating devices</w:t>
            </w:r>
          </w:p>
        </w:tc>
      </w:tr>
      <w:tr w:rsidTr="008B7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AND</w:t>
            </w:r>
          </w:p>
        </w:tc>
        <w:tc>
          <w:tcPr>
            <w:tcW w:w="441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p>
        </w:tc>
      </w:tr>
      <w:tr w:rsidTr="008B7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UEENEEN111A</w:t>
            </w:r>
          </w:p>
        </w:tc>
        <w:tc>
          <w:tcPr>
            <w:tcW w:w="441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Install and maintain power operated trackside signal and train protection equipment</w:t>
            </w:r>
          </w:p>
        </w:tc>
      </w:tr>
      <w:tr w:rsidTr="008B7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AND</w:t>
            </w:r>
          </w:p>
        </w:tc>
        <w:tc>
          <w:tcPr>
            <w:tcW w:w="441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p>
        </w:tc>
      </w:tr>
      <w:tr w:rsidTr="008B7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t>Relevant work place requirements in ‘Work site protection’ have been acquired.</w:t>
            </w:r>
          </w:p>
        </w:tc>
      </w:tr>
    </w:tbl>
    <w:p w:rsidR="00000000" w:rsidRPr="008F2D8C" w:rsidP="008F2D8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B776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rPr>
                <w:rStyle w:val="SpecialBold"/>
              </w:rPr>
              <w:t xml:space="preserve">4.2) </w:t>
            </w:r>
          </w:p>
        </w:tc>
      </w:tr>
      <w:tr w:rsidTr="008B7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Participants are best equipped to achieve</w:t>
            </w:r>
            <w:r w:rsidRPr="008F2D8C">
              <w:t xml:space="preserve"> competency in this unit if they have reading, writing and numeracy skills indicated by the following scales. Description of each scale is given in Volume 2, Part 3 ‘Literacy and Numeracy’</w:t>
            </w:r>
          </w:p>
        </w:tc>
      </w:tr>
      <w:tr w:rsidTr="008B7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Reading</w:t>
            </w:r>
          </w:p>
        </w:tc>
        <w:tc>
          <w:tcPr>
            <w:tcW w:w="81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4</w:t>
            </w:r>
          </w:p>
        </w:tc>
        <w:tc>
          <w:tcPr>
            <w:tcW w:w="99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Writing</w:t>
            </w: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4</w:t>
            </w:r>
          </w:p>
        </w:tc>
        <w:tc>
          <w:tcPr>
            <w:tcW w:w="12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Numeracy</w:t>
            </w:r>
          </w:p>
        </w:tc>
        <w:tc>
          <w:tcPr>
            <w:tcW w:w="72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t>4</w:t>
            </w:r>
          </w:p>
        </w:tc>
      </w:tr>
    </w:tbl>
    <w:p w:rsidR="00000000" w:rsidRPr="008F2D8C" w:rsidP="008F2D8C">
      <w:pPr>
        <w:pStyle w:val="BodyText"/>
      </w:pPr>
    </w:p>
    <w:p w:rsidR="00000000" w:rsidRPr="008F2D8C" w:rsidP="008F2D8C">
      <w:pPr>
        <w:pStyle w:val="AllowPageBreak"/>
      </w:pPr>
    </w:p>
    <w:p w:rsidR="00000000" w:rsidRPr="008F2D8C" w:rsidP="008F2D8C">
      <w:pPr>
        <w:pStyle w:val="Heading1"/>
      </w:pPr>
      <w:bookmarkStart w:id="6" w:name="O_585475"/>
      <w:bookmarkEnd w:id="6"/>
      <w:r w:rsidRPr="008F2D8C">
        <w:t>Employability Skills Information</w:t>
      </w:r>
    </w:p>
    <w:tbl>
      <w:tblPr>
        <w:tblW w:w="0" w:type="auto"/>
        <w:tblLayout w:type="fixed"/>
        <w:tblCellMar>
          <w:left w:w="62" w:type="dxa"/>
          <w:right w:w="62" w:type="dxa"/>
        </w:tblCellMar>
        <w:tblLook w:val="0000"/>
      </w:tblPr>
      <w:tblGrid>
        <w:gridCol w:w="2700"/>
        <w:gridCol w:w="5760"/>
      </w:tblGrid>
      <w:tr w:rsidTr="008B77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rPr>
                <w:rStyle w:val="SpecialBold"/>
              </w:rPr>
              <w:t xml:space="preserve">5) </w:t>
            </w:r>
          </w:p>
        </w:tc>
      </w:tr>
      <w:tr w:rsidTr="008B7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t>This unit contains Employability Skills</w:t>
            </w:r>
          </w:p>
          <w:p w:rsidR="00000000" w:rsidRPr="008F2D8C" w:rsidP="008F2D8C">
            <w:pPr>
              <w:pStyle w:val="BodyText"/>
            </w:pPr>
            <w:r w:rsidRPr="008F2D8C">
              <w:t xml:space="preserve">The required outcomes described in this </w:t>
            </w:r>
            <w:r w:rsidRPr="008F2D8C">
              <w:t>unit of competency contain applicable facets of Employability Skills. The Employability Skills Summary of the qualification in which this unit of competency is packaged will assist in identifying Employability Skill requirements.</w:t>
            </w:r>
          </w:p>
        </w:tc>
      </w:tr>
    </w:tbl>
    <w:p w:rsidR="00000000" w:rsidRPr="008F2D8C" w:rsidP="008F2D8C">
      <w:pPr>
        <w:pStyle w:val="BodyText"/>
      </w:pPr>
    </w:p>
    <w:p w:rsidR="00000000" w:rsidRPr="008F2D8C" w:rsidP="008F2D8C">
      <w:pPr>
        <w:pStyle w:val="AllowPageBreak"/>
      </w:pPr>
    </w:p>
    <w:p w:rsidR="00000000" w:rsidRPr="008F2D8C" w:rsidP="008F2D8C">
      <w:pPr>
        <w:pStyle w:val="Heading1"/>
      </w:pPr>
      <w:bookmarkStart w:id="7" w:name="O_585474"/>
      <w:bookmarkEnd w:id="7"/>
      <w:r w:rsidRPr="008F2D8C">
        <w:t>Element</w:t>
      </w:r>
      <w:r w:rsidRPr="008F2D8C">
        <w:t>s and Performance Criteria Pre-Content</w:t>
      </w:r>
    </w:p>
    <w:tbl>
      <w:tblPr>
        <w:tblW w:w="0" w:type="auto"/>
        <w:tblLayout w:type="fixed"/>
        <w:tblCellMar>
          <w:left w:w="62" w:type="dxa"/>
          <w:right w:w="62" w:type="dxa"/>
        </w:tblCellMar>
        <w:tblLook w:val="0000"/>
      </w:tblPr>
      <w:tblGrid>
        <w:gridCol w:w="2700"/>
        <w:gridCol w:w="5760"/>
      </w:tblGrid>
      <w:tr w:rsidTr="008B7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rPr>
                <w:rStyle w:val="SpecialBold"/>
              </w:rPr>
              <w:t>6)</w:t>
            </w:r>
            <w:r w:rsidRPr="008F2D8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t>Performance Criteria describe the required performance needed to demonstrate achievement of the element. Assessment of performance is to be con</w:t>
            </w:r>
            <w:r w:rsidRPr="008F2D8C">
              <w:t>sistent with the Evidence Guide.</w:t>
            </w:r>
          </w:p>
        </w:tc>
      </w:tr>
    </w:tbl>
    <w:p w:rsidR="00000000" w:rsidRPr="008F2D8C" w:rsidP="008F2D8C">
      <w:pPr>
        <w:pStyle w:val="BodyText"/>
      </w:pPr>
    </w:p>
    <w:p w:rsidR="00000000" w:rsidRPr="008F2D8C" w:rsidP="008F2D8C">
      <w:pPr>
        <w:pStyle w:val="AllowPageBreak"/>
      </w:pPr>
    </w:p>
    <w:p w:rsidR="00000000" w:rsidRPr="008F2D8C" w:rsidP="008F2D8C">
      <w:pPr>
        <w:pStyle w:val="Heading1"/>
      </w:pPr>
      <w:bookmarkStart w:id="8" w:name="O_585473"/>
      <w:bookmarkEnd w:id="8"/>
      <w:r w:rsidRPr="008F2D8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B776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rPr>
                <w:rStyle w:val="SpecialBold"/>
              </w:rPr>
              <w:t>PERFORMANCE CRITERIA</w:t>
            </w:r>
          </w:p>
        </w:tc>
      </w:tr>
      <w:tr w:rsidTr="008B7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1</w:t>
            </w:r>
          </w:p>
        </w:tc>
        <w:tc>
          <w:tcPr>
            <w:tcW w:w="2296"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Prepare to install and maintain vital relay interlocking systems</w:t>
            </w: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1.1</w:t>
            </w:r>
          </w:p>
        </w:tc>
        <w:tc>
          <w:tcPr>
            <w:tcW w:w="48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 xml:space="preserve">OHS procedures for a given work area are identified, obtained and understood. </w:t>
            </w:r>
          </w:p>
        </w:tc>
      </w:tr>
      <w:tr w:rsidTr="008B7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1.2</w:t>
            </w:r>
          </w:p>
        </w:tc>
        <w:tc>
          <w:tcPr>
            <w:tcW w:w="48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Established OHS risk control measures and procedures are followed in preparation for the work.</w:t>
            </w:r>
          </w:p>
        </w:tc>
      </w:tr>
      <w:tr w:rsidTr="008B7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1.3</w:t>
            </w:r>
          </w:p>
        </w:tc>
        <w:tc>
          <w:tcPr>
            <w:tcW w:w="48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The extent of installation and/or maintenance work is determined from job specifications, drawings and regulatory requirements</w:t>
            </w:r>
          </w:p>
        </w:tc>
      </w:tr>
      <w:tr w:rsidTr="008B7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1.4</w:t>
            </w:r>
          </w:p>
        </w:tc>
        <w:tc>
          <w:tcPr>
            <w:tcW w:w="48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Appropriate personnel are consulted to ensure the work is coordinated effectively with others to minimise traffic disrupti</w:t>
            </w:r>
            <w:r w:rsidRPr="008F2D8C">
              <w:t>ons.</w:t>
            </w:r>
          </w:p>
        </w:tc>
      </w:tr>
      <w:tr w:rsidTr="008B7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1.5</w:t>
            </w:r>
          </w:p>
        </w:tc>
        <w:tc>
          <w:tcPr>
            <w:tcW w:w="48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Materials needed installation and/or maintenance work are obtained in accordance with established procedures and checked against job requirements</w:t>
            </w:r>
          </w:p>
        </w:tc>
      </w:tr>
      <w:tr w:rsidTr="008B7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1.6</w:t>
            </w:r>
          </w:p>
        </w:tc>
        <w:tc>
          <w:tcPr>
            <w:tcW w:w="48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Tools, equipment and testing devices needed for installation and/or maintenance work are ob</w:t>
            </w:r>
            <w:r w:rsidRPr="008F2D8C">
              <w:t>tained in accordance with established procedures and checked for correct operation and safety.</w:t>
            </w:r>
          </w:p>
        </w:tc>
      </w:tr>
      <w:tr w:rsidTr="008B7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2</w:t>
            </w:r>
          </w:p>
        </w:tc>
        <w:tc>
          <w:tcPr>
            <w:tcW w:w="2296"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Install and  maintain vital relay interlocking systems</w:t>
            </w: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2.1</w:t>
            </w:r>
          </w:p>
        </w:tc>
        <w:tc>
          <w:tcPr>
            <w:tcW w:w="48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OHS risk control measures and procedures for carrying out the work are followed.</w:t>
            </w:r>
          </w:p>
        </w:tc>
      </w:tr>
      <w:tr w:rsidTr="008B7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2.2</w:t>
            </w:r>
          </w:p>
        </w:tc>
        <w:tc>
          <w:tcPr>
            <w:tcW w:w="48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Visual inspection or installation wiring and equipment is carried out to identify damaged or faulty equipment.</w:t>
            </w:r>
          </w:p>
        </w:tc>
      </w:tr>
      <w:tr w:rsidTr="008B7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2.3</w:t>
            </w:r>
          </w:p>
        </w:tc>
        <w:tc>
          <w:tcPr>
            <w:tcW w:w="48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Damaged or faulty components identified from visual inspection are replaced as per technical instructions, manufacturer specifications and</w:t>
            </w:r>
            <w:r w:rsidRPr="008F2D8C">
              <w:t xml:space="preserve"> maintenance procedures.</w:t>
            </w:r>
          </w:p>
        </w:tc>
      </w:tr>
      <w:tr w:rsidTr="008B7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2.4</w:t>
            </w:r>
          </w:p>
        </w:tc>
        <w:tc>
          <w:tcPr>
            <w:tcW w:w="48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Installation and maintenance is performed efficiently without waste of materials or damage to apparatus and the surrounding environment or services and using sustainable energy practices.</w:t>
            </w:r>
          </w:p>
        </w:tc>
      </w:tr>
      <w:tr w:rsidTr="008B7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2.5</w:t>
            </w:r>
          </w:p>
        </w:tc>
        <w:tc>
          <w:tcPr>
            <w:tcW w:w="48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OHS risk control measures and procedures for carrying out the work are followed.</w:t>
            </w:r>
          </w:p>
        </w:tc>
      </w:tr>
      <w:tr w:rsidTr="008B7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2.6</w:t>
            </w:r>
          </w:p>
        </w:tc>
        <w:tc>
          <w:tcPr>
            <w:tcW w:w="48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Systems are investigated using appropriate fault finding and diagnostic techniques to identify faults.</w:t>
            </w:r>
          </w:p>
        </w:tc>
      </w:tr>
      <w:tr w:rsidTr="008B7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2.7</w:t>
            </w:r>
          </w:p>
        </w:tc>
        <w:tc>
          <w:tcPr>
            <w:tcW w:w="48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Fault indicators and maintenance records are used to assis</w:t>
            </w:r>
            <w:r w:rsidRPr="008F2D8C">
              <w:t>t in the identification of faults</w:t>
            </w:r>
          </w:p>
        </w:tc>
      </w:tr>
      <w:tr w:rsidTr="008B7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2.8</w:t>
            </w:r>
          </w:p>
        </w:tc>
        <w:tc>
          <w:tcPr>
            <w:tcW w:w="48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Repairs, replacement and/or adjustment of equipment/systems are carried out using appropriate tools and test equipment to ensure equipment/systems function to required technical and operational standards.</w:t>
            </w:r>
          </w:p>
        </w:tc>
      </w:tr>
      <w:tr w:rsidTr="008B7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2.9</w:t>
            </w:r>
          </w:p>
        </w:tc>
        <w:tc>
          <w:tcPr>
            <w:tcW w:w="48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Faulty, worn, damaged or insecure components are repaired, replaced or secured whilst ensuring system safety integrity is maintained and technical / manufacturers requirements are met.</w:t>
            </w:r>
          </w:p>
        </w:tc>
      </w:tr>
      <w:tr w:rsidTr="008B7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2.10</w:t>
            </w:r>
          </w:p>
        </w:tc>
        <w:tc>
          <w:tcPr>
            <w:tcW w:w="48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 xml:space="preserve">Methods for dealing with unexpected situations are selected on </w:t>
            </w:r>
            <w:r w:rsidRPr="008F2D8C">
              <w:t>the basis of safety and specified work outcomes.</w:t>
            </w:r>
          </w:p>
        </w:tc>
      </w:tr>
      <w:tr w:rsidTr="008B7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2.11</w:t>
            </w:r>
          </w:p>
        </w:tc>
        <w:tc>
          <w:tcPr>
            <w:tcW w:w="48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The system is tested using approved test procedures and equipment to ensure it operates within specified technical parameters.</w:t>
            </w:r>
          </w:p>
        </w:tc>
      </w:tr>
      <w:tr w:rsidTr="008B7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3</w:t>
            </w:r>
          </w:p>
        </w:tc>
        <w:tc>
          <w:tcPr>
            <w:tcW w:w="2296"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Complete the installation and  maintenance of vital relay interlockin</w:t>
            </w:r>
            <w:r w:rsidRPr="008F2D8C">
              <w:t>g systems</w:t>
            </w: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3.1</w:t>
            </w:r>
          </w:p>
        </w:tc>
        <w:tc>
          <w:tcPr>
            <w:tcW w:w="48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OHS work completion risk control measures and procedures are followed.</w:t>
            </w:r>
          </w:p>
        </w:tc>
      </w:tr>
      <w:tr w:rsidTr="008B7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3.2</w:t>
            </w:r>
          </w:p>
        </w:tc>
        <w:tc>
          <w:tcPr>
            <w:tcW w:w="48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Reusable, faulty, worn components are tagged and dispatched for repair to maintain adequate spares.</w:t>
            </w:r>
          </w:p>
        </w:tc>
      </w:tr>
      <w:tr w:rsidTr="008B7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3.3</w:t>
            </w:r>
          </w:p>
        </w:tc>
        <w:tc>
          <w:tcPr>
            <w:tcW w:w="48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Maintenance work activities are recorded as per organisation requirements to provide accurate records</w:t>
            </w:r>
          </w:p>
        </w:tc>
      </w:tr>
      <w:tr w:rsidTr="008B7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t>3.4</w:t>
            </w:r>
          </w:p>
        </w:tc>
        <w:tc>
          <w:tcPr>
            <w:tcW w:w="486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t>Documentation including component faults, test results, authorisations and permits is completed to provide an accurate database and facilitate foll</w:t>
            </w:r>
            <w:r w:rsidRPr="008F2D8C">
              <w:t>ow up action, and relevant reports produced.</w:t>
            </w:r>
          </w:p>
        </w:tc>
      </w:tr>
    </w:tbl>
    <w:p w:rsidR="00000000" w:rsidRPr="008F2D8C" w:rsidP="008F2D8C">
      <w:pPr>
        <w:pStyle w:val="BodyText"/>
      </w:pPr>
    </w:p>
    <w:p w:rsidR="00000000" w:rsidRPr="008F2D8C" w:rsidP="008F2D8C">
      <w:pPr>
        <w:pStyle w:val="AllowPageBreak"/>
      </w:pPr>
    </w:p>
    <w:p w:rsidR="00000000" w:rsidRPr="008F2D8C" w:rsidP="008F2D8C">
      <w:pPr>
        <w:pStyle w:val="Heading1"/>
      </w:pPr>
      <w:bookmarkStart w:id="9" w:name="O_585472"/>
      <w:bookmarkEnd w:id="9"/>
      <w:r w:rsidRPr="008F2D8C">
        <w:t>Required Skills and Knowledge</w:t>
      </w:r>
    </w:p>
    <w:tbl>
      <w:tblPr>
        <w:tblW w:w="0" w:type="auto"/>
        <w:tblLayout w:type="fixed"/>
        <w:tblCellMar>
          <w:left w:w="62" w:type="dxa"/>
          <w:right w:w="62" w:type="dxa"/>
        </w:tblCellMar>
        <w:tblLook w:val="0000"/>
      </w:tblPr>
      <w:tblGrid>
        <w:gridCol w:w="8460"/>
      </w:tblGrid>
      <w:tr w:rsidTr="008B77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rPr>
                <w:rStyle w:val="SpecialBold"/>
              </w:rPr>
              <w:t>REQUIRED SKILLS AND KNOWLEDGE</w:t>
            </w:r>
          </w:p>
        </w:tc>
      </w:tr>
      <w:tr w:rsidTr="008B776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rPr>
                <w:rStyle w:val="SpecialBold"/>
              </w:rPr>
              <w:t>8)</w:t>
            </w:r>
            <w:r w:rsidRPr="008F2D8C">
              <w:t xml:space="preserve">  This describes the essential skills and knowledge and their level, required for this unit.</w:t>
            </w:r>
          </w:p>
          <w:p w:rsidR="00000000" w:rsidRPr="008F2D8C" w:rsidP="008F2D8C">
            <w:pPr>
              <w:pStyle w:val="BodyText"/>
            </w:pPr>
            <w:r w:rsidRPr="008F2D8C">
              <w:t>Evidence shall show that knowledge has been acquired of safe working practices and maintaining vital relay interlocking systems.</w:t>
            </w:r>
          </w:p>
          <w:p w:rsidR="00000000" w:rsidRPr="008F2D8C" w:rsidP="008F2D8C">
            <w:pPr>
              <w:pStyle w:val="BodyText"/>
            </w:pPr>
            <w:r w:rsidRPr="008F2D8C">
              <w:t>All knowledge and skills detailed in this unit should be contextualised to current industry practices and technologies.</w:t>
            </w:r>
          </w:p>
          <w:p w:rsidR="00000000" w:rsidRPr="008F2D8C" w:rsidP="008F2D8C">
            <w:pPr>
              <w:pStyle w:val="BodyText"/>
            </w:pPr>
            <w:r w:rsidRPr="008F2D8C">
              <w:rPr>
                <w:rStyle w:val="SpecialBold"/>
              </w:rPr>
              <w:t>KS01-EN</w:t>
            </w:r>
            <w:r w:rsidRPr="008F2D8C">
              <w:rPr>
                <w:rStyle w:val="SpecialBold"/>
              </w:rPr>
              <w:t>112A                       Vital relay interlocking systems installation and maintenance</w:t>
            </w:r>
          </w:p>
          <w:p w:rsidR="00000000" w:rsidRPr="008F2D8C" w:rsidP="008F2D8C">
            <w:pPr>
              <w:pStyle w:val="BodyText"/>
            </w:pPr>
            <w:r w:rsidRPr="008F2D8C">
              <w:t>Rail signalling, interlocking systems, electrical</w:t>
            </w:r>
          </w:p>
          <w:p w:rsidR="00000000" w:rsidRPr="008F2D8C" w:rsidP="008F2D8C">
            <w:pPr>
              <w:pStyle w:val="BodyText"/>
            </w:pPr>
            <w:r w:rsidRPr="008F2D8C">
              <w:t>Equipment and their components encompassing:</w:t>
            </w:r>
          </w:p>
          <w:p w:rsidR="00000000" w:rsidRPr="008F2D8C" w:rsidP="008F2D8C">
            <w:pPr>
              <w:pStyle w:val="BodyText"/>
            </w:pPr>
            <w:r w:rsidRPr="008F2D8C">
              <w:t>Power supplies</w:t>
            </w:r>
          </w:p>
          <w:p w:rsidR="00000000" w:rsidRPr="008F2D8C" w:rsidP="008F2D8C">
            <w:pPr>
              <w:pStyle w:val="BodyText"/>
            </w:pPr>
            <w:r w:rsidRPr="008F2D8C">
              <w:t>Relays, timer</w:t>
            </w:r>
          </w:p>
          <w:p w:rsidR="00000000" w:rsidRPr="008F2D8C" w:rsidP="008F2D8C">
            <w:pPr>
              <w:pStyle w:val="BodyText"/>
            </w:pPr>
            <w:r w:rsidRPr="008F2D8C">
              <w:t>Relays, latching/delatching</w:t>
            </w:r>
          </w:p>
          <w:p w:rsidR="00000000" w:rsidRPr="008F2D8C" w:rsidP="008F2D8C">
            <w:pPr>
              <w:pStyle w:val="BodyText"/>
            </w:pPr>
            <w:r w:rsidRPr="008F2D8C">
              <w:t>Relays, line</w:t>
            </w:r>
          </w:p>
          <w:p w:rsidR="00000000" w:rsidRPr="008F2D8C" w:rsidP="008F2D8C">
            <w:pPr>
              <w:pStyle w:val="BodyText"/>
            </w:pPr>
            <w:r w:rsidRPr="008F2D8C">
              <w:t>Re</w:t>
            </w:r>
            <w:r w:rsidRPr="008F2D8C">
              <w:t>lays, biased</w:t>
            </w:r>
          </w:p>
          <w:p w:rsidR="00000000" w:rsidRPr="008F2D8C" w:rsidP="008F2D8C">
            <w:pPr>
              <w:pStyle w:val="BodyText"/>
            </w:pPr>
            <w:r w:rsidRPr="008F2D8C">
              <w:t>Signaller controls/indications</w:t>
            </w:r>
          </w:p>
          <w:p w:rsidR="00000000" w:rsidRPr="008F2D8C" w:rsidP="008F2D8C">
            <w:pPr>
              <w:pStyle w:val="BodyText"/>
            </w:pPr>
            <w:r w:rsidRPr="008F2D8C">
              <w:t>Geographic modules</w:t>
            </w:r>
          </w:p>
          <w:p w:rsidR="00000000" w:rsidRPr="008F2D8C" w:rsidP="008F2D8C">
            <w:pPr>
              <w:pStyle w:val="BodyText"/>
            </w:pPr>
            <w:r w:rsidRPr="008F2D8C">
              <w:t>Mechanical interface.</w:t>
            </w:r>
          </w:p>
          <w:p w:rsidR="00000000" w:rsidRPr="008F2D8C" w:rsidP="008F2D8C">
            <w:pPr>
              <w:pStyle w:val="BodyText"/>
            </w:pPr>
          </w:p>
          <w:p w:rsidR="00000000" w:rsidRPr="008F2D8C" w:rsidP="008F2D8C">
            <w:pPr>
              <w:pStyle w:val="BodyText"/>
            </w:pPr>
            <w:r w:rsidRPr="008F2D8C">
              <w:t>Operating principles and parameters encompassing:</w:t>
            </w:r>
          </w:p>
          <w:p w:rsidR="00000000" w:rsidRPr="008F2D8C" w:rsidP="008F2D8C">
            <w:pPr>
              <w:pStyle w:val="BodyText"/>
            </w:pPr>
            <w:r w:rsidRPr="008F2D8C">
              <w:t>Normal mode operation</w:t>
            </w:r>
          </w:p>
          <w:p w:rsidR="00000000" w:rsidRPr="008F2D8C" w:rsidP="008F2D8C">
            <w:pPr>
              <w:pStyle w:val="BodyText"/>
            </w:pPr>
            <w:r w:rsidRPr="008F2D8C">
              <w:t>Route selection circuits</w:t>
            </w:r>
          </w:p>
          <w:p w:rsidR="00000000" w:rsidRPr="008F2D8C" w:rsidP="008F2D8C">
            <w:pPr>
              <w:pStyle w:val="BodyText"/>
            </w:pPr>
            <w:r w:rsidRPr="008F2D8C">
              <w:t>Signal approach circuits and timers</w:t>
            </w:r>
          </w:p>
          <w:p w:rsidR="00000000" w:rsidRPr="008F2D8C" w:rsidP="008F2D8C">
            <w:pPr>
              <w:pStyle w:val="BodyText"/>
            </w:pPr>
            <w:r w:rsidRPr="008F2D8C">
              <w:t>Point release circuits and timers</w:t>
            </w:r>
          </w:p>
          <w:p w:rsidR="00000000" w:rsidRPr="008F2D8C" w:rsidP="008F2D8C">
            <w:pPr>
              <w:pStyle w:val="BodyText"/>
            </w:pPr>
            <w:r w:rsidRPr="008F2D8C">
              <w:t>Pan</w:t>
            </w:r>
            <w:r w:rsidRPr="008F2D8C">
              <w:t>el indications and circuits</w:t>
            </w:r>
          </w:p>
          <w:p w:rsidR="00000000" w:rsidRPr="008F2D8C" w:rsidP="008F2D8C">
            <w:pPr>
              <w:pStyle w:val="BodyText"/>
            </w:pPr>
            <w:r w:rsidRPr="008F2D8C">
              <w:t>Wrong side protection mode</w:t>
            </w:r>
          </w:p>
          <w:p w:rsidR="00000000" w:rsidRPr="008F2D8C" w:rsidP="008F2D8C">
            <w:pPr>
              <w:pStyle w:val="BodyText"/>
            </w:pPr>
            <w:r w:rsidRPr="008F2D8C">
              <w:t>Alarm mode</w:t>
            </w:r>
          </w:p>
          <w:p w:rsidR="00000000" w:rsidRPr="008F2D8C" w:rsidP="008F2D8C">
            <w:pPr>
              <w:pStyle w:val="BodyText"/>
            </w:pPr>
            <w:r w:rsidRPr="008F2D8C">
              <w:t>Emergency operation</w:t>
            </w:r>
          </w:p>
          <w:p w:rsidR="00000000" w:rsidRPr="008F2D8C" w:rsidP="008F2D8C">
            <w:pPr>
              <w:pStyle w:val="BodyText"/>
            </w:pPr>
            <w:r w:rsidRPr="008F2D8C">
              <w:t>Correct operation in accordance with control and locking tables.</w:t>
            </w:r>
          </w:p>
          <w:p w:rsidR="00000000" w:rsidRPr="008F2D8C" w:rsidP="008F2D8C">
            <w:pPr>
              <w:pStyle w:val="BodyText"/>
            </w:pPr>
          </w:p>
          <w:p w:rsidR="00000000" w:rsidRPr="008F2D8C" w:rsidP="008F2D8C">
            <w:pPr>
              <w:pStyle w:val="BodyText"/>
            </w:pPr>
            <w:r w:rsidRPr="008F2D8C">
              <w:t>Servicing procedures encompassing:</w:t>
            </w:r>
          </w:p>
          <w:p w:rsidR="00000000" w:rsidRPr="008F2D8C" w:rsidP="008F2D8C">
            <w:pPr>
              <w:pStyle w:val="BodyText"/>
            </w:pPr>
            <w:r w:rsidRPr="008F2D8C">
              <w:t>Maintenance documentation</w:t>
            </w:r>
          </w:p>
          <w:p w:rsidR="00000000" w:rsidRPr="008F2D8C" w:rsidP="008F2D8C">
            <w:pPr>
              <w:pStyle w:val="BodyText"/>
            </w:pPr>
            <w:r w:rsidRPr="008F2D8C">
              <w:t>Coordination/planning sequence</w:t>
            </w:r>
          </w:p>
          <w:p w:rsidR="00000000" w:rsidRPr="008F2D8C" w:rsidP="008F2D8C">
            <w:pPr>
              <w:pStyle w:val="BodyText"/>
            </w:pPr>
            <w:r w:rsidRPr="008F2D8C">
              <w:t>Operational test procedures</w:t>
            </w:r>
          </w:p>
          <w:p w:rsidR="00000000" w:rsidRPr="008F2D8C" w:rsidP="008F2D8C">
            <w:pPr>
              <w:pStyle w:val="BodyText"/>
            </w:pPr>
            <w:r w:rsidRPr="008F2D8C">
              <w:t>Scheduled/preventative maintenance</w:t>
            </w:r>
          </w:p>
          <w:p w:rsidR="00000000" w:rsidRPr="008F2D8C" w:rsidP="008F2D8C">
            <w:pPr>
              <w:pStyle w:val="BodyText"/>
            </w:pPr>
            <w:r w:rsidRPr="008F2D8C">
              <w:t>Unscheduled/corrective maintenance</w:t>
            </w:r>
          </w:p>
          <w:p w:rsidR="00000000" w:rsidRPr="008F2D8C" w:rsidP="008F2D8C">
            <w:pPr>
              <w:pStyle w:val="BodyText"/>
            </w:pPr>
            <w:r w:rsidRPr="008F2D8C">
              <w:t>Certifying interlocking equipment (commission and de-commission).</w:t>
            </w:r>
          </w:p>
          <w:p w:rsidR="00000000" w:rsidRPr="008F2D8C" w:rsidP="008F2D8C">
            <w:pPr>
              <w:pStyle w:val="BodyText"/>
            </w:pPr>
            <w:r w:rsidRPr="008F2D8C">
              <w:t>Note:</w:t>
            </w:r>
          </w:p>
          <w:p w:rsidR="00000000" w:rsidRPr="008F2D8C" w:rsidP="008F2D8C">
            <w:pPr>
              <w:pStyle w:val="BodyText"/>
            </w:pPr>
            <w:r w:rsidRPr="008F2D8C">
              <w:t>Certifying procedures are only applicable for compliance with rail operator and/or ent</w:t>
            </w:r>
            <w:r w:rsidRPr="008F2D8C">
              <w:t>erprise standards.</w:t>
            </w:r>
          </w:p>
        </w:tc>
      </w:tr>
    </w:tbl>
    <w:p w:rsidR="00000000" w:rsidRPr="008F2D8C" w:rsidP="008F2D8C">
      <w:pPr>
        <w:pStyle w:val="BodyText"/>
      </w:pPr>
    </w:p>
    <w:p w:rsidR="00000000" w:rsidRPr="008F2D8C" w:rsidP="008F2D8C">
      <w:pPr>
        <w:pStyle w:val="AllowPageBreak"/>
      </w:pPr>
    </w:p>
    <w:p w:rsidR="00000000" w:rsidRPr="008F2D8C" w:rsidP="008F2D8C">
      <w:pPr>
        <w:pStyle w:val="Heading1"/>
      </w:pPr>
      <w:bookmarkStart w:id="10" w:name="O_585471"/>
      <w:bookmarkEnd w:id="10"/>
      <w:r w:rsidRPr="008F2D8C">
        <w:t>Evidence Guide</w:t>
      </w:r>
    </w:p>
    <w:tbl>
      <w:tblPr>
        <w:tblW w:w="0" w:type="auto"/>
        <w:tblLayout w:type="fixed"/>
        <w:tblCellMar>
          <w:left w:w="62" w:type="dxa"/>
          <w:right w:w="62" w:type="dxa"/>
        </w:tblCellMar>
        <w:tblLook w:val="0000"/>
      </w:tblPr>
      <w:tblGrid>
        <w:gridCol w:w="8460"/>
      </w:tblGrid>
      <w:tr w:rsidTr="008B77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rPr>
                <w:rStyle w:val="SpecialBold"/>
              </w:rPr>
              <w:t>EVIDENCE GUIDE</w:t>
            </w:r>
          </w:p>
        </w:tc>
      </w:tr>
      <w:tr w:rsidTr="008B776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rPr>
                <w:rStyle w:val="SpecialBold"/>
              </w:rPr>
              <w:t>9)</w:t>
            </w:r>
            <w:r w:rsidRPr="008F2D8C">
              <w:t xml:space="preserve">  The evidence guide provides advice on assessment and must be read in conjunction with the Performance </w:t>
            </w:r>
            <w:r w:rsidRPr="008F2D8C">
              <w:t>Criteria, Required Skills and Knowledge, the Range Statement and the Assessment Guidelines for this Training Package.</w:t>
            </w:r>
          </w:p>
          <w:p w:rsidR="00000000" w:rsidRPr="008F2D8C" w:rsidP="008F2D8C">
            <w:pPr>
              <w:pStyle w:val="BodyText"/>
            </w:pPr>
            <w:r w:rsidRPr="008F2D8C">
              <w:t>The Evidence Guide forms an integral part of this unit. It must be used in conjunction with all components parts of this unit and performe</w:t>
            </w:r>
            <w:r w:rsidRPr="008F2D8C">
              <w:t>d in accordance with the Assessment Guidelines of this Training Package.</w:t>
            </w:r>
          </w:p>
        </w:tc>
      </w:tr>
    </w:tbl>
    <w:p w:rsidR="00000000" w:rsidRPr="008F2D8C" w:rsidP="008F2D8C">
      <w:pPr>
        <w:pStyle w:val="BodyText"/>
      </w:pPr>
    </w:p>
    <w:tbl>
      <w:tblPr>
        <w:tblW w:w="0" w:type="auto"/>
        <w:tblLayout w:type="fixed"/>
        <w:tblCellMar>
          <w:left w:w="62" w:type="dxa"/>
          <w:right w:w="62" w:type="dxa"/>
        </w:tblCellMar>
        <w:tblLook w:val="0000"/>
      </w:tblPr>
      <w:tblGrid>
        <w:gridCol w:w="1890"/>
        <w:gridCol w:w="6570"/>
      </w:tblGrid>
      <w:tr w:rsidTr="008B7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rPr>
                <w:rStyle w:val="SpecialBold"/>
              </w:rPr>
              <w:t>9.1)</w:t>
            </w:r>
          </w:p>
        </w:tc>
      </w:tr>
      <w:tr w:rsidTr="008B7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t>Longitudinal competency development approaches to assessment, such as Profiling, require data to be reliably gathered in a form that can be consistentl</w:t>
            </w:r>
            <w:r w:rsidRPr="008F2D8C">
              <w:t>y interpreted over time. This approach is best utilised in Apprenticeship programs and reduces assessment intervention. It is the industry-preferred model for apprenticeships. However, where summative (or final) assessment is used it must include the appli</w:t>
            </w:r>
            <w:r w:rsidRPr="008F2D8C">
              <w:t>cation of the competency in the normal work environment or, at a minimum, the application of the competency in a realistically simulated work environment. In some circumstances, assessment in part or full can occur outside the workplace. However, it must b</w:t>
            </w:r>
            <w:r w:rsidRPr="008F2D8C">
              <w:t>e in accordance with industry and regulatory policy.</w:t>
            </w:r>
          </w:p>
          <w:p w:rsidR="00000000" w:rsidRPr="008F2D8C" w:rsidP="008F2D8C">
            <w:pPr>
              <w:pStyle w:val="BodyText"/>
            </w:pPr>
            <w:r w:rsidRPr="008F2D8C">
              <w:t>Methods chosen for a particular assessment will be influenced by various factors. These include the extent of the assessment, the most effective locations for the assessment activities to take place, acc</w:t>
            </w:r>
            <w:r w:rsidRPr="008F2D8C">
              <w:t>ess to physical resources, additional safety measures that may be required and the critical nature of the competencies being assessed.</w:t>
            </w:r>
          </w:p>
          <w:p w:rsidR="00000000" w:rsidRPr="008F2D8C" w:rsidP="008F2D8C">
            <w:pPr>
              <w:pStyle w:val="BodyText"/>
            </w:pPr>
            <w:r w:rsidRPr="008F2D8C">
              <w:t>The critical safety issues inherent in working with electricity, electrical equipment, gas or any other hazardous substan</w:t>
            </w:r>
            <w:r w:rsidRPr="008F2D8C">
              <w:t>ce/material present a challenge for those determining competence. Sources of evidence need to be ‘rich’ in nature to minimise error in judgment.</w:t>
            </w:r>
          </w:p>
          <w:p w:rsidR="00000000" w:rsidRPr="008F2D8C" w:rsidP="008F2D8C">
            <w:pPr>
              <w:pStyle w:val="BodyText"/>
            </w:pPr>
            <w:r w:rsidRPr="008F2D8C">
              <w:t>Activities associated with normal everyday work influence decisions about how/how much the data gathered will contribute to its ‘richness’. Some skills are more critical to safety and operational requirements while the same skills may be more or less frequ</w:t>
            </w:r>
            <w:r w:rsidRPr="008F2D8C">
              <w:t>ently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8F2D8C" w:rsidP="008F2D8C">
      <w:pPr>
        <w:pStyle w:val="BodyText"/>
      </w:pPr>
    </w:p>
    <w:tbl>
      <w:tblPr>
        <w:tblW w:w="0" w:type="auto"/>
        <w:tblLayout w:type="fixed"/>
        <w:tblCellMar>
          <w:left w:w="62" w:type="dxa"/>
          <w:right w:w="62" w:type="dxa"/>
        </w:tblCellMar>
        <w:tblLook w:val="0000"/>
      </w:tblPr>
      <w:tblGrid>
        <w:gridCol w:w="1890"/>
        <w:gridCol w:w="6570"/>
      </w:tblGrid>
      <w:tr w:rsidTr="008B7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rPr>
                <w:rStyle w:val="SpecialBold"/>
              </w:rPr>
              <w:t>9.2)</w:t>
            </w:r>
          </w:p>
        </w:tc>
      </w:tr>
      <w:tr w:rsidTr="008B7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t>Before the critical aspects of evidence are considered all prerequisites must be met.</w:t>
            </w:r>
          </w:p>
          <w:p w:rsidR="00000000" w:rsidRPr="008F2D8C" w:rsidP="008F2D8C">
            <w:pPr>
              <w:pStyle w:val="BodyText"/>
            </w:pPr>
            <w:r w:rsidRPr="008F2D8C">
              <w:t>Evidence for competence in this unit shall be considered holistically.  Each Elemen</w:t>
            </w:r>
            <w:r w:rsidRPr="008F2D8C">
              <w:t>t and associated performance criteria shall be demonstrated on at least two occasions in accordance with the ‘Assessment Guidelines – UEE11’.  Evidence shall also comprise:</w:t>
            </w:r>
          </w:p>
          <w:p w:rsidR="00000000" w:rsidRPr="008F2D8C" w:rsidP="008F2D8C">
            <w:pPr>
              <w:pStyle w:val="ListBullet"/>
            </w:pPr>
            <w:r w:rsidRPr="008F2D8C">
              <w:t>A representative body of work performance demonstrated within the timeframes typic</w:t>
            </w:r>
            <w:r w:rsidRPr="008F2D8C">
              <w:t>ally expected of the discipline, work function and industrial environment. In particular this shall incorporate evidence that shows a candidate is able to:</w:t>
            </w:r>
          </w:p>
          <w:p w:rsidR="00000000" w:rsidRPr="008F2D8C" w:rsidP="008F2D8C">
            <w:pPr>
              <w:pStyle w:val="ListBullet2"/>
            </w:pPr>
            <w:r w:rsidRPr="008F2D8C">
              <w:t>Implement Occupational Health and Safety workplace procedures and practices including the use of ri</w:t>
            </w:r>
            <w:r w:rsidRPr="008F2D8C">
              <w:t>sk control measures as specified in the performance criteria and range statement</w:t>
            </w:r>
          </w:p>
          <w:p w:rsidR="00000000" w:rsidRPr="008F2D8C" w:rsidP="008F2D8C">
            <w:pPr>
              <w:pStyle w:val="ListBullet2"/>
            </w:pPr>
            <w:r w:rsidRPr="008F2D8C">
              <w:t>Apply sustainable energy principles and practices as specified in the performance criteria and range statement</w:t>
            </w:r>
          </w:p>
          <w:p w:rsidR="00000000" w:rsidRPr="008F2D8C" w:rsidP="008F2D8C">
            <w:pPr>
              <w:pStyle w:val="ListBullet2"/>
            </w:pPr>
            <w:r w:rsidRPr="008F2D8C">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8F2D8C" w:rsidP="008F2D8C">
            <w:pPr>
              <w:pStyle w:val="ListBullet2"/>
            </w:pPr>
            <w:r w:rsidRPr="008F2D8C">
              <w:t>Demonst</w:t>
            </w:r>
            <w:r w:rsidRPr="008F2D8C">
              <w:t>rate an appropriate level of skills enabling employment</w:t>
            </w:r>
          </w:p>
          <w:p w:rsidR="00000000" w:rsidRPr="008F2D8C" w:rsidP="008F2D8C">
            <w:pPr>
              <w:pStyle w:val="ListBullet2"/>
            </w:pPr>
            <w:r w:rsidRPr="008F2D8C">
              <w:t>Conduct work observing the relevant Anti Discrimination legislation, regulations, polices and workplace procedures</w:t>
            </w:r>
          </w:p>
          <w:p w:rsidR="00000000" w:rsidRPr="008F2D8C" w:rsidP="008F2D8C">
            <w:pPr>
              <w:pStyle w:val="ListBullet"/>
            </w:pPr>
            <w:r w:rsidRPr="008F2D8C">
              <w:t>Demonstrated consistent performance across a representative range of contexts from t</w:t>
            </w:r>
            <w:r w:rsidRPr="008F2D8C">
              <w:t>he prescribed items below:</w:t>
            </w:r>
          </w:p>
          <w:p w:rsidR="00000000" w:rsidRPr="008F2D8C" w:rsidP="008F2D8C">
            <w:pPr>
              <w:pStyle w:val="ListBullet2"/>
            </w:pPr>
            <w:r w:rsidRPr="008F2D8C">
              <w:t>Install and maintain power vital relay interlocking systems as described in 8) and including:</w:t>
            </w:r>
          </w:p>
          <w:p w:rsidR="00000000" w:rsidRPr="008F2D8C" w:rsidP="008F2D8C">
            <w:pPr>
              <w:pStyle w:val="ListAlpha2"/>
            </w:pPr>
            <w:r w:rsidRPr="008F2D8C">
              <w:t>Interpreting plans and specifications correctly,</w:t>
            </w:r>
          </w:p>
          <w:p w:rsidR="00000000" w:rsidRPr="008F2D8C" w:rsidP="008F2D8C">
            <w:pPr>
              <w:pStyle w:val="ListAlpha2"/>
            </w:pPr>
            <w:r w:rsidRPr="008F2D8C">
              <w:t>Using appropriate fault finding techniques,</w:t>
            </w:r>
          </w:p>
          <w:p w:rsidR="00000000" w:rsidRPr="008F2D8C" w:rsidP="008F2D8C">
            <w:pPr>
              <w:pStyle w:val="ListAlpha2"/>
            </w:pPr>
            <w:r w:rsidRPr="008F2D8C">
              <w:t>Installing and maintaining vital relay interlocking systems to operational requirements,</w:t>
            </w:r>
          </w:p>
          <w:p w:rsidR="00000000" w:rsidRPr="008F2D8C" w:rsidP="008F2D8C">
            <w:pPr>
              <w:pStyle w:val="ListAlpha2"/>
            </w:pPr>
            <w:r w:rsidRPr="008F2D8C">
              <w:t>Organising work to minimise rail traffic disruptions,</w:t>
            </w:r>
          </w:p>
          <w:p w:rsidR="00000000" w:rsidRPr="008F2D8C" w:rsidP="008F2D8C">
            <w:pPr>
              <w:pStyle w:val="ListAlpha2"/>
            </w:pPr>
            <w:r w:rsidRPr="008F2D8C">
              <w:t>Using tools correctly,</w:t>
            </w:r>
          </w:p>
          <w:p w:rsidR="00000000" w:rsidRPr="008F2D8C" w:rsidP="008F2D8C">
            <w:pPr>
              <w:pStyle w:val="ListAlpha2"/>
            </w:pPr>
            <w:r w:rsidRPr="008F2D8C">
              <w:t>Following relevant codes of practice, OHS and environmental protection procedures and requ</w:t>
            </w:r>
            <w:r w:rsidRPr="008F2D8C">
              <w:t>irements</w:t>
            </w:r>
          </w:p>
          <w:p w:rsidR="00000000" w:rsidRPr="008F2D8C" w:rsidP="008F2D8C">
            <w:pPr>
              <w:pStyle w:val="ListAlpha2"/>
            </w:pPr>
            <w:r w:rsidRPr="008F2D8C">
              <w:t>Completing relevant technical reports, records and documentation, and</w:t>
            </w:r>
          </w:p>
          <w:p w:rsidR="00000000" w:rsidRPr="008F2D8C" w:rsidP="008F2D8C">
            <w:pPr>
              <w:pStyle w:val="ListAlpha2"/>
            </w:pPr>
            <w:r w:rsidRPr="008F2D8C">
              <w:t>Dealing with unplanned events by drawing on essential knowledge and skills to provide appropriate solutions incorporated in the holistic assessment with the above listed items</w:t>
            </w:r>
          </w:p>
          <w:p w:rsidR="00000000" w:rsidRPr="008F2D8C" w:rsidP="008F2D8C">
            <w:pPr>
              <w:pStyle w:val="BodyText"/>
            </w:pPr>
            <w:r w:rsidRPr="008F2D8C">
              <w:t>N</w:t>
            </w:r>
            <w:r w:rsidRPr="008F2D8C">
              <w:t xml:space="preserve">ote: </w:t>
            </w:r>
          </w:p>
          <w:p w:rsidR="00000000" w:rsidRPr="008F2D8C" w:rsidP="008F2D8C">
            <w:pPr>
              <w:pStyle w:val="BodyText"/>
            </w:pPr>
            <w:r w:rsidRPr="008F2D8C">
              <w:t>Successful completion of relevant vendor training may be used to contribute to evidence on which competency is deemed. In these cases the alignment of outcomes of vendor training with performance criteria and critical aspects of evidence shall be cle</w:t>
            </w:r>
            <w:r w:rsidRPr="008F2D8C">
              <w:t>arly identified.</w:t>
            </w:r>
          </w:p>
        </w:tc>
      </w:tr>
    </w:tbl>
    <w:p w:rsidR="00000000" w:rsidRPr="008F2D8C" w:rsidP="008F2D8C">
      <w:pPr>
        <w:pStyle w:val="BodyText"/>
      </w:pPr>
    </w:p>
    <w:tbl>
      <w:tblPr>
        <w:tblW w:w="0" w:type="auto"/>
        <w:tblLayout w:type="fixed"/>
        <w:tblCellMar>
          <w:left w:w="62" w:type="dxa"/>
          <w:right w:w="62" w:type="dxa"/>
        </w:tblCellMar>
        <w:tblLook w:val="0000"/>
      </w:tblPr>
      <w:tblGrid>
        <w:gridCol w:w="1890"/>
        <w:gridCol w:w="6570"/>
      </w:tblGrid>
      <w:tr w:rsidTr="008B776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rPr>
                <w:rStyle w:val="SpecialBold"/>
              </w:rPr>
              <w:t>9.3)</w:t>
            </w:r>
          </w:p>
        </w:tc>
      </w:tr>
      <w:tr w:rsidTr="008B776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t>This unit should be assessed as it relates to normal work practice using procedures, information and resources typical of a workplace. This should include:</w:t>
            </w:r>
          </w:p>
          <w:p w:rsidR="00000000" w:rsidRPr="008F2D8C" w:rsidP="008F2D8C">
            <w:pPr>
              <w:pStyle w:val="ListBullet"/>
            </w:pPr>
            <w:r w:rsidRPr="008F2D8C">
              <w:t>OHS policy and work procedures and instructions.</w:t>
            </w:r>
          </w:p>
          <w:p w:rsidR="00000000" w:rsidRPr="008F2D8C" w:rsidP="008F2D8C">
            <w:pPr>
              <w:pStyle w:val="ListBullet"/>
            </w:pPr>
            <w:r w:rsidRPr="008F2D8C">
              <w:t>Suitable work environment, facilities, equipment and materials to undertake actual work as prescribed by this unit.</w:t>
            </w:r>
          </w:p>
          <w:p w:rsidR="00000000" w:rsidRPr="008F2D8C" w:rsidP="008F2D8C">
            <w:pPr>
              <w:pStyle w:val="BodyText"/>
            </w:pPr>
            <w:r w:rsidRPr="008F2D8C">
              <w:t>These should be used in the formal learning/assessment environment.</w:t>
            </w:r>
          </w:p>
          <w:p w:rsidR="00000000" w:rsidRPr="008F2D8C" w:rsidP="008F2D8C">
            <w:pPr>
              <w:pStyle w:val="BodyText"/>
            </w:pPr>
            <w:r w:rsidRPr="008F2D8C">
              <w:t>Note:</w:t>
            </w:r>
          </w:p>
          <w:p w:rsidR="00000000" w:rsidRPr="008F2D8C" w:rsidP="008F2D8C">
            <w:pPr>
              <w:pStyle w:val="BodyText"/>
            </w:pPr>
            <w:r w:rsidRPr="008F2D8C">
              <w:t xml:space="preserve">Where simulation </w:t>
            </w:r>
            <w:r w:rsidRPr="008F2D8C">
              <w:t>is considered a suitable strategy for assessment, conditions must be authentic and as far as possible reproduce and replicate the workplace and be consistent with the approved industry simulation policy.</w:t>
            </w:r>
          </w:p>
          <w:p w:rsidR="00000000" w:rsidRPr="008F2D8C" w:rsidP="008F2D8C">
            <w:pPr>
              <w:pStyle w:val="BodyText"/>
            </w:pPr>
            <w:r w:rsidRPr="008F2D8C">
              <w:t>The resources used for assessment should reflect cur</w:t>
            </w:r>
            <w:r w:rsidRPr="008F2D8C">
              <w:t>rent industry practices in relation to maintaining power signalling and protective relay interlocking systems.</w:t>
            </w:r>
          </w:p>
        </w:tc>
      </w:tr>
    </w:tbl>
    <w:p w:rsidR="00000000" w:rsidRPr="008F2D8C" w:rsidP="008F2D8C">
      <w:pPr>
        <w:pStyle w:val="BodyText"/>
      </w:pPr>
    </w:p>
    <w:tbl>
      <w:tblPr>
        <w:tblW w:w="0" w:type="auto"/>
        <w:tblLayout w:type="fixed"/>
        <w:tblCellMar>
          <w:left w:w="62" w:type="dxa"/>
          <w:right w:w="62" w:type="dxa"/>
        </w:tblCellMar>
        <w:tblLook w:val="0000"/>
      </w:tblPr>
      <w:tblGrid>
        <w:gridCol w:w="1890"/>
        <w:gridCol w:w="6570"/>
      </w:tblGrid>
      <w:tr w:rsidTr="008B7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rPr>
                <w:rStyle w:val="SpecialBold"/>
              </w:rPr>
              <w:t>9.4)</w:t>
            </w:r>
          </w:p>
        </w:tc>
      </w:tr>
      <w:tr w:rsidTr="008B7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t>This unit shall be assessed by methods given in Volume 1, Part 3 ‘Assessment Guidelines’.</w:t>
            </w:r>
          </w:p>
          <w:p w:rsidR="00000000" w:rsidRPr="008F2D8C" w:rsidP="008F2D8C">
            <w:pPr>
              <w:pStyle w:val="BodyText"/>
            </w:pPr>
            <w:r w:rsidRPr="008F2D8C">
              <w:t xml:space="preserve">Note: </w:t>
            </w:r>
          </w:p>
          <w:p w:rsidR="00000000" w:rsidRPr="008F2D8C" w:rsidP="008F2D8C">
            <w:pPr>
              <w:pStyle w:val="BodyText"/>
            </w:pPr>
            <w:r w:rsidRPr="008F2D8C">
              <w:t>Competent performance with inherent safe working practices is expected in the Industry to which this unit applies. This requires assessment in a structured environment which is intended primarily for learning/assessment and incorporates all necessary equip</w:t>
            </w:r>
            <w:r w:rsidRPr="008F2D8C">
              <w:t>ment and facilities for learners to develop and demonstrate the essential knowledge and skills described in this unit.</w:t>
            </w:r>
          </w:p>
        </w:tc>
      </w:tr>
    </w:tbl>
    <w:p w:rsidR="00000000" w:rsidRPr="008F2D8C" w:rsidP="008F2D8C">
      <w:pPr>
        <w:pStyle w:val="BodyText"/>
      </w:pPr>
    </w:p>
    <w:tbl>
      <w:tblPr>
        <w:tblW w:w="0" w:type="auto"/>
        <w:tblLayout w:type="fixed"/>
        <w:tblCellMar>
          <w:left w:w="62" w:type="dxa"/>
          <w:right w:w="62" w:type="dxa"/>
        </w:tblCellMar>
        <w:tblLook w:val="0000"/>
      </w:tblPr>
      <w:tblGrid>
        <w:gridCol w:w="1890"/>
        <w:gridCol w:w="6570"/>
      </w:tblGrid>
      <w:tr w:rsidTr="008B7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rPr>
                <w:rStyle w:val="SpecialBold"/>
              </w:rPr>
              <w:t>9.5)</w:t>
            </w:r>
          </w:p>
        </w:tc>
      </w:tr>
      <w:tr w:rsidTr="008B7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t>For optimisation of training and assessment effort, competency developme</w:t>
            </w:r>
            <w:r w:rsidRPr="008F2D8C">
              <w:t>nt in this unit may be arranged in combination with other competencies required by a given enterprise installation, maintenance and repair functions.</w:t>
            </w:r>
          </w:p>
          <w:p w:rsidR="00000000" w:rsidRPr="008F2D8C" w:rsidP="008F2D8C">
            <w:pPr>
              <w:pStyle w:val="BodyText"/>
            </w:pPr>
            <w:r w:rsidRPr="008F2D8C">
              <w:t>Concurrent assessment may include:</w:t>
            </w:r>
          </w:p>
          <w:p w:rsidR="00000000" w:rsidRPr="008F2D8C" w:rsidP="008F2D8C">
            <w:pPr>
              <w:pStyle w:val="BodyText"/>
            </w:pPr>
            <w:r w:rsidRPr="008F2D8C">
              <w:t>UEENEEN118A Find and repair rail signal system faults</w:t>
            </w:r>
          </w:p>
        </w:tc>
      </w:tr>
    </w:tbl>
    <w:p w:rsidR="00000000" w:rsidRPr="008F2D8C" w:rsidP="008F2D8C">
      <w:pPr>
        <w:pStyle w:val="BodyText"/>
      </w:pPr>
    </w:p>
    <w:p w:rsidR="00000000" w:rsidRPr="008F2D8C" w:rsidP="008F2D8C">
      <w:pPr>
        <w:pStyle w:val="AllowPageBreak"/>
      </w:pPr>
    </w:p>
    <w:p w:rsidR="00000000" w:rsidRPr="008F2D8C" w:rsidP="008F2D8C">
      <w:pPr>
        <w:pStyle w:val="Heading1"/>
      </w:pPr>
      <w:bookmarkStart w:id="11" w:name="O_585470"/>
      <w:bookmarkEnd w:id="11"/>
      <w:r w:rsidRPr="008F2D8C">
        <w:t>Range Statement</w:t>
      </w:r>
    </w:p>
    <w:tbl>
      <w:tblPr>
        <w:tblW w:w="0" w:type="auto"/>
        <w:tblLayout w:type="fixed"/>
        <w:tblCellMar>
          <w:left w:w="62" w:type="dxa"/>
          <w:right w:w="62" w:type="dxa"/>
        </w:tblCellMar>
        <w:tblLook w:val="0000"/>
      </w:tblPr>
      <w:tblGrid>
        <w:gridCol w:w="8460"/>
      </w:tblGrid>
      <w:tr w:rsidTr="008B77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rPr>
                <w:rStyle w:val="SpecialBold"/>
              </w:rPr>
              <w:t>RANGE STATEMENT</w:t>
            </w:r>
          </w:p>
        </w:tc>
      </w:tr>
      <w:tr w:rsidTr="008B776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rPr>
                <w:rStyle w:val="SpecialBold"/>
              </w:rPr>
              <w:t>10)</w:t>
            </w:r>
            <w:r w:rsidRPr="008F2D8C">
              <w:t xml:space="preserve">  This relates to the unit as a whole providing the range of contexts and conditions to which the performance criteria apply. It allows for different work environments and situations that will affect performance.</w:t>
            </w:r>
          </w:p>
          <w:p w:rsidR="00000000" w:rsidRPr="008F2D8C" w:rsidP="008F2D8C">
            <w:pPr>
              <w:pStyle w:val="BodyText"/>
            </w:pPr>
            <w:r w:rsidRPr="008F2D8C">
              <w:t>This unit shall be demonstrated in relation to:</w:t>
            </w:r>
          </w:p>
          <w:p w:rsidR="00000000" w:rsidRPr="008F2D8C" w:rsidP="008F2D8C">
            <w:pPr>
              <w:pStyle w:val="ListBullet"/>
            </w:pPr>
            <w:r w:rsidRPr="008F2D8C">
              <w:t>The relevant State/Territory codes of practice and safe working requirements.</w:t>
            </w:r>
          </w:p>
          <w:p w:rsidR="00000000" w:rsidRPr="008F2D8C" w:rsidP="008F2D8C">
            <w:pPr>
              <w:pStyle w:val="ListBullet"/>
            </w:pPr>
            <w:r w:rsidRPr="008F2D8C">
              <w:t>Equipment relevant to a particular rail network.</w:t>
            </w:r>
          </w:p>
          <w:p w:rsidR="00000000" w:rsidRPr="008F2D8C" w:rsidP="008F2D8C">
            <w:pPr>
              <w:pStyle w:val="ListBullet"/>
            </w:pPr>
            <w:r w:rsidRPr="008F2D8C">
              <w:t>Code of practice for the defined interstate rail network.</w:t>
            </w:r>
          </w:p>
          <w:p w:rsidR="00000000" w:rsidRPr="008F2D8C" w:rsidP="008F2D8C">
            <w:pPr>
              <w:pStyle w:val="BodyText"/>
            </w:pPr>
            <w:r w:rsidRPr="008F2D8C">
              <w:t>Activities may include: procedures for maintenance of vital relay interlocking equipment in a rail networks and may also include; the use of plans and drawings, manufacturer’s / enterprise specifications and manuals.</w:t>
            </w:r>
          </w:p>
          <w:p w:rsidR="00000000" w:rsidRPr="008F2D8C" w:rsidP="008F2D8C">
            <w:pPr>
              <w:pStyle w:val="BodyText"/>
            </w:pPr>
            <w:r w:rsidRPr="008F2D8C">
              <w:t>Maintenance activities may include: fin</w:t>
            </w:r>
            <w:r w:rsidRPr="008F2D8C">
              <w:t>ding and repairing faults on vital relay interlocking equipment in a rail network and may also incorporate safe working, working according to regulatory requirements and following work procedures, adjust, test and verifying operational integrity and comple</w:t>
            </w:r>
            <w:r w:rsidRPr="008F2D8C">
              <w:t>ting report documentation.</w:t>
            </w:r>
          </w:p>
          <w:p w:rsidR="00000000" w:rsidRPr="008F2D8C" w:rsidP="008F2D8C">
            <w:pPr>
              <w:pStyle w:val="BodyText"/>
            </w:pPr>
            <w:r w:rsidRPr="008F2D8C">
              <w:t>Electrical equipment may include: power supplies, isolation links, fuses, electro-mechanical vital relays, mechanical timer relays, electronic timer relays, wiring, relay spring clips, multi core signal copper cables, earth detec</w:t>
            </w:r>
            <w:r w:rsidRPr="008F2D8C">
              <w:t>tion devices.</w:t>
            </w:r>
          </w:p>
          <w:p w:rsidR="00000000" w:rsidRPr="008F2D8C" w:rsidP="008F2D8C">
            <w:pPr>
              <w:pStyle w:val="BodyText"/>
            </w:pPr>
            <w:r w:rsidRPr="008F2D8C">
              <w:t xml:space="preserve">Mechanical equipment may include: relay mounting bases, relay coding pins, </w:t>
            </w:r>
          </w:p>
          <w:p w:rsidR="00000000" w:rsidRPr="008F2D8C" w:rsidP="008F2D8C">
            <w:pPr>
              <w:pStyle w:val="BodyText"/>
            </w:pPr>
            <w:r w:rsidRPr="008F2D8C">
              <w:t>Test equipment may include: multimeters, insulation resistance and continuity tester, stop watches, test lamps, relay delatch bases.</w:t>
            </w:r>
          </w:p>
          <w:p w:rsidR="00000000" w:rsidRPr="008F2D8C" w:rsidP="008F2D8C">
            <w:pPr>
              <w:pStyle w:val="BodyText"/>
            </w:pPr>
            <w:r w:rsidRPr="008F2D8C">
              <w:t>Technical report may include: inc</w:t>
            </w:r>
            <w:r w:rsidRPr="008F2D8C">
              <w:t>ident report, site survey and data log report.</w:t>
            </w:r>
          </w:p>
          <w:p w:rsidR="00000000" w:rsidRPr="008F2D8C" w:rsidP="008F2D8C">
            <w:pPr>
              <w:pStyle w:val="BodyText"/>
            </w:pPr>
          </w:p>
          <w:p w:rsidR="00000000" w:rsidRPr="008F2D8C" w:rsidP="008F2D8C">
            <w:pPr>
              <w:pStyle w:val="BodyText"/>
            </w:pPr>
            <w:r w:rsidRPr="008F2D8C">
              <w:t>Generic terms used throughout this Vocational Standard shall be regarded as part of the Range Statement in which competency is demonstrated. The definition of these and other terms that apply are given in Vol</w:t>
            </w:r>
            <w:r w:rsidRPr="008F2D8C">
              <w:t>ume 2, Section 2.1.</w:t>
            </w:r>
          </w:p>
        </w:tc>
      </w:tr>
    </w:tbl>
    <w:p w:rsidR="00000000" w:rsidRPr="008F2D8C" w:rsidP="008F2D8C">
      <w:pPr>
        <w:pStyle w:val="BodyText"/>
      </w:pPr>
    </w:p>
    <w:p w:rsidR="00000000" w:rsidRPr="008F2D8C" w:rsidP="008F2D8C">
      <w:pPr>
        <w:pStyle w:val="AllowPageBreak"/>
      </w:pPr>
    </w:p>
    <w:p w:rsidR="00000000" w:rsidRPr="008F2D8C" w:rsidP="008F2D8C">
      <w:pPr>
        <w:pStyle w:val="Heading1"/>
      </w:pPr>
      <w:bookmarkStart w:id="12" w:name="O_585469"/>
      <w:bookmarkEnd w:id="12"/>
      <w:r w:rsidRPr="008F2D8C">
        <w:t>Unit Sector(s)</w:t>
      </w:r>
    </w:p>
    <w:p w:rsidR="00000000" w:rsidRPr="008F2D8C" w:rsidP="008F2D8C">
      <w:pPr>
        <w:pStyle w:val="BodyText"/>
      </w:pPr>
      <w:r w:rsidRPr="008F2D8C">
        <w:t>Not applicable.</w:t>
      </w:r>
    </w:p>
    <w:p w:rsidR="00000000" w:rsidRPr="008F2D8C" w:rsidP="008F2D8C">
      <w:pPr>
        <w:pStyle w:val="AllowPageBreak"/>
      </w:pPr>
    </w:p>
    <w:p w:rsidR="00000000" w:rsidRPr="008F2D8C" w:rsidP="008F2D8C">
      <w:pPr>
        <w:pStyle w:val="Heading1"/>
      </w:pPr>
      <w:bookmarkStart w:id="13" w:name="O_585468"/>
      <w:bookmarkEnd w:id="13"/>
      <w:r w:rsidRPr="008F2D8C">
        <w:t>Competency Field</w:t>
      </w:r>
    </w:p>
    <w:tbl>
      <w:tblPr>
        <w:tblW w:w="0" w:type="auto"/>
        <w:tblLayout w:type="fixed"/>
        <w:tblCellMar>
          <w:left w:w="62" w:type="dxa"/>
          <w:right w:w="62" w:type="dxa"/>
        </w:tblCellMar>
        <w:tblLook w:val="0000"/>
      </w:tblPr>
      <w:tblGrid>
        <w:gridCol w:w="2700"/>
        <w:gridCol w:w="5760"/>
      </w:tblGrid>
      <w:tr w:rsidTr="008B77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F2D8C">
            <w:pPr>
              <w:pStyle w:val="BodyText"/>
              <w:rPr>
                <w:lang w:val="en-NZ"/>
              </w:rPr>
            </w:pPr>
            <w:r w:rsidRPr="008F2D8C">
              <w:rPr>
                <w:rStyle w:val="SpecialBold"/>
              </w:rPr>
              <w:t xml:space="preserve">11) </w:t>
            </w:r>
          </w:p>
        </w:tc>
      </w:tr>
      <w:tr w:rsidTr="008B7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2D8C" w:rsidP="008F2D8C">
            <w:pPr>
              <w:pStyle w:val="BodyText"/>
            </w:pPr>
            <w:r w:rsidRPr="008F2D8C">
              <w:t>Rail Signalling</w:t>
            </w:r>
          </w:p>
        </w:tc>
      </w:tr>
    </w:tbl>
    <w:p w:rsidR="00000000" w:rsidRPr="008F2D8C" w:rsidP="008F2D8C">
      <w:pPr>
        <w:pStyle w:val="BodyText"/>
      </w:pPr>
    </w:p>
    <w:p w:rsidR="00000000" w:rsidRPr="008F2D8C" w:rsidP="008F2D8C"/>
    <w:sectPr w:rsidSect="008F2D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D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D8C" w:rsidRPr="008B7765" w:rsidP="008B77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D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765" w:rsidP="008F2D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B7765" w:rsidP="008F2D8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B7765" w:rsidP="008F2D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D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D8C" w:rsidRPr="008B7765" w:rsidP="008B77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D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765" w:rsidRPr="002D2AF8" w:rsidP="008F2D8C">
    <w:pPr>
      <w:pStyle w:val="Header"/>
      <w:framePr w:wrap="around"/>
    </w:pPr>
    <w:r>
      <w:fldChar w:fldCharType="begin"/>
    </w:r>
    <w:r>
      <w:instrText xml:space="preserve"> TITLE   \* MERGEFORMAT </w:instrText>
    </w:r>
    <w:r>
      <w:fldChar w:fldCharType="separate"/>
    </w:r>
    <w:r>
      <w:t>UEENEEN112A Install and maintain vital relay interlocking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B7765" w:rsidP="008F2D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780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78EA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704D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D6314BC"/>
    <w:multiLevelType w:val="multilevel"/>
    <w:tmpl w:val="5678D4D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4"/>
  </w:num>
  <w:num w:numId="12">
    <w:abstractNumId w:val="9"/>
  </w:num>
  <w:num w:numId="13">
    <w:abstractNumId w:val="13"/>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D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2D8C"/>
    <w:pPr>
      <w:spacing w:before="360" w:after="60"/>
      <w:outlineLvl w:val="0"/>
    </w:pPr>
    <w:rPr>
      <w:sz w:val="32"/>
    </w:rPr>
  </w:style>
  <w:style w:type="paragraph" w:styleId="Heading2">
    <w:name w:val="heading 2"/>
    <w:basedOn w:val="HeadingBase"/>
    <w:next w:val="BodyText"/>
    <w:link w:val="Heading2Char"/>
    <w:qFormat/>
    <w:rsid w:val="008F2D8C"/>
    <w:pPr>
      <w:keepLines/>
      <w:spacing w:before="240" w:after="120"/>
      <w:outlineLvl w:val="1"/>
    </w:pPr>
    <w:rPr>
      <w:sz w:val="28"/>
      <w:szCs w:val="40"/>
    </w:rPr>
  </w:style>
  <w:style w:type="paragraph" w:styleId="Heading3">
    <w:name w:val="heading 3"/>
    <w:basedOn w:val="HeadingBase"/>
    <w:next w:val="BodyText"/>
    <w:link w:val="Heading3Char"/>
    <w:qFormat/>
    <w:rsid w:val="008F2D8C"/>
    <w:pPr>
      <w:spacing w:before="180" w:after="120"/>
      <w:outlineLvl w:val="2"/>
    </w:pPr>
    <w:rPr>
      <w:spacing w:val="-10"/>
      <w:kern w:val="32"/>
    </w:rPr>
  </w:style>
  <w:style w:type="paragraph" w:styleId="Heading4">
    <w:name w:val="heading 4"/>
    <w:basedOn w:val="HeadingBase"/>
    <w:next w:val="BodyText"/>
    <w:link w:val="Heading4Char"/>
    <w:qFormat/>
    <w:rsid w:val="008F2D8C"/>
    <w:pPr>
      <w:spacing w:before="160" w:after="120"/>
      <w:outlineLvl w:val="3"/>
    </w:pPr>
    <w:rPr>
      <w:sz w:val="22"/>
    </w:rPr>
  </w:style>
  <w:style w:type="paragraph" w:styleId="Heading5">
    <w:name w:val="heading 5"/>
    <w:basedOn w:val="HeadingBase"/>
    <w:next w:val="Normal"/>
    <w:link w:val="Heading5Char"/>
    <w:qFormat/>
    <w:rsid w:val="008F2D8C"/>
    <w:pPr>
      <w:spacing w:before="80"/>
      <w:outlineLvl w:val="4"/>
    </w:pPr>
    <w:rPr>
      <w:color w:val="918585"/>
      <w:sz w:val="20"/>
    </w:rPr>
  </w:style>
  <w:style w:type="paragraph" w:styleId="Heading6">
    <w:name w:val="heading 6"/>
    <w:basedOn w:val="HeadingBase"/>
    <w:next w:val="Normal"/>
    <w:link w:val="Heading6Char"/>
    <w:qFormat/>
    <w:rsid w:val="008F2D8C"/>
    <w:pPr>
      <w:spacing w:before="60"/>
      <w:outlineLvl w:val="5"/>
    </w:pPr>
    <w:rPr>
      <w:color w:val="918585"/>
      <w:sz w:val="20"/>
    </w:rPr>
  </w:style>
  <w:style w:type="paragraph" w:styleId="Heading7">
    <w:name w:val="heading 7"/>
    <w:basedOn w:val="Normal"/>
    <w:next w:val="Normal"/>
    <w:link w:val="Heading7Char"/>
    <w:qFormat/>
    <w:rsid w:val="008F2D8C"/>
    <w:pPr>
      <w:ind w:left="720"/>
      <w:outlineLvl w:val="6"/>
    </w:pPr>
    <w:rPr>
      <w:i/>
    </w:rPr>
  </w:style>
  <w:style w:type="paragraph" w:styleId="Heading8">
    <w:name w:val="heading 8"/>
    <w:basedOn w:val="Normal"/>
    <w:next w:val="Normal"/>
    <w:link w:val="Heading8Char"/>
    <w:qFormat/>
    <w:rsid w:val="008F2D8C"/>
    <w:pPr>
      <w:ind w:left="720"/>
      <w:outlineLvl w:val="7"/>
    </w:pPr>
    <w:rPr>
      <w:i/>
    </w:rPr>
  </w:style>
  <w:style w:type="paragraph" w:styleId="Heading9">
    <w:name w:val="heading 9"/>
    <w:basedOn w:val="Normal"/>
    <w:next w:val="Normal"/>
    <w:link w:val="Heading9Char"/>
    <w:qFormat/>
    <w:rsid w:val="008F2D8C"/>
    <w:pPr>
      <w:ind w:left="720"/>
      <w:outlineLvl w:val="8"/>
    </w:pPr>
    <w:rPr>
      <w:i/>
    </w:rPr>
  </w:style>
  <w:style w:type="character" w:default="1" w:styleId="DefaultParagraphFont">
    <w:name w:val="Default Paragraph Font"/>
    <w:uiPriority w:val="1"/>
    <w:unhideWhenUsed/>
    <w:rsid w:val="008F2D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D8C"/>
  </w:style>
  <w:style w:type="character" w:customStyle="1" w:styleId="Heading1Char">
    <w:name w:val="Heading 1 Char"/>
    <w:basedOn w:val="DefaultParagraphFont"/>
    <w:link w:val="Heading1"/>
    <w:rsid w:val="008F2D8C"/>
    <w:rPr>
      <w:rFonts w:ascii="Times New Roman" w:eastAsia="Times New Roman" w:hAnsi="Times New Roman" w:cs="Times New Roman"/>
      <w:b/>
      <w:sz w:val="32"/>
      <w:szCs w:val="20"/>
      <w:lang w:eastAsia="en-US"/>
    </w:rPr>
  </w:style>
  <w:style w:type="paragraph" w:styleId="BodyText">
    <w:name w:val="Body Text"/>
    <w:basedOn w:val="Normal"/>
    <w:link w:val="BodyTextChar"/>
    <w:rsid w:val="008F2D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2D8C"/>
    <w:rPr>
      <w:rFonts w:ascii="Times New Roman" w:eastAsia="Times New Roman" w:hAnsi="Times New Roman" w:cs="Times New Roman"/>
      <w:sz w:val="24"/>
      <w:lang w:eastAsia="en-US"/>
    </w:rPr>
  </w:style>
  <w:style w:type="paragraph" w:styleId="ListBullet">
    <w:name w:val="List Bullet"/>
    <w:basedOn w:val="List"/>
    <w:rsid w:val="008F2D8C"/>
    <w:pPr>
      <w:numPr>
        <w:numId w:val="13"/>
      </w:numPr>
      <w:tabs>
        <w:tab w:val="clear" w:pos="340"/>
      </w:tabs>
      <w:spacing w:before="40" w:after="40"/>
    </w:pPr>
  </w:style>
  <w:style w:type="character" w:customStyle="1" w:styleId="SpecialBold">
    <w:name w:val="Special Bold"/>
    <w:basedOn w:val="DefaultParagraphFont"/>
    <w:rsid w:val="008F2D8C"/>
    <w:rPr>
      <w:b/>
      <w:spacing w:val="0"/>
    </w:rPr>
  </w:style>
  <w:style w:type="paragraph" w:styleId="ListBullet2">
    <w:name w:val="List Bullet 2"/>
    <w:basedOn w:val="List2"/>
    <w:rsid w:val="008F2D8C"/>
    <w:pPr>
      <w:numPr>
        <w:numId w:val="14"/>
      </w:numPr>
      <w:tabs>
        <w:tab w:val="clear" w:pos="680"/>
      </w:tabs>
    </w:pPr>
  </w:style>
  <w:style w:type="paragraph" w:customStyle="1" w:styleId="SuperHeading">
    <w:name w:val="SuperHeading"/>
    <w:basedOn w:val="Normal"/>
    <w:rsid w:val="008F2D8C"/>
    <w:pPr>
      <w:spacing w:before="240" w:after="120"/>
      <w:outlineLvl w:val="0"/>
    </w:pPr>
    <w:rPr>
      <w:rFonts w:ascii="Times New Roman" w:hAnsi="Times New Roman"/>
      <w:b/>
      <w:sz w:val="32"/>
    </w:rPr>
  </w:style>
  <w:style w:type="paragraph" w:customStyle="1" w:styleId="AllowPageBreak">
    <w:name w:val="AllowPageBreak"/>
    <w:rsid w:val="008F2D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8F2D8C"/>
    <w:pPr>
      <w:numPr>
        <w:numId w:val="8"/>
      </w:numPr>
    </w:pPr>
  </w:style>
  <w:style w:type="character" w:customStyle="1" w:styleId="Heading2Char">
    <w:name w:val="Heading 2 Char"/>
    <w:basedOn w:val="DefaultParagraphFont"/>
    <w:link w:val="Heading2"/>
    <w:rsid w:val="008F2D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D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D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D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D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D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2D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2D8C"/>
    <w:rPr>
      <w:rFonts w:ascii="Courier New" w:eastAsia="Times New Roman" w:hAnsi="Courier New" w:cs="Times New Roman"/>
      <w:i/>
      <w:szCs w:val="20"/>
      <w:lang w:eastAsia="en-US"/>
    </w:rPr>
  </w:style>
  <w:style w:type="paragraph" w:customStyle="1" w:styleId="HeadingBase">
    <w:name w:val="Heading Base"/>
    <w:rsid w:val="008F2D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D8C"/>
    <w:pPr>
      <w:tabs>
        <w:tab w:val="right" w:leader="dot" w:pos="9072"/>
      </w:tabs>
      <w:ind w:left="567"/>
    </w:pPr>
    <w:rPr>
      <w:szCs w:val="22"/>
    </w:rPr>
  </w:style>
  <w:style w:type="paragraph" w:customStyle="1" w:styleId="TOCBase">
    <w:name w:val="TOC Base"/>
    <w:rsid w:val="008F2D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D8C"/>
    <w:pPr>
      <w:tabs>
        <w:tab w:val="right" w:leader="dot" w:pos="9072"/>
      </w:tabs>
      <w:spacing w:before="40" w:after="40"/>
      <w:ind w:left="284"/>
    </w:pPr>
    <w:rPr>
      <w:rFonts w:ascii="Times New Roman" w:hAnsi="Times New Roman"/>
    </w:rPr>
  </w:style>
  <w:style w:type="paragraph" w:styleId="TOC1">
    <w:name w:val="toc 1"/>
    <w:basedOn w:val="TOCBase"/>
    <w:next w:val="Normal"/>
    <w:rsid w:val="008F2D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2D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D8C"/>
    <w:rPr>
      <w:rFonts w:ascii="Times New Roman" w:eastAsia="Times New Roman" w:hAnsi="Times New Roman" w:cs="Times New Roman"/>
      <w:sz w:val="16"/>
      <w:lang w:eastAsia="en-US"/>
    </w:rPr>
  </w:style>
  <w:style w:type="paragraph" w:styleId="Title">
    <w:name w:val="Title"/>
    <w:basedOn w:val="HeadingBase"/>
    <w:link w:val="TitleChar"/>
    <w:qFormat/>
    <w:rsid w:val="008F2D8C"/>
    <w:pPr>
      <w:spacing w:before="5040"/>
      <w:jc w:val="center"/>
    </w:pPr>
    <w:rPr>
      <w:sz w:val="48"/>
      <w:szCs w:val="72"/>
      <w:lang w:val="en-US"/>
    </w:rPr>
  </w:style>
  <w:style w:type="character" w:customStyle="1" w:styleId="TitleChar">
    <w:name w:val="Title Char"/>
    <w:basedOn w:val="DefaultParagraphFont"/>
    <w:link w:val="Title"/>
    <w:rsid w:val="008F2D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D8C"/>
    <w:pPr>
      <w:tabs>
        <w:tab w:val="left" w:pos="3600"/>
        <w:tab w:val="left" w:pos="3958"/>
      </w:tabs>
    </w:pPr>
  </w:style>
  <w:style w:type="paragraph" w:styleId="List">
    <w:name w:val="List"/>
    <w:basedOn w:val="BodyText"/>
    <w:next w:val="BodyText"/>
    <w:rsid w:val="008F2D8C"/>
    <w:pPr>
      <w:tabs>
        <w:tab w:val="left" w:pos="340"/>
      </w:tabs>
      <w:spacing w:before="60" w:after="60"/>
      <w:ind w:left="340" w:hanging="340"/>
    </w:pPr>
  </w:style>
  <w:style w:type="paragraph" w:customStyle="1" w:styleId="Note">
    <w:name w:val="Note"/>
    <w:basedOn w:val="BodyText"/>
    <w:rsid w:val="008F2D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D8C"/>
    <w:pPr>
      <w:framePr w:wrap="auto" w:hAnchor="text" w:y="6049"/>
    </w:pPr>
    <w:rPr>
      <w:color w:val="000000"/>
      <w:sz w:val="40"/>
    </w:rPr>
  </w:style>
  <w:style w:type="paragraph" w:customStyle="1" w:styleId="TOCTitle">
    <w:name w:val="TOCTitle"/>
    <w:basedOn w:val="Heading1"/>
    <w:rsid w:val="008F2D8C"/>
    <w:pPr>
      <w:spacing w:after="240"/>
      <w:jc w:val="center"/>
      <w:outlineLvl w:val="9"/>
    </w:pPr>
    <w:rPr>
      <w:caps/>
    </w:rPr>
  </w:style>
  <w:style w:type="paragraph" w:customStyle="1" w:styleId="Version">
    <w:name w:val="Version"/>
    <w:rsid w:val="008F2D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2D8C"/>
    <w:pPr>
      <w:keepNext w:val="0"/>
      <w:tabs>
        <w:tab w:val="right" w:pos="4176"/>
      </w:tabs>
      <w:ind w:left="198" w:hanging="198"/>
    </w:pPr>
    <w:rPr>
      <w:rFonts w:ascii="Garamond" w:hAnsi="Garamond"/>
    </w:rPr>
  </w:style>
  <w:style w:type="paragraph" w:styleId="IndexHeading">
    <w:name w:val="index heading"/>
    <w:basedOn w:val="Normal"/>
    <w:next w:val="Index1"/>
    <w:semiHidden/>
    <w:rsid w:val="008F2D8C"/>
    <w:pPr>
      <w:spacing w:before="120" w:after="120"/>
    </w:pPr>
    <w:rPr>
      <w:rFonts w:ascii="Arial" w:hAnsi="Arial"/>
      <w:b/>
      <w:color w:val="918585"/>
      <w:sz w:val="24"/>
    </w:rPr>
  </w:style>
  <w:style w:type="paragraph" w:styleId="Header">
    <w:name w:val="header"/>
    <w:basedOn w:val="Normal"/>
    <w:link w:val="HeaderChar"/>
    <w:rsid w:val="008F2D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D8C"/>
    <w:rPr>
      <w:rFonts w:ascii="Times New Roman" w:eastAsia="Times New Roman" w:hAnsi="Times New Roman" w:cs="Times New Roman"/>
      <w:sz w:val="16"/>
      <w:szCs w:val="20"/>
      <w:lang w:val="en-GB" w:eastAsia="en-US"/>
    </w:rPr>
  </w:style>
  <w:style w:type="paragraph" w:customStyle="1" w:styleId="Chapter">
    <w:name w:val="Chapter"/>
    <w:basedOn w:val="Normal"/>
    <w:rsid w:val="008F2D8C"/>
    <w:pPr>
      <w:spacing w:before="240"/>
    </w:pPr>
    <w:rPr>
      <w:rFonts w:ascii="Times New Roman" w:hAnsi="Times New Roman"/>
      <w:smallCaps/>
      <w:spacing w:val="80"/>
      <w:sz w:val="28"/>
    </w:rPr>
  </w:style>
  <w:style w:type="paragraph" w:customStyle="1" w:styleId="InChapter">
    <w:name w:val="InChapter"/>
    <w:basedOn w:val="Heading3"/>
    <w:rsid w:val="008F2D8C"/>
    <w:pPr>
      <w:spacing w:after="240"/>
      <w:outlineLvl w:val="9"/>
    </w:pPr>
    <w:rPr>
      <w:noProof/>
    </w:rPr>
  </w:style>
  <w:style w:type="paragraph" w:styleId="Index2">
    <w:name w:val="index 2"/>
    <w:basedOn w:val="Normal"/>
    <w:next w:val="Normal"/>
    <w:semiHidden/>
    <w:rsid w:val="008F2D8C"/>
    <w:pPr>
      <w:tabs>
        <w:tab w:val="right" w:pos="4176"/>
      </w:tabs>
      <w:ind w:left="568" w:hanging="284"/>
    </w:pPr>
    <w:rPr>
      <w:rFonts w:ascii="Garamond" w:hAnsi="Garamond"/>
    </w:rPr>
  </w:style>
  <w:style w:type="paragraph" w:customStyle="1" w:styleId="Byline">
    <w:name w:val="Byline"/>
    <w:rsid w:val="008F2D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D8C"/>
    <w:pPr>
      <w:tabs>
        <w:tab w:val="clear" w:pos="3600"/>
        <w:tab w:val="clear" w:pos="3958"/>
      </w:tabs>
      <w:jc w:val="right"/>
    </w:pPr>
  </w:style>
  <w:style w:type="character" w:styleId="Emphasis">
    <w:name w:val="Emphasis"/>
    <w:basedOn w:val="DefaultParagraphFont"/>
    <w:qFormat/>
    <w:rsid w:val="008F2D8C"/>
    <w:rPr>
      <w:i/>
    </w:rPr>
  </w:style>
  <w:style w:type="paragraph" w:styleId="Caption">
    <w:name w:val="caption"/>
    <w:basedOn w:val="BodyText"/>
    <w:next w:val="Normal"/>
    <w:qFormat/>
    <w:rsid w:val="008F2D8C"/>
    <w:pPr>
      <w:framePr w:w="2268" w:hSpace="181" w:vSpace="181" w:wrap="around" w:vAnchor="text" w:hAnchor="page" w:x="1135" w:y="285" w:anchorLock="1"/>
    </w:pPr>
    <w:rPr>
      <w:i/>
    </w:rPr>
  </w:style>
  <w:style w:type="paragraph" w:customStyle="1" w:styleId="MiniTOCTitle">
    <w:name w:val="MiniTOCTitle"/>
    <w:basedOn w:val="Heading4"/>
    <w:rsid w:val="008F2D8C"/>
    <w:pPr>
      <w:spacing w:before="240"/>
      <w:outlineLvl w:val="9"/>
    </w:pPr>
    <w:rPr>
      <w:noProof/>
      <w:sz w:val="24"/>
    </w:rPr>
  </w:style>
  <w:style w:type="paragraph" w:customStyle="1" w:styleId="MiniTOCItem">
    <w:name w:val="MiniTOCItem"/>
    <w:basedOn w:val="ListBullet"/>
    <w:rsid w:val="008F2D8C"/>
    <w:pPr>
      <w:numPr>
        <w:numId w:val="0"/>
      </w:numPr>
      <w:tabs>
        <w:tab w:val="right" w:leader="dot" w:pos="6521"/>
      </w:tabs>
      <w:spacing w:before="0" w:after="0"/>
    </w:pPr>
  </w:style>
  <w:style w:type="paragraph" w:customStyle="1" w:styleId="TOFTitle">
    <w:name w:val="TOFTitle"/>
    <w:basedOn w:val="TOCTitle"/>
    <w:rsid w:val="008F2D8C"/>
  </w:style>
  <w:style w:type="paragraph" w:styleId="TableofFigures">
    <w:name w:val="table of figures"/>
    <w:basedOn w:val="Normal"/>
    <w:next w:val="Normal"/>
    <w:semiHidden/>
    <w:rsid w:val="008F2D8C"/>
    <w:pPr>
      <w:tabs>
        <w:tab w:val="right" w:leader="dot" w:pos="9072"/>
      </w:tabs>
      <w:ind w:left="970" w:hanging="403"/>
    </w:pPr>
    <w:rPr>
      <w:rFonts w:ascii="Times New Roman" w:hAnsi="Times New Roman"/>
      <w:b/>
    </w:rPr>
  </w:style>
  <w:style w:type="paragraph" w:styleId="ListNumber">
    <w:name w:val="List Number"/>
    <w:basedOn w:val="List"/>
    <w:rsid w:val="008F2D8C"/>
    <w:pPr>
      <w:numPr>
        <w:numId w:val="11"/>
      </w:numPr>
    </w:pPr>
  </w:style>
  <w:style w:type="character" w:customStyle="1" w:styleId="WingdingSymbols">
    <w:name w:val="Wingding Symbols"/>
    <w:rsid w:val="008F2D8C"/>
    <w:rPr>
      <w:rFonts w:ascii="Wingdings" w:hAnsi="Wingdings"/>
    </w:rPr>
  </w:style>
  <w:style w:type="paragraph" w:customStyle="1" w:styleId="TableHeading">
    <w:name w:val="Table Heading"/>
    <w:basedOn w:val="HeadingBase"/>
    <w:rsid w:val="008F2D8C"/>
    <w:pPr>
      <w:keepLines/>
      <w:pBdr>
        <w:bottom w:val="single" w:sz="6" w:space="1" w:color="918585"/>
      </w:pBdr>
      <w:spacing w:before="240"/>
    </w:pPr>
  </w:style>
  <w:style w:type="character" w:customStyle="1" w:styleId="HotSpot">
    <w:name w:val="HotSpot"/>
    <w:rsid w:val="008F2D8C"/>
    <w:rPr>
      <w:color w:val="0033CC"/>
      <w:u w:val="none"/>
    </w:rPr>
  </w:style>
  <w:style w:type="paragraph" w:customStyle="1" w:styleId="BodyTextRight">
    <w:name w:val="Body Text Right"/>
    <w:basedOn w:val="BodyText"/>
    <w:rsid w:val="008F2D8C"/>
    <w:pPr>
      <w:spacing w:before="0" w:after="0"/>
      <w:jc w:val="right"/>
    </w:pPr>
  </w:style>
  <w:style w:type="paragraph" w:styleId="Index3">
    <w:name w:val="index 3"/>
    <w:basedOn w:val="ListNumber2"/>
    <w:next w:val="Normal"/>
    <w:semiHidden/>
    <w:rsid w:val="008F2D8C"/>
    <w:pPr>
      <w:numPr>
        <w:numId w:val="0"/>
      </w:numPr>
      <w:tabs>
        <w:tab w:val="right" w:leader="dot" w:pos="4176"/>
      </w:tabs>
    </w:pPr>
  </w:style>
  <w:style w:type="paragraph" w:styleId="ListNumber2">
    <w:name w:val="List Number 2"/>
    <w:basedOn w:val="List2"/>
    <w:rsid w:val="008F2D8C"/>
    <w:pPr>
      <w:numPr>
        <w:numId w:val="10"/>
      </w:numPr>
      <w:tabs>
        <w:tab w:val="clear" w:pos="1060"/>
      </w:tabs>
    </w:pPr>
  </w:style>
  <w:style w:type="paragraph" w:customStyle="1" w:styleId="MarginNote">
    <w:name w:val="Margin Note"/>
    <w:basedOn w:val="BodyText"/>
    <w:rsid w:val="008F2D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D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D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2D8C"/>
    <w:rPr>
      <w:sz w:val="32"/>
    </w:rPr>
  </w:style>
  <w:style w:type="paragraph" w:customStyle="1" w:styleId="HeadingProcedure">
    <w:name w:val="Heading Procedure"/>
    <w:basedOn w:val="HeadingBase"/>
    <w:next w:val="Normal"/>
    <w:rsid w:val="008F2D8C"/>
    <w:pPr>
      <w:tabs>
        <w:tab w:val="left" w:pos="0"/>
      </w:tabs>
      <w:spacing w:before="120" w:after="60"/>
    </w:pPr>
    <w:rPr>
      <w:i/>
      <w:color w:val="918585"/>
      <w:sz w:val="22"/>
    </w:rPr>
  </w:style>
  <w:style w:type="paragraph" w:customStyle="1" w:styleId="TableBodyText">
    <w:name w:val="Table Body Text"/>
    <w:basedOn w:val="BodyText"/>
    <w:rsid w:val="008F2D8C"/>
    <w:pPr>
      <w:spacing w:before="60" w:after="60"/>
    </w:pPr>
  </w:style>
  <w:style w:type="paragraph" w:styleId="ListContinue">
    <w:name w:val="List Continue"/>
    <w:basedOn w:val="List"/>
    <w:rsid w:val="008F2D8C"/>
    <w:pPr>
      <w:ind w:firstLine="0"/>
    </w:pPr>
  </w:style>
  <w:style w:type="paragraph" w:customStyle="1" w:styleId="ListNote">
    <w:name w:val="List Note"/>
    <w:basedOn w:val="List"/>
    <w:rsid w:val="008F2D8C"/>
    <w:pPr>
      <w:pBdr>
        <w:top w:val="single" w:sz="6" w:space="2" w:color="918585"/>
        <w:bottom w:val="single" w:sz="6" w:space="2" w:color="918585"/>
      </w:pBdr>
      <w:tabs>
        <w:tab w:val="left" w:pos="1021"/>
      </w:tabs>
      <w:ind w:firstLine="0"/>
    </w:pPr>
  </w:style>
  <w:style w:type="paragraph" w:customStyle="1" w:styleId="Warning">
    <w:name w:val="Warning"/>
    <w:basedOn w:val="BodyText"/>
    <w:rsid w:val="008F2D8C"/>
    <w:pPr>
      <w:shd w:val="clear" w:color="auto" w:fill="D9D9D9"/>
      <w:tabs>
        <w:tab w:val="left" w:pos="992"/>
      </w:tabs>
      <w:ind w:left="119" w:right="119"/>
    </w:pPr>
    <w:rPr>
      <w:sz w:val="20"/>
    </w:rPr>
  </w:style>
  <w:style w:type="paragraph" w:customStyle="1" w:styleId="MarginIcons">
    <w:name w:val="Margin Icons"/>
    <w:basedOn w:val="BodyText"/>
    <w:rsid w:val="008F2D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D8C"/>
    <w:rPr>
      <w:rFonts w:ascii="Courier New" w:hAnsi="Courier New"/>
    </w:rPr>
  </w:style>
  <w:style w:type="paragraph" w:customStyle="1" w:styleId="NoteBullet">
    <w:name w:val="Note Bullet"/>
    <w:basedOn w:val="Note"/>
    <w:rsid w:val="008F2D8C"/>
    <w:pPr>
      <w:tabs>
        <w:tab w:val="clear" w:pos="680"/>
      </w:tabs>
      <w:spacing w:before="60" w:after="60"/>
    </w:pPr>
  </w:style>
  <w:style w:type="paragraph" w:customStyle="1" w:styleId="SubHeading2">
    <w:name w:val="SubHeading2"/>
    <w:basedOn w:val="HeadingBase"/>
    <w:rsid w:val="008F2D8C"/>
    <w:pPr>
      <w:spacing w:before="240" w:after="60"/>
    </w:pPr>
    <w:rPr>
      <w:sz w:val="20"/>
    </w:rPr>
  </w:style>
  <w:style w:type="paragraph" w:customStyle="1" w:styleId="SubHeading1">
    <w:name w:val="SubHeading1"/>
    <w:basedOn w:val="HeadingBase"/>
    <w:rsid w:val="008F2D8C"/>
    <w:pPr>
      <w:spacing w:before="240" w:after="60"/>
    </w:pPr>
    <w:rPr>
      <w:color w:val="918585"/>
      <w:sz w:val="22"/>
    </w:rPr>
  </w:style>
  <w:style w:type="paragraph" w:customStyle="1" w:styleId="SideHeading">
    <w:name w:val="Side Heading"/>
    <w:basedOn w:val="HeadingBase"/>
    <w:rsid w:val="008F2D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D8C"/>
    <w:pPr>
      <w:numPr>
        <w:numId w:val="12"/>
      </w:numPr>
    </w:pPr>
  </w:style>
  <w:style w:type="paragraph" w:styleId="PlainText">
    <w:name w:val="Plain Text"/>
    <w:basedOn w:val="Normal"/>
    <w:link w:val="PlainTextChar"/>
    <w:rsid w:val="008F2D8C"/>
    <w:rPr>
      <w:sz w:val="20"/>
    </w:rPr>
  </w:style>
  <w:style w:type="character" w:customStyle="1" w:styleId="PlainTextChar">
    <w:name w:val="Plain Text Char"/>
    <w:basedOn w:val="DefaultParagraphFont"/>
    <w:link w:val="PlainText"/>
    <w:rsid w:val="008F2D8C"/>
    <w:rPr>
      <w:rFonts w:ascii="Courier New" w:eastAsia="Times New Roman" w:hAnsi="Courier New" w:cs="Times New Roman"/>
      <w:sz w:val="20"/>
      <w:szCs w:val="20"/>
      <w:lang w:eastAsia="en-US"/>
    </w:rPr>
  </w:style>
  <w:style w:type="character" w:customStyle="1" w:styleId="MenuOption">
    <w:name w:val="Menu Option"/>
    <w:basedOn w:val="DefaultParagraphFont"/>
    <w:rsid w:val="008F2D8C"/>
    <w:rPr>
      <w:b/>
      <w:smallCaps/>
    </w:rPr>
  </w:style>
  <w:style w:type="paragraph" w:customStyle="1" w:styleId="TableListNumber">
    <w:name w:val="Table List Number"/>
    <w:basedOn w:val="ListNumber"/>
    <w:rsid w:val="008F2D8C"/>
    <w:pPr>
      <w:numPr>
        <w:numId w:val="0"/>
      </w:numPr>
    </w:pPr>
  </w:style>
  <w:style w:type="paragraph" w:styleId="TOC4">
    <w:name w:val="toc 4"/>
    <w:basedOn w:val="TOCBase"/>
    <w:next w:val="Normal"/>
    <w:semiHidden/>
    <w:rsid w:val="008F2D8C"/>
    <w:pPr>
      <w:tabs>
        <w:tab w:val="right" w:leader="dot" w:pos="9071"/>
      </w:tabs>
      <w:ind w:left="1701"/>
    </w:pPr>
  </w:style>
  <w:style w:type="paragraph" w:customStyle="1" w:styleId="ListAlpha">
    <w:name w:val="List Alpha"/>
    <w:basedOn w:val="List"/>
    <w:rsid w:val="008F2D8C"/>
    <w:pPr>
      <w:numPr>
        <w:numId w:val="9"/>
      </w:numPr>
    </w:pPr>
  </w:style>
  <w:style w:type="paragraph" w:styleId="List2">
    <w:name w:val="List 2"/>
    <w:basedOn w:val="BodyText"/>
    <w:rsid w:val="008F2D8C"/>
    <w:pPr>
      <w:tabs>
        <w:tab w:val="left" w:pos="680"/>
      </w:tabs>
      <w:spacing w:before="60" w:after="60"/>
      <w:ind w:left="680" w:hanging="340"/>
    </w:pPr>
  </w:style>
  <w:style w:type="paragraph" w:styleId="List3">
    <w:name w:val="List 3"/>
    <w:basedOn w:val="BodyText"/>
    <w:rsid w:val="008F2D8C"/>
    <w:pPr>
      <w:tabs>
        <w:tab w:val="left" w:pos="1021"/>
      </w:tabs>
      <w:spacing w:before="60" w:after="60"/>
      <w:ind w:left="1020" w:hanging="340"/>
    </w:pPr>
  </w:style>
  <w:style w:type="paragraph" w:styleId="List4">
    <w:name w:val="List 4"/>
    <w:basedOn w:val="BodyText"/>
    <w:rsid w:val="008F2D8C"/>
    <w:pPr>
      <w:tabs>
        <w:tab w:val="left" w:pos="1361"/>
      </w:tabs>
      <w:spacing w:before="60" w:after="60"/>
      <w:ind w:left="1361" w:hanging="340"/>
    </w:pPr>
  </w:style>
  <w:style w:type="paragraph" w:styleId="List5">
    <w:name w:val="List 5"/>
    <w:basedOn w:val="BodyText"/>
    <w:rsid w:val="008F2D8C"/>
    <w:pPr>
      <w:tabs>
        <w:tab w:val="left" w:pos="1701"/>
      </w:tabs>
      <w:spacing w:before="60" w:after="60"/>
      <w:ind w:left="1701" w:hanging="340"/>
    </w:pPr>
  </w:style>
  <w:style w:type="paragraph" w:styleId="ListBullet3">
    <w:name w:val="List Bullet 3"/>
    <w:basedOn w:val="List3"/>
    <w:rsid w:val="008F2D8C"/>
    <w:pPr>
      <w:numPr>
        <w:numId w:val="15"/>
      </w:numPr>
      <w:tabs>
        <w:tab w:val="clear" w:pos="1021"/>
      </w:tabs>
      <w:ind w:left="1037" w:hanging="357"/>
    </w:pPr>
  </w:style>
  <w:style w:type="paragraph" w:styleId="ListBullet4">
    <w:name w:val="List Bullet 4"/>
    <w:basedOn w:val="List4"/>
    <w:rsid w:val="008F2D8C"/>
    <w:pPr>
      <w:numPr>
        <w:numId w:val="3"/>
      </w:numPr>
    </w:pPr>
  </w:style>
  <w:style w:type="paragraph" w:styleId="ListBullet5">
    <w:name w:val="List Bullet 5"/>
    <w:basedOn w:val="List5"/>
    <w:rsid w:val="008F2D8C"/>
    <w:pPr>
      <w:numPr>
        <w:numId w:val="4"/>
      </w:numPr>
    </w:pPr>
  </w:style>
  <w:style w:type="paragraph" w:styleId="ListContinue2">
    <w:name w:val="List Continue 2"/>
    <w:basedOn w:val="List2"/>
    <w:rsid w:val="008F2D8C"/>
    <w:pPr>
      <w:ind w:firstLine="0"/>
    </w:pPr>
  </w:style>
  <w:style w:type="paragraph" w:styleId="ListContinue3">
    <w:name w:val="List Continue 3"/>
    <w:basedOn w:val="List3"/>
    <w:rsid w:val="008F2D8C"/>
    <w:pPr>
      <w:ind w:left="1021" w:firstLine="0"/>
    </w:pPr>
  </w:style>
  <w:style w:type="paragraph" w:styleId="ListContinue4">
    <w:name w:val="List Continue 4"/>
    <w:basedOn w:val="List4"/>
    <w:rsid w:val="008F2D8C"/>
    <w:pPr>
      <w:ind w:firstLine="0"/>
    </w:pPr>
  </w:style>
  <w:style w:type="paragraph" w:styleId="ListContinue5">
    <w:name w:val="List Continue 5"/>
    <w:basedOn w:val="List5"/>
    <w:rsid w:val="008F2D8C"/>
    <w:pPr>
      <w:ind w:firstLine="0"/>
    </w:pPr>
  </w:style>
  <w:style w:type="paragraph" w:styleId="ListNumber3">
    <w:name w:val="List Number 3"/>
    <w:basedOn w:val="List3"/>
    <w:rsid w:val="008F2D8C"/>
    <w:pPr>
      <w:numPr>
        <w:numId w:val="5"/>
      </w:numPr>
    </w:pPr>
  </w:style>
  <w:style w:type="paragraph" w:styleId="ListNumber4">
    <w:name w:val="List Number 4"/>
    <w:basedOn w:val="List4"/>
    <w:rsid w:val="008F2D8C"/>
    <w:pPr>
      <w:numPr>
        <w:numId w:val="6"/>
      </w:numPr>
    </w:pPr>
  </w:style>
  <w:style w:type="paragraph" w:styleId="ListNumber5">
    <w:name w:val="List Number 5"/>
    <w:basedOn w:val="List5"/>
    <w:rsid w:val="008F2D8C"/>
    <w:pPr>
      <w:numPr>
        <w:numId w:val="7"/>
      </w:numPr>
    </w:pPr>
  </w:style>
  <w:style w:type="paragraph" w:styleId="BlockText">
    <w:name w:val="Block Text"/>
    <w:basedOn w:val="Normal"/>
    <w:rsid w:val="008F2D8C"/>
    <w:pPr>
      <w:spacing w:after="120"/>
      <w:ind w:left="1440" w:right="1440"/>
    </w:pPr>
  </w:style>
  <w:style w:type="character" w:customStyle="1" w:styleId="Subscript">
    <w:name w:val="Subscript"/>
    <w:basedOn w:val="DefaultParagraphFont"/>
    <w:rsid w:val="008F2D8C"/>
    <w:rPr>
      <w:sz w:val="16"/>
      <w:vertAlign w:val="subscript"/>
    </w:rPr>
  </w:style>
  <w:style w:type="character" w:customStyle="1" w:styleId="Superscript">
    <w:name w:val="Superscript"/>
    <w:basedOn w:val="DefaultParagraphFont"/>
    <w:rsid w:val="008F2D8C"/>
    <w:rPr>
      <w:sz w:val="16"/>
      <w:vertAlign w:val="superscript"/>
    </w:rPr>
  </w:style>
  <w:style w:type="character" w:customStyle="1" w:styleId="Symbols">
    <w:name w:val="Symbols"/>
    <w:basedOn w:val="DefaultParagraphFont"/>
    <w:rsid w:val="008F2D8C"/>
    <w:rPr>
      <w:rFonts w:ascii="Symbol" w:hAnsi="Symbol"/>
    </w:rPr>
  </w:style>
  <w:style w:type="character" w:customStyle="1" w:styleId="MenuOptions">
    <w:name w:val="Menu Options"/>
    <w:basedOn w:val="DefaultParagraphFont"/>
    <w:rsid w:val="008F2D8C"/>
    <w:rPr>
      <w:rFonts w:ascii="Arial Narrow" w:hAnsi="Arial Narrow"/>
      <w:smallCaps/>
    </w:rPr>
  </w:style>
  <w:style w:type="character" w:customStyle="1" w:styleId="Buttons">
    <w:name w:val="Buttons"/>
    <w:basedOn w:val="DefaultParagraphFont"/>
    <w:rsid w:val="008F2D8C"/>
    <w:rPr>
      <w:b/>
    </w:rPr>
  </w:style>
  <w:style w:type="character" w:customStyle="1" w:styleId="Underlined">
    <w:name w:val="Underlined"/>
    <w:basedOn w:val="DefaultParagraphFont"/>
    <w:rsid w:val="008F2D8C"/>
    <w:rPr>
      <w:u w:val="single"/>
    </w:rPr>
  </w:style>
  <w:style w:type="paragraph" w:customStyle="1" w:styleId="TableBodyTextRight">
    <w:name w:val="Table Body Text Right"/>
    <w:basedOn w:val="TableBodyText"/>
    <w:rsid w:val="008F2D8C"/>
    <w:pPr>
      <w:widowControl w:val="0"/>
      <w:autoSpaceDE w:val="0"/>
      <w:autoSpaceDN w:val="0"/>
      <w:adjustRightInd w:val="0"/>
      <w:jc w:val="right"/>
    </w:pPr>
    <w:rPr>
      <w:rFonts w:cs="Arial"/>
      <w:szCs w:val="18"/>
    </w:rPr>
  </w:style>
  <w:style w:type="paragraph" w:customStyle="1" w:styleId="CopyrightText">
    <w:name w:val="Copyright Text"/>
    <w:basedOn w:val="BodyText"/>
    <w:rsid w:val="008F2D8C"/>
    <w:rPr>
      <w:sz w:val="18"/>
    </w:rPr>
  </w:style>
  <w:style w:type="paragraph" w:customStyle="1" w:styleId="BodySmallRight">
    <w:name w:val="Body Small Right"/>
    <w:basedOn w:val="BodyTextRight"/>
    <w:rsid w:val="008F2D8C"/>
    <w:rPr>
      <w:sz w:val="18"/>
      <w:szCs w:val="18"/>
    </w:rPr>
  </w:style>
  <w:style w:type="paragraph" w:customStyle="1" w:styleId="MarginEdition">
    <w:name w:val="Margin Edition"/>
    <w:basedOn w:val="MarginNote"/>
    <w:rsid w:val="008F2D8C"/>
    <w:pPr>
      <w:spacing w:before="0" w:after="0"/>
    </w:pPr>
    <w:rPr>
      <w:rFonts w:ascii="Times New Roman" w:hAnsi="Times New Roman"/>
      <w:color w:val="999999"/>
    </w:rPr>
  </w:style>
  <w:style w:type="paragraph" w:customStyle="1" w:styleId="Spacer">
    <w:name w:val="Spacer"/>
    <w:basedOn w:val="Normal"/>
    <w:rsid w:val="008F2D8C"/>
    <w:rPr>
      <w:sz w:val="2"/>
      <w:szCs w:val="2"/>
    </w:rPr>
  </w:style>
  <w:style w:type="character" w:customStyle="1" w:styleId="Small">
    <w:name w:val="Small"/>
    <w:basedOn w:val="DefaultParagraphFont"/>
    <w:rsid w:val="008F2D8C"/>
    <w:rPr>
      <w:sz w:val="16"/>
    </w:rPr>
  </w:style>
  <w:style w:type="paragraph" w:customStyle="1" w:styleId="WideTable">
    <w:name w:val="Wide Table"/>
    <w:basedOn w:val="Normal"/>
    <w:rsid w:val="008F2D8C"/>
    <w:pPr>
      <w:ind w:left="-1418"/>
    </w:pPr>
    <w:rPr>
      <w:sz w:val="2"/>
      <w:szCs w:val="2"/>
    </w:rPr>
  </w:style>
  <w:style w:type="character" w:styleId="PageNumber">
    <w:name w:val="page number"/>
    <w:basedOn w:val="DefaultParagraphFont"/>
    <w:rsid w:val="008F2D8C"/>
  </w:style>
  <w:style w:type="paragraph" w:styleId="Quote">
    <w:name w:val="Quote"/>
    <w:basedOn w:val="Heading1"/>
    <w:link w:val="QuoteChar"/>
    <w:qFormat/>
    <w:rsid w:val="008F2D8C"/>
    <w:rPr>
      <w:b w:val="0"/>
      <w:sz w:val="72"/>
      <w:szCs w:val="72"/>
      <w:lang w:val="en-NZ"/>
    </w:rPr>
  </w:style>
  <w:style w:type="character" w:customStyle="1" w:styleId="QuoteChar">
    <w:name w:val="Quote Char"/>
    <w:basedOn w:val="DefaultParagraphFont"/>
    <w:link w:val="Quote"/>
    <w:rsid w:val="008F2D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D8C"/>
    <w:pPr>
      <w:pageBreakBefore/>
    </w:pPr>
  </w:style>
  <w:style w:type="paragraph" w:customStyle="1" w:styleId="Border">
    <w:name w:val="Border"/>
    <w:basedOn w:val="Normal"/>
    <w:qFormat/>
    <w:rsid w:val="008F2D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D8C"/>
    <w:rPr>
      <w:b/>
      <w:bCs/>
      <w:i/>
      <w:iCs/>
      <w:color w:val="auto"/>
    </w:rPr>
  </w:style>
  <w:style w:type="paragraph" w:styleId="IntenseQuote">
    <w:name w:val="Intense Quote"/>
    <w:basedOn w:val="Normal"/>
    <w:next w:val="Normal"/>
    <w:link w:val="IntenseQuoteChar"/>
    <w:uiPriority w:val="30"/>
    <w:qFormat/>
    <w:rsid w:val="008F2D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D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2D8C"/>
    <w:rPr>
      <w:smallCaps/>
      <w:color w:val="auto"/>
      <w:u w:val="single"/>
    </w:rPr>
  </w:style>
  <w:style w:type="character" w:styleId="IntenseReference">
    <w:name w:val="Intense Reference"/>
    <w:basedOn w:val="DefaultParagraphFont"/>
    <w:uiPriority w:val="32"/>
    <w:qFormat/>
    <w:rsid w:val="008F2D8C"/>
    <w:rPr>
      <w:b/>
      <w:bCs/>
      <w:smallCaps/>
      <w:color w:val="auto"/>
      <w:spacing w:val="5"/>
      <w:u w:val="single"/>
    </w:rPr>
  </w:style>
  <w:style w:type="paragraph" w:customStyle="1" w:styleId="2ColumnHeading">
    <w:name w:val="2Column Heading"/>
    <w:basedOn w:val="BodyText"/>
    <w:qFormat/>
    <w:rsid w:val="008F2D8C"/>
    <w:pPr>
      <w:spacing w:after="60"/>
      <w:ind w:left="-2268"/>
    </w:pPr>
    <w:rPr>
      <w:b/>
    </w:rPr>
  </w:style>
  <w:style w:type="paragraph" w:customStyle="1" w:styleId="Heading1TOC">
    <w:name w:val="Heading1 TOC"/>
    <w:basedOn w:val="Normal"/>
    <w:qFormat/>
    <w:rsid w:val="008F2D8C"/>
    <w:pPr>
      <w:spacing w:before="240" w:after="120"/>
    </w:pPr>
    <w:rPr>
      <w:rFonts w:ascii="Times New Roman" w:hAnsi="Times New Roman"/>
      <w:b/>
      <w:sz w:val="32"/>
    </w:rPr>
  </w:style>
  <w:style w:type="paragraph" w:customStyle="1" w:styleId="Heading2TOC">
    <w:name w:val="Heading2 TOC"/>
    <w:basedOn w:val="Normal"/>
    <w:qFormat/>
    <w:rsid w:val="008F2D8C"/>
    <w:pPr>
      <w:spacing w:before="240" w:after="60"/>
    </w:pPr>
    <w:rPr>
      <w:rFonts w:ascii="Times New Roman" w:hAnsi="Times New Roman"/>
      <w:b/>
      <w:sz w:val="28"/>
    </w:rPr>
  </w:style>
  <w:style w:type="character" w:customStyle="1" w:styleId="Underline">
    <w:name w:val="Underline"/>
    <w:basedOn w:val="DefaultParagraphFont"/>
    <w:qFormat/>
    <w:rsid w:val="008F2D8C"/>
    <w:rPr>
      <w:u w:val="single"/>
    </w:rPr>
  </w:style>
  <w:style w:type="character" w:customStyle="1" w:styleId="BoldandItalics">
    <w:name w:val="Bold and Italics"/>
    <w:qFormat/>
    <w:rsid w:val="008F2D8C"/>
    <w:rPr>
      <w:b/>
      <w:i/>
      <w:u w:val="none"/>
    </w:rPr>
  </w:style>
  <w:style w:type="paragraph" w:styleId="BalloonText">
    <w:name w:val="Balloon Text"/>
    <w:basedOn w:val="Normal"/>
    <w:link w:val="BalloonTextChar"/>
    <w:rsid w:val="008F2D8C"/>
    <w:rPr>
      <w:rFonts w:ascii="Tahoma" w:hAnsi="Tahoma" w:cs="Tahoma"/>
      <w:sz w:val="16"/>
      <w:szCs w:val="16"/>
    </w:rPr>
  </w:style>
  <w:style w:type="character" w:customStyle="1" w:styleId="BalloonTextChar">
    <w:name w:val="Balloon Text Char"/>
    <w:basedOn w:val="DefaultParagraphFont"/>
    <w:link w:val="BalloonText"/>
    <w:rsid w:val="008F2D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2D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2D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2D8C"/>
    <w:rPr>
      <w:b/>
      <w:color w:val="660033"/>
      <w:spacing w:val="0"/>
    </w:rPr>
  </w:style>
  <w:style w:type="paragraph" w:customStyle="1" w:styleId="Nameditemlist">
    <w:name w:val="Named item list"/>
    <w:basedOn w:val="BodyText"/>
    <w:qFormat/>
    <w:rsid w:val="008F2D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2140</Words>
  <Characters>13309</Characters>
  <Application>Microsoft Office Word</Application>
  <DocSecurity>0</DocSecurity>
  <Lines>503</Lines>
  <Paragraphs>208</Paragraphs>
  <ScaleCrop>false</ScaleCrop>
  <Company>Author-it Software Corporation Ltd.</Company>
  <LinksUpToDate>false</LinksUpToDate>
  <CharactersWithSpaces>15294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UEENEEN112A Install and maintain vital relay interlocking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2013-08-14T00:53:00Z</dcterms:created>
  <dcterms:modified xsi:type="dcterms:W3CDTF">2013-08-14T00:53:00Z</dcterms:modified>
</cp:coreProperties>
</file>