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352" w:rsidP="00276352">
      <w:pPr>
        <w:pStyle w:val="Title"/>
      </w:pPr>
      <w:r>
        <w:fldChar w:fldCharType="begin"/>
      </w:r>
      <w:r>
        <w:instrText xml:space="preserve"> TITLE   \* MERGEFORMAT </w:instrText>
      </w:r>
      <w:r>
        <w:fldChar w:fldCharType="separate"/>
      </w:r>
      <w:r>
        <w:t>UEENEEN109A Install and maintain train detection equipment</w:t>
      </w:r>
      <w:r>
        <w:fldChar w:fldCharType="end"/>
      </w:r>
    </w:p>
    <w:p w:rsidR="00276352" w:rsidP="00276352">
      <w:pPr>
        <w:pStyle w:val="Version"/>
        <w:sectPr w:rsidSect="001517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1762" w:rsidP="00151762">
      <w:pPr>
        <w:pStyle w:val="SuperHeading"/>
      </w:pPr>
      <w:r w:rsidRPr="00151762">
        <w:t>UEENEEN109A Install and maintain train detection equipment</w:t>
      </w:r>
    </w:p>
    <w:p w:rsidR="00000000" w:rsidRPr="00151762" w:rsidP="00151762">
      <w:pPr>
        <w:pStyle w:val="Heading1"/>
      </w:pPr>
      <w:bookmarkStart w:id="1" w:name="O_585746"/>
      <w:bookmarkEnd w:id="1"/>
      <w:r w:rsidRPr="00151762">
        <w:t>Modification History</w:t>
      </w:r>
    </w:p>
    <w:p w:rsidR="00000000" w:rsidRPr="00151762" w:rsidP="00151762">
      <w:pPr>
        <w:pStyle w:val="BodyText"/>
      </w:pPr>
      <w:r w:rsidRPr="00151762">
        <w:t>Not applicable.</w:t>
      </w:r>
    </w:p>
    <w:p w:rsidR="00000000" w:rsidRPr="00151762" w:rsidP="00151762">
      <w:pPr>
        <w:pStyle w:val="AllowPageBreak"/>
      </w:pPr>
    </w:p>
    <w:p w:rsidR="00000000" w:rsidRPr="00151762" w:rsidP="00151762">
      <w:pPr>
        <w:pStyle w:val="Heading1"/>
      </w:pPr>
      <w:bookmarkStart w:id="2" w:name="O_585745"/>
      <w:bookmarkEnd w:id="2"/>
      <w:r w:rsidRPr="00151762">
        <w:t>Unit Descriptor</w:t>
      </w:r>
    </w:p>
    <w:tbl>
      <w:tblPr>
        <w:tblW w:w="0" w:type="auto"/>
        <w:tblLayout w:type="fixed"/>
        <w:tblCellMar>
          <w:left w:w="62" w:type="dxa"/>
          <w:right w:w="62" w:type="dxa"/>
        </w:tblCellMar>
        <w:tblLook w:val="0000"/>
      </w:tblPr>
      <w:tblGrid>
        <w:gridCol w:w="2700"/>
        <w:gridCol w:w="5760"/>
      </w:tblGrid>
      <w:tr w:rsidTr="00276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1)</w:t>
            </w:r>
            <w:r w:rsidRPr="00151762">
              <w:t xml:space="preserve"> </w:t>
            </w:r>
            <w:r w:rsidRPr="00151762">
              <w:rPr>
                <w:rStyle w:val="SpecialBold"/>
              </w:rPr>
              <w:t>Scope:</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176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1.1) Descriptor</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This unit covers the installation and maintenance of train detection equipment in a rail network.  It encompasses safe worki</w:t>
            </w:r>
            <w:r w:rsidRPr="00151762">
              <w:t>ng, regulatory requirements and following installation and work procedures, performing maintenance, finding and repairing faults, performing operational tests, certifying and reporting.</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3" w:name="O_585744"/>
      <w:bookmarkEnd w:id="3"/>
      <w:r w:rsidRPr="00151762">
        <w:t>Application of the Unit</w:t>
      </w:r>
    </w:p>
    <w:tbl>
      <w:tblPr>
        <w:tblW w:w="0" w:type="auto"/>
        <w:tblLayout w:type="fixed"/>
        <w:tblCellMar>
          <w:left w:w="62" w:type="dxa"/>
          <w:right w:w="62" w:type="dxa"/>
        </w:tblCellMar>
        <w:tblLook w:val="0000"/>
      </w:tblPr>
      <w:tblGrid>
        <w:gridCol w:w="2672"/>
        <w:gridCol w:w="5699"/>
      </w:tblGrid>
      <w:tr w:rsidTr="002763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2)</w:t>
            </w:r>
          </w:p>
        </w:tc>
      </w:tr>
      <w:tr w:rsidTr="0027635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This unit shall apply to qualifications in installation and maintenance of rail signalling electrical power and control systems.</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4" w:name="O_585743"/>
      <w:bookmarkEnd w:id="4"/>
      <w:r w:rsidRPr="00151762">
        <w:t>Licensing/Regulatory Information</w:t>
      </w:r>
    </w:p>
    <w:tbl>
      <w:tblPr>
        <w:tblW w:w="0" w:type="auto"/>
        <w:tblLayout w:type="fixed"/>
        <w:tblCellMar>
          <w:left w:w="62" w:type="dxa"/>
          <w:right w:w="62" w:type="dxa"/>
        </w:tblCellMar>
        <w:tblLook w:val="0000"/>
      </w:tblPr>
      <w:tblGrid>
        <w:gridCol w:w="2700"/>
        <w:gridCol w:w="5760"/>
      </w:tblGrid>
      <w:tr w:rsidTr="00276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 xml:space="preserve">3) </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The skills and knowledge described in this unit</w:t>
            </w:r>
            <w:r w:rsidRPr="00151762">
              <w:t xml:space="preserve"> may only be practised in the workplace under regulations related to electrical work, the codes of practice and regulations of the State/Territory in which the work is carried out. This includes codes of practice such as the ‘Code Of Practice for the Defin</w:t>
            </w:r>
            <w:r w:rsidRPr="00151762">
              <w:t>ed Interstate Rail Network’ for work carried out on that network.</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5" w:name="O_585742"/>
      <w:bookmarkEnd w:id="5"/>
      <w:r w:rsidRPr="00151762">
        <w:t>Pre-Requisites</w:t>
      </w:r>
    </w:p>
    <w:tbl>
      <w:tblPr>
        <w:tblW w:w="0" w:type="auto"/>
        <w:tblLayout w:type="fixed"/>
        <w:tblCellMar>
          <w:left w:w="62" w:type="dxa"/>
          <w:right w:w="62" w:type="dxa"/>
        </w:tblCellMar>
        <w:tblLook w:val="0000"/>
      </w:tblPr>
      <w:tblGrid>
        <w:gridCol w:w="2700"/>
        <w:gridCol w:w="1350"/>
        <w:gridCol w:w="4410"/>
      </w:tblGrid>
      <w:tr w:rsidTr="00276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 xml:space="preserve">4) </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4.1)</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Granting competency in this unit shall be made only after competency in the following unit(s) has/have been confirmed.</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UEENEEN105A</w:t>
            </w:r>
          </w:p>
        </w:tc>
        <w:tc>
          <w:tcPr>
            <w:tcW w:w="441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Install and maintain rail signalling power supplies</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AND</w:t>
            </w:r>
          </w:p>
        </w:tc>
        <w:tc>
          <w:tcPr>
            <w:tcW w:w="441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UEENEEN103A</w:t>
            </w:r>
          </w:p>
        </w:tc>
        <w:tc>
          <w:tcPr>
            <w:tcW w:w="441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Install and maintain rail track circuit leads and</w:t>
            </w:r>
            <w:r w:rsidRPr="00151762">
              <w:t xml:space="preserve"> bonds</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AND</w:t>
            </w:r>
          </w:p>
        </w:tc>
        <w:tc>
          <w:tcPr>
            <w:tcW w:w="441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Relevant work place requirements in ‘Work site protection’ have been acquired.</w:t>
            </w:r>
          </w:p>
        </w:tc>
      </w:tr>
    </w:tbl>
    <w:p w:rsidR="00000000" w:rsidRPr="00151762" w:rsidP="0015176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7635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 xml:space="preserve">4.2) </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Participants are best equipped to achieve competency in this unit if they have reading, writing and numeracy skills indicated by the following scales. Description of each scale is given in Volume 2, Part 3 ‘Literacy and Numeracy’</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Reading</w:t>
            </w:r>
          </w:p>
        </w:tc>
        <w:tc>
          <w:tcPr>
            <w:tcW w:w="81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4</w:t>
            </w:r>
          </w:p>
        </w:tc>
        <w:tc>
          <w:tcPr>
            <w:tcW w:w="99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Writing</w:t>
            </w: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4</w:t>
            </w:r>
          </w:p>
        </w:tc>
        <w:tc>
          <w:tcPr>
            <w:tcW w:w="12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Numeracy</w:t>
            </w:r>
          </w:p>
        </w:tc>
        <w:tc>
          <w:tcPr>
            <w:tcW w:w="72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4</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6" w:name="O_585741"/>
      <w:bookmarkEnd w:id="6"/>
      <w:r w:rsidRPr="00151762">
        <w:t>Employability Skills Information</w:t>
      </w:r>
    </w:p>
    <w:tbl>
      <w:tblPr>
        <w:tblW w:w="0" w:type="auto"/>
        <w:tblLayout w:type="fixed"/>
        <w:tblCellMar>
          <w:left w:w="62" w:type="dxa"/>
          <w:right w:w="62" w:type="dxa"/>
        </w:tblCellMar>
        <w:tblLook w:val="0000"/>
      </w:tblPr>
      <w:tblGrid>
        <w:gridCol w:w="2700"/>
        <w:gridCol w:w="5760"/>
      </w:tblGrid>
      <w:tr w:rsidTr="00276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 xml:space="preserve">5) </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This unit contains Employability Skills</w:t>
            </w:r>
          </w:p>
          <w:p w:rsidR="00000000" w:rsidRPr="00151762" w:rsidP="00151762">
            <w:pPr>
              <w:pStyle w:val="BodyText"/>
            </w:pPr>
            <w:r w:rsidRPr="0015176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51762">
              <w:t>requirements.</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7" w:name="O_585740"/>
      <w:bookmarkEnd w:id="7"/>
      <w:r w:rsidRPr="00151762">
        <w:t>Elements and Performance Criteria Pre-Content</w:t>
      </w:r>
    </w:p>
    <w:tbl>
      <w:tblPr>
        <w:tblW w:w="0" w:type="auto"/>
        <w:tblLayout w:type="fixed"/>
        <w:tblCellMar>
          <w:left w:w="62" w:type="dxa"/>
          <w:right w:w="62" w:type="dxa"/>
        </w:tblCellMar>
        <w:tblLook w:val="0000"/>
      </w:tblPr>
      <w:tblGrid>
        <w:gridCol w:w="2700"/>
        <w:gridCol w:w="5760"/>
      </w:tblGrid>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6)</w:t>
            </w:r>
            <w:r w:rsidRPr="0015176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Performance Criteria describe the required performance needed to demonstrate achievement of the element. Assessment of performance is to be consistent with the Evidence Guide.</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8" w:name="O_585739"/>
      <w:bookmarkEnd w:id="8"/>
      <w:r w:rsidRPr="0015176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7635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PERFORMANCE CRITER</w:t>
            </w:r>
            <w:r w:rsidRPr="00151762">
              <w:rPr>
                <w:rStyle w:val="SpecialBold"/>
              </w:rPr>
              <w:t>IA</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w:t>
            </w:r>
          </w:p>
        </w:tc>
        <w:tc>
          <w:tcPr>
            <w:tcW w:w="2296"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 xml:space="preserve">Prepare to install and maintain train detection equipment </w:t>
            </w: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1.1</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OHS procedures for a given work area are identified, obtained and understood.</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1.2</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Established OHS risk control measures and procedures are followed in preparation for the work.</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1.3</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The extent of the installation and/or maintenance is determined from maintenance schedules, job specifications, drawings and regulatory requirements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1.4</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Appropriate personnel are consulted to ensure the work is coordinated effectively with others involved on the work site</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1.5</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 xml:space="preserve">Materials needed for the installation and/or maintenance work are obtained in accordance with established procedures and checked </w:t>
            </w:r>
            <w:r w:rsidRPr="00151762">
              <w:t>against job requirements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1.6</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Tools, equipment and testing devices needed for the installation and/or maintenance work are obtained in accordance with established procedures and checked for correct operation and safety.</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w:t>
            </w:r>
          </w:p>
        </w:tc>
        <w:tc>
          <w:tcPr>
            <w:tcW w:w="2296"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Install and maintain train dete</w:t>
            </w:r>
            <w:r w:rsidRPr="00151762">
              <w:t>ction equipment</w:t>
            </w: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2.1</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OHS risk control measures and procedures for carrying out the work are followed.</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2.2</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Installation and maintenance work is carried out to manufacturer specifications using procedures consistent with delegated authority.</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2.3</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Normal function and operating parameters are confirmed using appropriate manuals, specifications and commissioning data.</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2.4</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Fault finding and diagnostic techniques are completed to verify system/faults.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2.5</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Faulty, damaged or insecure components are</w:t>
            </w:r>
            <w:r w:rsidRPr="00151762">
              <w:t xml:space="preserve"> replaced, repaired or secured in accordance with manufacturer specifications and organisation procedures.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2.6</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 xml:space="preserve">Installation and maintenance, adjusting and testing work is carried out efficiently without waste of materials or damage to apparatus and the </w:t>
            </w:r>
            <w:r w:rsidRPr="00151762">
              <w:t>surrounding environment or services and using sustainable energy practices.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2.7</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Appropriate readings are measured and recorded using relevant test instruments.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2.8</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Equipment is tested and adjusted in accordance with the specifications.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2.9</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Equipme</w:t>
            </w:r>
            <w:r w:rsidRPr="00151762">
              <w:t>nt operational tests are completed to specifications and procedures.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2.10</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Methods for dealing with unexpected situations are selected on the basis of safety and specified work outcomes.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3</w:t>
            </w:r>
          </w:p>
        </w:tc>
        <w:tc>
          <w:tcPr>
            <w:tcW w:w="2296"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Complete the installation and maintenance of train detection equipment</w:t>
            </w: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3.1</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OHS risk control work completion measures and procedures are followed.</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3.2</w:t>
            </w:r>
          </w:p>
        </w:tc>
        <w:tc>
          <w:tcPr>
            <w:tcW w:w="48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 xml:space="preserve">Correct calibration of equipment is verified and equipment is confirmed as fulfilling functional tests </w:t>
            </w:r>
            <w:r w:rsidRPr="00151762">
              <w:t>in accordance with organisation certification procedures.</w:t>
            </w:r>
          </w:p>
        </w:tc>
      </w:tr>
      <w:tr w:rsidTr="0027635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t>3.3</w:t>
            </w:r>
          </w:p>
        </w:tc>
        <w:tc>
          <w:tcPr>
            <w:tcW w:w="48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Work completion is documented and appropriate persons notified in accordance with established procedures, and relevant reports produced</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9" w:name="O_585738"/>
      <w:bookmarkEnd w:id="9"/>
      <w:r w:rsidRPr="00151762">
        <w:t>Required Skills and Knowledge</w:t>
      </w:r>
    </w:p>
    <w:tbl>
      <w:tblPr>
        <w:tblW w:w="0" w:type="auto"/>
        <w:tblLayout w:type="fixed"/>
        <w:tblCellMar>
          <w:left w:w="62" w:type="dxa"/>
          <w:right w:w="62" w:type="dxa"/>
        </w:tblCellMar>
        <w:tblLook w:val="0000"/>
      </w:tblPr>
      <w:tblGrid>
        <w:gridCol w:w="8460"/>
      </w:tblGrid>
      <w:tr w:rsidTr="002763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REQUIRED SKILLS AND KNOWLEDGE</w:t>
            </w:r>
          </w:p>
        </w:tc>
      </w:tr>
      <w:tr w:rsidTr="00276352">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8)</w:t>
            </w:r>
            <w:r w:rsidRPr="00151762">
              <w:t xml:space="preserve">  This describes the essential skills and knowledge and their level, required for this unit.</w:t>
            </w:r>
          </w:p>
          <w:p w:rsidR="00000000" w:rsidRPr="00151762" w:rsidP="00151762">
            <w:pPr>
              <w:pStyle w:val="BodyText"/>
            </w:pPr>
            <w:r w:rsidRPr="00151762">
              <w:t>Evidence shall show that knowledge has been acquired of safe working practices and maintaining train detection equipment.</w:t>
            </w:r>
          </w:p>
          <w:p w:rsidR="00000000" w:rsidRPr="00151762" w:rsidP="00151762">
            <w:pPr>
              <w:pStyle w:val="BodyText"/>
            </w:pPr>
            <w:r w:rsidRPr="00151762">
              <w:t>All knowledge and skills detailed in this unit should be contextualised to current industry practices and technologies.</w:t>
            </w:r>
          </w:p>
          <w:p w:rsidR="00000000" w:rsidRPr="00151762" w:rsidP="00151762">
            <w:pPr>
              <w:pStyle w:val="BodyText"/>
            </w:pPr>
            <w:r w:rsidRPr="00151762">
              <w:rPr>
                <w:rStyle w:val="SpecialBold"/>
              </w:rPr>
              <w:t>KS01-EN109A                       Train detection equipment installation and maintenance</w:t>
            </w:r>
          </w:p>
          <w:p w:rsidR="00000000" w:rsidRPr="00151762" w:rsidP="00151762">
            <w:pPr>
              <w:pStyle w:val="BodyText"/>
            </w:pPr>
            <w:r w:rsidRPr="00151762">
              <w:t>Evidence shall show an understanding of train d</w:t>
            </w:r>
            <w:r w:rsidRPr="00151762">
              <w:t>etection equipment installation and maintenance, applying safe working practices and relevant Standards, Codes and Regulations to an extent indicated by the following aspects:</w:t>
            </w:r>
          </w:p>
          <w:p w:rsidR="00000000" w:rsidRPr="00151762" w:rsidP="00151762">
            <w:pPr>
              <w:pStyle w:val="BodyText"/>
            </w:pPr>
            <w:r w:rsidRPr="00151762">
              <w:t>Rail signalling, train detection equipment</w:t>
            </w:r>
          </w:p>
          <w:p w:rsidR="00000000" w:rsidRPr="00151762" w:rsidP="00151762">
            <w:pPr>
              <w:pStyle w:val="BodyText"/>
            </w:pPr>
            <w:r w:rsidRPr="00151762">
              <w:t>Train detection equipment and their c</w:t>
            </w:r>
            <w:r w:rsidRPr="00151762">
              <w:t>omponents encompassing:</w:t>
            </w:r>
          </w:p>
          <w:p w:rsidR="00000000" w:rsidRPr="00151762" w:rsidP="00151762">
            <w:pPr>
              <w:pStyle w:val="BodyText"/>
            </w:pPr>
            <w:r w:rsidRPr="00151762">
              <w:t>Track circuits</w:t>
            </w:r>
          </w:p>
          <w:p w:rsidR="00000000" w:rsidRPr="00151762" w:rsidP="00151762">
            <w:pPr>
              <w:pStyle w:val="BodyText"/>
            </w:pPr>
            <w:r w:rsidRPr="00151762">
              <w:t>Note:</w:t>
            </w:r>
          </w:p>
          <w:p w:rsidR="00000000" w:rsidRPr="00151762" w:rsidP="00151762">
            <w:pPr>
              <w:pStyle w:val="BodyText"/>
            </w:pPr>
            <w:r w:rsidRPr="00151762">
              <w:t>Types may include jointed, jointless, non-vital, axle counters, treadles and level crossing predictors.</w:t>
            </w:r>
          </w:p>
          <w:p w:rsidR="00000000" w:rsidRPr="00151762" w:rsidP="00151762">
            <w:pPr>
              <w:pStyle w:val="BodyText"/>
            </w:pPr>
            <w:r w:rsidRPr="00151762">
              <w:t>AC and DC power supplies</w:t>
            </w:r>
          </w:p>
          <w:p w:rsidR="00000000" w:rsidRPr="00151762" w:rsidP="00151762">
            <w:pPr>
              <w:pStyle w:val="BodyText"/>
            </w:pPr>
            <w:r w:rsidRPr="00151762">
              <w:t>Transmitters</w:t>
            </w:r>
          </w:p>
          <w:p w:rsidR="00000000" w:rsidRPr="00151762" w:rsidP="00151762">
            <w:pPr>
              <w:pStyle w:val="BodyText"/>
            </w:pPr>
            <w:r w:rsidRPr="00151762">
              <w:t>Receivers</w:t>
            </w:r>
          </w:p>
          <w:p w:rsidR="00000000" w:rsidRPr="00151762" w:rsidP="00151762">
            <w:pPr>
              <w:pStyle w:val="BodyText"/>
            </w:pPr>
            <w:r w:rsidRPr="00151762">
              <w:t>Relays</w:t>
            </w:r>
          </w:p>
          <w:p w:rsidR="00000000" w:rsidRPr="00151762" w:rsidP="00151762">
            <w:pPr>
              <w:pStyle w:val="BodyText"/>
            </w:pPr>
            <w:r w:rsidRPr="00151762">
              <w:t>Track Shunts</w:t>
            </w:r>
          </w:p>
          <w:p w:rsidR="00000000" w:rsidRPr="00151762" w:rsidP="00151762">
            <w:pPr>
              <w:pStyle w:val="BodyText"/>
            </w:pPr>
            <w:r w:rsidRPr="00151762">
              <w:t>Tuned joint couplers</w:t>
            </w:r>
          </w:p>
          <w:p w:rsidR="00000000" w:rsidRPr="00151762" w:rsidP="00151762">
            <w:pPr>
              <w:pStyle w:val="BodyText"/>
            </w:pPr>
            <w:r w:rsidRPr="00151762">
              <w:t>Central processor</w:t>
            </w:r>
          </w:p>
          <w:p w:rsidR="00000000" w:rsidRPr="00151762" w:rsidP="00151762">
            <w:pPr>
              <w:pStyle w:val="BodyText"/>
            </w:pPr>
            <w:r w:rsidRPr="00151762">
              <w:t>Diagnostics</w:t>
            </w:r>
          </w:p>
          <w:p w:rsidR="00000000" w:rsidRPr="00151762" w:rsidP="00151762">
            <w:pPr>
              <w:pStyle w:val="BodyText"/>
            </w:pPr>
            <w:r w:rsidRPr="00151762">
              <w:t>Fixtures to ironwork.</w:t>
            </w:r>
          </w:p>
          <w:p w:rsidR="00000000" w:rsidRPr="00151762" w:rsidP="00151762">
            <w:pPr>
              <w:pStyle w:val="BodyText"/>
            </w:pPr>
            <w:r w:rsidRPr="00151762">
              <w:t>Operating principles and parameters encompassing:</w:t>
            </w:r>
          </w:p>
          <w:p w:rsidR="00000000" w:rsidRPr="00151762" w:rsidP="00151762">
            <w:pPr>
              <w:pStyle w:val="BodyText"/>
            </w:pPr>
            <w:r w:rsidRPr="00151762">
              <w:t>Interpreting circuits diagrams to evaluate correct operation and relationship to other signalling circuits</w:t>
            </w:r>
          </w:p>
          <w:p w:rsidR="00000000" w:rsidRPr="00151762" w:rsidP="00151762">
            <w:pPr>
              <w:pStyle w:val="BodyText"/>
            </w:pPr>
            <w:r w:rsidRPr="00151762">
              <w:t>Normal mode operation</w:t>
            </w:r>
          </w:p>
          <w:p w:rsidR="00000000" w:rsidRPr="00151762" w:rsidP="00151762">
            <w:pPr>
              <w:pStyle w:val="BodyText"/>
            </w:pPr>
            <w:r w:rsidRPr="00151762">
              <w:t>Note:</w:t>
            </w:r>
          </w:p>
          <w:p w:rsidR="00000000" w:rsidRPr="00151762" w:rsidP="00151762">
            <w:pPr>
              <w:pStyle w:val="BodyText"/>
            </w:pPr>
            <w:r w:rsidRPr="00151762">
              <w:t>Normal mode includes instantaneous coil energisation and delay pickup.</w:t>
            </w:r>
          </w:p>
          <w:p w:rsidR="00000000" w:rsidRPr="00151762" w:rsidP="00151762">
            <w:pPr>
              <w:pStyle w:val="BodyText"/>
            </w:pPr>
            <w:r w:rsidRPr="00151762">
              <w:t>Wrong side operation</w:t>
            </w:r>
          </w:p>
          <w:p w:rsidR="00000000" w:rsidRPr="00151762" w:rsidP="00151762">
            <w:pPr>
              <w:pStyle w:val="BodyText"/>
            </w:pPr>
            <w:r w:rsidRPr="00151762">
              <w:t>Failure mode operation</w:t>
            </w:r>
          </w:p>
          <w:p w:rsidR="00000000" w:rsidRPr="00151762" w:rsidP="00151762">
            <w:pPr>
              <w:pStyle w:val="BodyText"/>
            </w:pPr>
            <w:r w:rsidRPr="00151762">
              <w:t xml:space="preserve">Note: </w:t>
            </w:r>
          </w:p>
          <w:p w:rsidR="00000000" w:rsidRPr="00151762" w:rsidP="00151762">
            <w:pPr>
              <w:pStyle w:val="BodyText"/>
            </w:pPr>
            <w:r w:rsidRPr="00151762">
              <w:t>Failure mode must include wrong side and right side conditions.</w:t>
            </w:r>
          </w:p>
          <w:p w:rsidR="00000000" w:rsidRPr="00151762" w:rsidP="00151762">
            <w:pPr>
              <w:pStyle w:val="BodyText"/>
            </w:pPr>
            <w:r w:rsidRPr="00151762">
              <w:t>Alarm mode</w:t>
            </w:r>
          </w:p>
          <w:p w:rsidR="00000000" w:rsidRPr="00151762" w:rsidP="00151762">
            <w:pPr>
              <w:pStyle w:val="BodyText"/>
            </w:pPr>
            <w:r w:rsidRPr="00151762">
              <w:t>Redundancy mode</w:t>
            </w:r>
          </w:p>
          <w:p w:rsidR="00000000" w:rsidRPr="00151762" w:rsidP="00151762">
            <w:pPr>
              <w:pStyle w:val="BodyText"/>
            </w:pPr>
            <w:r w:rsidRPr="00151762">
              <w:t>Correct operation in accordance with contro</w:t>
            </w:r>
            <w:r w:rsidRPr="00151762">
              <w:t>l and locking tables.</w:t>
            </w:r>
          </w:p>
          <w:p w:rsidR="00000000" w:rsidRPr="00151762" w:rsidP="00151762">
            <w:pPr>
              <w:pStyle w:val="BodyText"/>
            </w:pPr>
            <w:r w:rsidRPr="00151762">
              <w:t>Servicing procedures encompassing:</w:t>
            </w:r>
          </w:p>
          <w:p w:rsidR="00000000" w:rsidRPr="00151762" w:rsidP="00151762">
            <w:pPr>
              <w:pStyle w:val="BodyText"/>
            </w:pPr>
            <w:r w:rsidRPr="00151762">
              <w:t>Maintenance documentation</w:t>
            </w:r>
          </w:p>
          <w:p w:rsidR="00000000" w:rsidRPr="00151762" w:rsidP="00151762">
            <w:pPr>
              <w:pStyle w:val="BodyText"/>
            </w:pPr>
            <w:r w:rsidRPr="00151762">
              <w:t>Coordination/planning sequence</w:t>
            </w:r>
          </w:p>
          <w:p w:rsidR="00000000" w:rsidRPr="00151762" w:rsidP="00151762">
            <w:pPr>
              <w:pStyle w:val="BodyText"/>
            </w:pPr>
            <w:r w:rsidRPr="00151762">
              <w:t>Operational test procedures</w:t>
            </w:r>
          </w:p>
          <w:p w:rsidR="00000000" w:rsidRPr="00151762" w:rsidP="00151762">
            <w:pPr>
              <w:pStyle w:val="BodyText"/>
            </w:pPr>
            <w:r w:rsidRPr="00151762">
              <w:t>Scheduled /preventative maintenance</w:t>
            </w:r>
          </w:p>
          <w:p w:rsidR="00000000" w:rsidRPr="00151762" w:rsidP="00151762">
            <w:pPr>
              <w:pStyle w:val="BodyText"/>
            </w:pPr>
            <w:r w:rsidRPr="00151762">
              <w:t>Unscheduled/corrective maintenance</w:t>
            </w:r>
          </w:p>
          <w:p w:rsidR="00000000" w:rsidRPr="00151762" w:rsidP="00151762">
            <w:pPr>
              <w:pStyle w:val="BodyText"/>
            </w:pPr>
            <w:r w:rsidRPr="00151762">
              <w:t xml:space="preserve">Certification of train detection equipment </w:t>
            </w:r>
            <w:r w:rsidRPr="00151762">
              <w:t>(commission and de-commission).</w:t>
            </w:r>
          </w:p>
          <w:p w:rsidR="00000000" w:rsidRPr="00151762" w:rsidP="00151762">
            <w:pPr>
              <w:pStyle w:val="BodyText"/>
            </w:pPr>
            <w:r w:rsidRPr="00151762">
              <w:t xml:space="preserve">Note: </w:t>
            </w:r>
          </w:p>
          <w:p w:rsidR="00000000" w:rsidRPr="00151762" w:rsidP="00151762">
            <w:pPr>
              <w:pStyle w:val="BodyText"/>
            </w:pPr>
            <w:r w:rsidRPr="00151762">
              <w:t>Certifying procedures are only applicable for compliance with rail operator and/or enterprise standards.</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10" w:name="O_585737"/>
      <w:bookmarkEnd w:id="10"/>
      <w:r w:rsidRPr="00151762">
        <w:t>Evidence Guide</w:t>
      </w:r>
    </w:p>
    <w:tbl>
      <w:tblPr>
        <w:tblW w:w="0" w:type="auto"/>
        <w:tblLayout w:type="fixed"/>
        <w:tblCellMar>
          <w:left w:w="62" w:type="dxa"/>
          <w:right w:w="62" w:type="dxa"/>
        </w:tblCellMar>
        <w:tblLook w:val="0000"/>
      </w:tblPr>
      <w:tblGrid>
        <w:gridCol w:w="8460"/>
      </w:tblGrid>
      <w:tr w:rsidTr="0027635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EVIDENCE GUIDE</w:t>
            </w:r>
          </w:p>
        </w:tc>
      </w:tr>
      <w:tr w:rsidTr="002763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9)</w:t>
            </w:r>
            <w:r w:rsidRPr="00151762">
              <w:t xml:space="preserve">  The evidence guide provides advice on assessment and must be read in conjunction with the Performance Criteria, Required Skills and Knowledge, the Range Statement and the Assessment Guidelines for this Training Package.</w:t>
            </w:r>
          </w:p>
          <w:p w:rsidR="00000000" w:rsidRPr="00151762" w:rsidP="00151762">
            <w:pPr>
              <w:pStyle w:val="BodyText"/>
            </w:pPr>
            <w:r w:rsidRPr="00151762">
              <w:t>The Evidence Guide forms an integr</w:t>
            </w:r>
            <w:r w:rsidRPr="00151762">
              <w:t>al part of this unit. It must be used in conjunction with all components parts of this unit and performed in accordance with the Assessment Guidelines of this Training Package.</w:t>
            </w:r>
          </w:p>
        </w:tc>
      </w:tr>
    </w:tbl>
    <w:p w:rsidR="00000000" w:rsidRPr="00151762" w:rsidP="00151762">
      <w:pPr>
        <w:pStyle w:val="BodyText"/>
      </w:pPr>
    </w:p>
    <w:tbl>
      <w:tblPr>
        <w:tblW w:w="0" w:type="auto"/>
        <w:tblLayout w:type="fixed"/>
        <w:tblCellMar>
          <w:left w:w="62" w:type="dxa"/>
          <w:right w:w="62" w:type="dxa"/>
        </w:tblCellMar>
        <w:tblLook w:val="0000"/>
      </w:tblPr>
      <w:tblGrid>
        <w:gridCol w:w="1890"/>
        <w:gridCol w:w="6570"/>
      </w:tblGrid>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9.1)</w:t>
            </w:r>
          </w:p>
        </w:tc>
      </w:tr>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 xml:space="preserve">Longitudinal competency development approaches </w:t>
            </w:r>
            <w:r w:rsidRPr="00151762">
              <w:t>to assessment, such as Profiling, require data to be reliably gathered in a form that can be consistently interpreted over time. This approach is best utilised in Apprenticeship programs and reduces assessment intervention. It is the industry-preferred mod</w:t>
            </w:r>
            <w:r w:rsidRPr="00151762">
              <w:t>el for apprenticeships. However, where summative (or final) assessment is used it must include the application of the competency in the normal work environment or, at a minimum, the application of the competency in a realistically simulated work environmen</w:t>
            </w:r>
            <w:r w:rsidRPr="00151762">
              <w:t>t. In some circumstances, assessment in part or full can occur outside the workplace. However, it must be in accordance with industry and regulatory policy.</w:t>
            </w:r>
          </w:p>
          <w:p w:rsidR="00000000" w:rsidRPr="00151762" w:rsidP="00151762">
            <w:pPr>
              <w:pStyle w:val="BodyText"/>
            </w:pPr>
            <w:r w:rsidRPr="00151762">
              <w:t xml:space="preserve">Methods chosen for a particular assessment will be influenced by various factors. </w:t>
            </w:r>
            <w:r w:rsidRPr="00151762">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151762" w:rsidP="00151762">
            <w:pPr>
              <w:pStyle w:val="BodyText"/>
            </w:pPr>
            <w:r w:rsidRPr="00151762">
              <w:t xml:space="preserve">The critical safety issues inherent in working with electricity, electrical equipment, gas or any other hazardous substance/material present a challenge for those determining competence. Sources of evidence need to be ‘rich’ in nature to minimise error in </w:t>
            </w:r>
            <w:r w:rsidRPr="00151762">
              <w:t>judgment.</w:t>
            </w:r>
          </w:p>
          <w:p w:rsidR="00000000" w:rsidRPr="00151762" w:rsidP="00151762">
            <w:pPr>
              <w:pStyle w:val="BodyText"/>
            </w:pPr>
            <w:r w:rsidRPr="00151762">
              <w:t xml:space="preserve">Activities associated with normal everyday work influence decisions about how/how much the data gathered will contribute to its ‘richness’. Some skills are more critical to safety and operational requirements while the same skills may be more or </w:t>
            </w:r>
            <w:r w:rsidRPr="00151762">
              <w:t>less frequently practised. These points are raised for the assessors to consider when choosing an assessment method and developing assessment instruments. Sample assessment instruments are included for Assessors in the Assessment Guidelines of this Trainin</w:t>
            </w:r>
            <w:r w:rsidRPr="00151762">
              <w:t>g Package.</w:t>
            </w:r>
          </w:p>
        </w:tc>
      </w:tr>
    </w:tbl>
    <w:p w:rsidR="00000000" w:rsidRPr="00151762" w:rsidP="00151762">
      <w:pPr>
        <w:pStyle w:val="BodyText"/>
      </w:pPr>
    </w:p>
    <w:tbl>
      <w:tblPr>
        <w:tblW w:w="0" w:type="auto"/>
        <w:tblLayout w:type="fixed"/>
        <w:tblCellMar>
          <w:left w:w="62" w:type="dxa"/>
          <w:right w:w="62" w:type="dxa"/>
        </w:tblCellMar>
        <w:tblLook w:val="0000"/>
      </w:tblPr>
      <w:tblGrid>
        <w:gridCol w:w="1890"/>
        <w:gridCol w:w="6570"/>
      </w:tblGrid>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9.2)</w:t>
            </w:r>
          </w:p>
        </w:tc>
      </w:tr>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Before the critical aspects of evidence are considered all prerequisites must be met.</w:t>
            </w:r>
          </w:p>
          <w:p w:rsidR="00000000" w:rsidRPr="00151762" w:rsidP="00151762">
            <w:pPr>
              <w:pStyle w:val="BodyText"/>
            </w:pPr>
            <w:r w:rsidRPr="00151762">
              <w:t>Evidence for competence in this unit shall be considered holistically.  E</w:t>
            </w:r>
            <w:r w:rsidRPr="00151762">
              <w:t>ach Element and associated performance criteria shall be demonstrated on at least two occasions in accordance with the ‘Assessment Guidelines – UEE11’.  Evidence shall also comprise:</w:t>
            </w:r>
          </w:p>
          <w:p w:rsidR="00000000" w:rsidRPr="00151762" w:rsidP="00151762">
            <w:pPr>
              <w:pStyle w:val="ListBullet"/>
            </w:pPr>
            <w:r w:rsidRPr="00151762">
              <w:t>A representative body of work performance demonstrated within the time f</w:t>
            </w:r>
            <w:r w:rsidRPr="00151762">
              <w:t>rames typically expected of the discipline, work function and industrial environment. In particular this shall incorporate evidence that shows a candidate is able to:</w:t>
            </w:r>
          </w:p>
          <w:p w:rsidR="00000000" w:rsidRPr="00151762" w:rsidP="00151762">
            <w:pPr>
              <w:pStyle w:val="ListBullet2"/>
            </w:pPr>
            <w:r w:rsidRPr="00151762">
              <w:t>Implement Occupational Health and Safety workplace procedures and practices including th</w:t>
            </w:r>
            <w:r w:rsidRPr="00151762">
              <w:t>e use of risk control measures as specified in the performance criteria and range statement</w:t>
            </w:r>
          </w:p>
          <w:p w:rsidR="00000000" w:rsidRPr="00151762" w:rsidP="00151762">
            <w:pPr>
              <w:pStyle w:val="ListBullet2"/>
            </w:pPr>
            <w:r w:rsidRPr="00151762">
              <w:t>Apply sustainable energy principles and practices as specified in the performance criteria and range statement</w:t>
            </w:r>
          </w:p>
          <w:p w:rsidR="00000000" w:rsidRPr="00151762" w:rsidP="00151762">
            <w:pPr>
              <w:pStyle w:val="ListBullet2"/>
            </w:pPr>
            <w:r w:rsidRPr="0015176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151762" w:rsidP="00151762">
            <w:pPr>
              <w:pStyle w:val="ListBullet2"/>
            </w:pPr>
            <w:r w:rsidRPr="00151762">
              <w:t>Demonst</w:t>
            </w:r>
            <w:r w:rsidRPr="00151762">
              <w:t>rate an appropriate level of skills enabling employment</w:t>
            </w:r>
          </w:p>
          <w:p w:rsidR="00000000" w:rsidRPr="00151762" w:rsidP="00151762">
            <w:pPr>
              <w:pStyle w:val="ListBullet2"/>
            </w:pPr>
            <w:r w:rsidRPr="00151762">
              <w:t>Conduct work observing the relevant Anti Discrimination legislation, regulations, polices and workplace procedures</w:t>
            </w:r>
          </w:p>
          <w:p w:rsidR="00000000" w:rsidRPr="00151762" w:rsidP="00151762">
            <w:pPr>
              <w:pStyle w:val="ListBullet"/>
            </w:pPr>
            <w:r w:rsidRPr="00151762">
              <w:t>Demonstrated consistent performance across a representative range of contexts from t</w:t>
            </w:r>
            <w:r w:rsidRPr="00151762">
              <w:t>he prescribed items below:</w:t>
            </w:r>
          </w:p>
          <w:p w:rsidR="00000000" w:rsidRPr="00151762" w:rsidP="00151762">
            <w:pPr>
              <w:pStyle w:val="ListBullet2"/>
            </w:pPr>
            <w:r w:rsidRPr="00151762">
              <w:t>Install and maintain train detection equipment as described in 8) and including:</w:t>
            </w:r>
          </w:p>
          <w:p w:rsidR="00000000" w:rsidRPr="00151762" w:rsidP="00151762">
            <w:pPr>
              <w:pStyle w:val="ListAlpha2"/>
            </w:pPr>
            <w:r w:rsidRPr="00151762">
              <w:t>Interpreting plans and specifications correctly</w:t>
            </w:r>
          </w:p>
          <w:p w:rsidR="00000000" w:rsidRPr="00151762" w:rsidP="00151762">
            <w:pPr>
              <w:pStyle w:val="ListAlpha2"/>
            </w:pPr>
            <w:r w:rsidRPr="00151762">
              <w:t>Installing, maintaining, adjusting and testing equipment in accordance with workplace  procedures</w:t>
            </w:r>
          </w:p>
          <w:p w:rsidR="00000000" w:rsidRPr="00151762" w:rsidP="00151762">
            <w:pPr>
              <w:pStyle w:val="ListAlpha2"/>
            </w:pPr>
            <w:r w:rsidRPr="00151762">
              <w:t>Using tools and test equipment safely</w:t>
            </w:r>
          </w:p>
          <w:p w:rsidR="00000000" w:rsidRPr="00151762" w:rsidP="00151762">
            <w:pPr>
              <w:pStyle w:val="ListAlpha2"/>
            </w:pPr>
            <w:r w:rsidRPr="00151762">
              <w:t>Checking that technical operational specifications are met and that equipment is in compliance with work orders</w:t>
            </w:r>
          </w:p>
          <w:p w:rsidR="00000000" w:rsidRPr="00151762" w:rsidP="00151762">
            <w:pPr>
              <w:pStyle w:val="ListAlpha2"/>
            </w:pPr>
            <w:r w:rsidRPr="00151762">
              <w:t>Followin</w:t>
            </w:r>
            <w:r w:rsidRPr="00151762">
              <w:t>g relevant codes of practice OHS and environmental protection procedures and requirements</w:t>
            </w:r>
          </w:p>
          <w:p w:rsidR="00000000" w:rsidRPr="00151762" w:rsidP="00151762">
            <w:pPr>
              <w:pStyle w:val="ListAlpha2"/>
            </w:pPr>
            <w:r w:rsidRPr="00151762">
              <w:t>Completing relevant technical reports,  records and documentation, and</w:t>
            </w:r>
          </w:p>
          <w:p w:rsidR="00000000" w:rsidRPr="00151762" w:rsidP="00151762">
            <w:pPr>
              <w:pStyle w:val="ListAlpha2"/>
            </w:pPr>
            <w:r w:rsidRPr="00151762">
              <w:t>Dealing with unplanned events by drawing on essential knowledge and skills to provide appropria</w:t>
            </w:r>
            <w:r w:rsidRPr="00151762">
              <w:t>te solutions incorporated in the holistic assessment with the above listed items</w:t>
            </w:r>
          </w:p>
          <w:p w:rsidR="00000000" w:rsidRPr="00151762" w:rsidP="00151762">
            <w:pPr>
              <w:pStyle w:val="BodyText"/>
            </w:pPr>
            <w:r w:rsidRPr="00151762">
              <w:t xml:space="preserve">Note: </w:t>
            </w:r>
          </w:p>
          <w:p w:rsidR="00000000" w:rsidRPr="00151762" w:rsidP="00151762">
            <w:pPr>
              <w:pStyle w:val="BodyText"/>
            </w:pPr>
            <w:r w:rsidRPr="00151762">
              <w:t>Successful completion of relevant vendor training may be used to contribute to evidence on which competency is deemed. In these cases the alignment of outcomes of vendo</w:t>
            </w:r>
            <w:r w:rsidRPr="00151762">
              <w:t>r training with performance criteria and critical aspects of evidence shall be clearly identified.</w:t>
            </w:r>
          </w:p>
        </w:tc>
      </w:tr>
    </w:tbl>
    <w:p w:rsidR="00000000" w:rsidRPr="00151762" w:rsidP="00151762">
      <w:pPr>
        <w:pStyle w:val="BodyText"/>
      </w:pPr>
    </w:p>
    <w:tbl>
      <w:tblPr>
        <w:tblW w:w="0" w:type="auto"/>
        <w:tblLayout w:type="fixed"/>
        <w:tblCellMar>
          <w:left w:w="62" w:type="dxa"/>
          <w:right w:w="62" w:type="dxa"/>
        </w:tblCellMar>
        <w:tblLook w:val="0000"/>
      </w:tblPr>
      <w:tblGrid>
        <w:gridCol w:w="1890"/>
        <w:gridCol w:w="6570"/>
      </w:tblGrid>
      <w:tr w:rsidTr="0027635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9.3)</w:t>
            </w:r>
          </w:p>
        </w:tc>
      </w:tr>
      <w:tr w:rsidTr="0027635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This unit should be assessed as it relates to normal work practice using procedures, information and resources typical of a workplace. This should include:</w:t>
            </w:r>
          </w:p>
          <w:p w:rsidR="00000000" w:rsidRPr="00151762" w:rsidP="00151762">
            <w:pPr>
              <w:pStyle w:val="ListBullet"/>
            </w:pPr>
            <w:r w:rsidRPr="00151762">
              <w:t>OHS policy and work procedures and instructions.</w:t>
            </w:r>
          </w:p>
          <w:p w:rsidR="00000000" w:rsidRPr="00151762" w:rsidP="00151762">
            <w:pPr>
              <w:pStyle w:val="ListBullet"/>
            </w:pPr>
            <w:r w:rsidRPr="00151762">
              <w:t>Suitable work environment, facilities, equipment a</w:t>
            </w:r>
            <w:r w:rsidRPr="00151762">
              <w:t>nd materials to undertake actual work as prescribed by this unit.</w:t>
            </w:r>
          </w:p>
          <w:p w:rsidR="00000000" w:rsidRPr="00151762" w:rsidP="00151762">
            <w:pPr>
              <w:pStyle w:val="BodyText"/>
            </w:pPr>
            <w:r w:rsidRPr="00151762">
              <w:t>These should be used in the formal learning/assessment environment.</w:t>
            </w:r>
          </w:p>
          <w:p w:rsidR="00000000" w:rsidRPr="00151762" w:rsidP="00151762">
            <w:pPr>
              <w:pStyle w:val="BodyText"/>
            </w:pPr>
            <w:r w:rsidRPr="00151762">
              <w:t>Note:</w:t>
            </w:r>
          </w:p>
          <w:p w:rsidR="00000000" w:rsidRPr="00151762" w:rsidP="00151762">
            <w:pPr>
              <w:pStyle w:val="BodyText"/>
            </w:pPr>
            <w:r w:rsidRPr="00151762">
              <w:t>Where simulation is considered a suitable strategy for assessment, conditions must be authentic and as far as possib</w:t>
            </w:r>
            <w:r w:rsidRPr="00151762">
              <w:t>le reproduce and replicate the workplace and be consistent with the approved industry simulation policy.</w:t>
            </w:r>
          </w:p>
          <w:p w:rsidR="00000000" w:rsidRPr="00151762" w:rsidP="00151762">
            <w:pPr>
              <w:pStyle w:val="BodyText"/>
            </w:pPr>
            <w:r w:rsidRPr="00151762">
              <w:t>The resources used for assessment should reflect current industry practices in relation to maintaining track circuit equipment and repairing faults.</w:t>
            </w:r>
          </w:p>
        </w:tc>
      </w:tr>
    </w:tbl>
    <w:p w:rsidR="00000000" w:rsidRPr="00151762" w:rsidP="00151762">
      <w:pPr>
        <w:pStyle w:val="BodyText"/>
      </w:pPr>
    </w:p>
    <w:tbl>
      <w:tblPr>
        <w:tblW w:w="0" w:type="auto"/>
        <w:tblLayout w:type="fixed"/>
        <w:tblCellMar>
          <w:left w:w="62" w:type="dxa"/>
          <w:right w:w="62" w:type="dxa"/>
        </w:tblCellMar>
        <w:tblLook w:val="0000"/>
      </w:tblPr>
      <w:tblGrid>
        <w:gridCol w:w="1890"/>
        <w:gridCol w:w="6570"/>
      </w:tblGrid>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9.4)</w:t>
            </w:r>
          </w:p>
        </w:tc>
      </w:tr>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This unit shall be assessed by methods given in Volume 1, Part 3 ‘Assessment Guidelines’.</w:t>
            </w:r>
          </w:p>
          <w:p w:rsidR="00000000" w:rsidRPr="00151762" w:rsidP="00151762">
            <w:pPr>
              <w:pStyle w:val="BodyText"/>
            </w:pPr>
            <w:r w:rsidRPr="00151762">
              <w:t xml:space="preserve">Note: </w:t>
            </w:r>
          </w:p>
          <w:p w:rsidR="00000000" w:rsidRPr="00151762" w:rsidP="00151762">
            <w:pPr>
              <w:pStyle w:val="BodyText"/>
            </w:pPr>
            <w:r w:rsidRPr="00151762">
              <w:t>Competent performance with inherent safe working practices is expected in the Industry to which this unit applies. This requires as</w:t>
            </w:r>
            <w:r w:rsidRPr="00151762">
              <w:t>sessment in a structured environment which is intended primarily for learning/assessment and incorporates all necessary equipment and facilities for learners to develop and demonstrate the essential knowledge and skills described in this unit.</w:t>
            </w:r>
          </w:p>
        </w:tc>
      </w:tr>
    </w:tbl>
    <w:p w:rsidR="00000000" w:rsidRPr="00151762" w:rsidP="00151762">
      <w:pPr>
        <w:pStyle w:val="BodyText"/>
      </w:pPr>
    </w:p>
    <w:tbl>
      <w:tblPr>
        <w:tblW w:w="0" w:type="auto"/>
        <w:tblLayout w:type="fixed"/>
        <w:tblCellMar>
          <w:left w:w="62" w:type="dxa"/>
          <w:right w:w="62" w:type="dxa"/>
        </w:tblCellMar>
        <w:tblLook w:val="0000"/>
      </w:tblPr>
      <w:tblGrid>
        <w:gridCol w:w="1890"/>
        <w:gridCol w:w="6570"/>
      </w:tblGrid>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Concurrent</w:t>
            </w:r>
            <w:r w:rsidRPr="00151762">
              <w:rPr>
                <w:rStyle w:val="SpecialBold"/>
              </w:rPr>
              <w:t xml:space="preserve">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9.5)</w:t>
            </w:r>
          </w:p>
        </w:tc>
      </w:tr>
      <w:tr w:rsidTr="0027635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For optimisation of training and assessment effort, competency development in this unit may be arranged in combination with other competencies required by a given enterprise installation, maintenance and</w:t>
            </w:r>
            <w:r w:rsidRPr="00151762">
              <w:t xml:space="preserve"> repair functions. </w:t>
            </w:r>
          </w:p>
          <w:p w:rsidR="00000000" w:rsidRPr="00151762" w:rsidP="00151762">
            <w:pPr>
              <w:pStyle w:val="BodyText"/>
            </w:pPr>
            <w:r w:rsidRPr="00151762">
              <w:t>Concurrent assessment may include:</w:t>
            </w:r>
          </w:p>
          <w:p w:rsidR="00000000" w:rsidRPr="00151762" w:rsidP="00151762">
            <w:pPr>
              <w:pStyle w:val="BodyText"/>
            </w:pPr>
            <w:r w:rsidRPr="00151762">
              <w:t>UEENEEN105A Install and maintain rail signalling power supplies</w:t>
            </w:r>
          </w:p>
          <w:p w:rsidR="00000000" w:rsidRPr="00151762" w:rsidP="00151762">
            <w:pPr>
              <w:pStyle w:val="BodyText"/>
            </w:pPr>
            <w:r w:rsidRPr="00151762">
              <w:t>UEENEEN118A Find and repair rail signal system faults</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11" w:name="O_585736"/>
      <w:bookmarkEnd w:id="11"/>
      <w:r w:rsidRPr="00151762">
        <w:t>Range Statement</w:t>
      </w:r>
    </w:p>
    <w:tbl>
      <w:tblPr>
        <w:tblW w:w="0" w:type="auto"/>
        <w:tblLayout w:type="fixed"/>
        <w:tblCellMar>
          <w:left w:w="62" w:type="dxa"/>
          <w:right w:w="62" w:type="dxa"/>
        </w:tblCellMar>
        <w:tblLook w:val="0000"/>
      </w:tblPr>
      <w:tblGrid>
        <w:gridCol w:w="8460"/>
      </w:tblGrid>
      <w:tr w:rsidTr="00276352">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RANGE STATEMENT</w:t>
            </w:r>
          </w:p>
        </w:tc>
      </w:tr>
      <w:tr w:rsidTr="0027635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10)</w:t>
            </w:r>
            <w:r w:rsidRPr="00151762">
              <w:t xml:space="preserve">  This relates to the unit as a whole providing the range of contexts and conditions to which the performance criteria apply. It allows for different work environments and situations that will affect performance.</w:t>
            </w:r>
          </w:p>
          <w:p w:rsidR="00000000" w:rsidRPr="00151762" w:rsidP="00151762">
            <w:pPr>
              <w:pStyle w:val="BodyText"/>
            </w:pPr>
            <w:r w:rsidRPr="00151762">
              <w:t>This unit shall be demonstrated in relation</w:t>
            </w:r>
            <w:r w:rsidRPr="00151762">
              <w:t xml:space="preserve"> to:</w:t>
            </w:r>
          </w:p>
          <w:p w:rsidR="00000000" w:rsidRPr="00151762" w:rsidP="00151762">
            <w:pPr>
              <w:pStyle w:val="ListBullet"/>
            </w:pPr>
            <w:r w:rsidRPr="00151762">
              <w:t>The relevant State/Territory codes of practice and safe working requirements.</w:t>
            </w:r>
          </w:p>
          <w:p w:rsidR="00000000" w:rsidRPr="00151762" w:rsidP="00151762">
            <w:pPr>
              <w:pStyle w:val="ListBullet"/>
            </w:pPr>
            <w:r w:rsidRPr="00151762">
              <w:t>Equipment relevant to a particular rail network.</w:t>
            </w:r>
          </w:p>
          <w:p w:rsidR="00000000" w:rsidRPr="00151762" w:rsidP="00151762">
            <w:pPr>
              <w:pStyle w:val="ListBullet"/>
            </w:pPr>
            <w:r w:rsidRPr="00151762">
              <w:t>Code of practice for the defined interstate rail network.</w:t>
            </w:r>
          </w:p>
          <w:p w:rsidR="00000000" w:rsidRPr="00151762" w:rsidP="00151762">
            <w:pPr>
              <w:pStyle w:val="BodyText"/>
            </w:pPr>
            <w:r w:rsidRPr="00151762">
              <w:t xml:space="preserve">Activities may include: procedures for maintenance of track circuit equipment in a rail networks and may also include; the use of plans and drawings, manufacturer’s / enterprise specifications and manuals. </w:t>
            </w:r>
          </w:p>
          <w:p w:rsidR="00000000" w:rsidRPr="00151762" w:rsidP="00151762">
            <w:pPr>
              <w:pStyle w:val="BodyText"/>
            </w:pPr>
            <w:r w:rsidRPr="00151762">
              <w:t>Maintenance activities may include: finding and r</w:t>
            </w:r>
            <w:r w:rsidRPr="00151762">
              <w:t>epairing faults on track circuit equipment in a rail network and may also incorporate safe working, working according to regulatory requirements and following work procedures, adjust, test and verifying operational integrity and completing report documenta</w:t>
            </w:r>
            <w:r w:rsidRPr="00151762">
              <w:t>tion.</w:t>
            </w:r>
          </w:p>
          <w:p w:rsidR="00000000" w:rsidRPr="00151762" w:rsidP="00151762">
            <w:pPr>
              <w:pStyle w:val="BodyText"/>
            </w:pPr>
            <w:r w:rsidRPr="00151762">
              <w:t>Electrical equipment may include: power supplies, receivers, relays, transmitters, matching units/tuning units, axle counters and peripherals, impedance bonds and track filters</w:t>
            </w:r>
          </w:p>
          <w:p w:rsidR="00000000" w:rsidRPr="00151762" w:rsidP="00151762">
            <w:pPr>
              <w:pStyle w:val="BodyText"/>
            </w:pPr>
            <w:r w:rsidRPr="00151762">
              <w:t>Mechanical equipment may include: insulated Rail Joints (IRJs) and treadl</w:t>
            </w:r>
            <w:r w:rsidRPr="00151762">
              <w:t>es.</w:t>
            </w:r>
          </w:p>
          <w:p w:rsidR="00000000" w:rsidRPr="00151762" w:rsidP="00151762">
            <w:pPr>
              <w:pStyle w:val="BodyText"/>
            </w:pPr>
            <w:r w:rsidRPr="00151762">
              <w:t xml:space="preserve">Technical report may include: incident report, track survey and log report </w:t>
            </w:r>
          </w:p>
          <w:p w:rsidR="00000000" w:rsidRPr="00151762" w:rsidP="00151762">
            <w:pPr>
              <w:pStyle w:val="BodyText"/>
            </w:pPr>
            <w:r w:rsidRPr="00151762">
              <w:t xml:space="preserve">Test equipment may include: multimeters, frequency meters, integration attachments, impedance tester, insulation resistance and continuity tester, track shunt devices, current </w:t>
            </w:r>
            <w:r w:rsidRPr="00151762">
              <w:t>sensing devices.</w:t>
            </w:r>
          </w:p>
          <w:p w:rsidR="00000000" w:rsidRPr="00151762" w:rsidP="00151762">
            <w:pPr>
              <w:pStyle w:val="BodyText"/>
            </w:pPr>
            <w:r w:rsidRPr="00151762">
              <w:t>Generic terms used throughout this Vocational Standard shall be regarded as part of the Range Statement in which competency is demonstrated. The definition of these and other terms that apply are given in Volume 2, Section 2.1.</w:t>
            </w:r>
          </w:p>
        </w:tc>
      </w:tr>
    </w:tbl>
    <w:p w:rsidR="00000000" w:rsidRPr="00151762" w:rsidP="00151762">
      <w:pPr>
        <w:pStyle w:val="BodyText"/>
      </w:pPr>
    </w:p>
    <w:p w:rsidR="00000000" w:rsidRPr="00151762" w:rsidP="00151762">
      <w:pPr>
        <w:pStyle w:val="AllowPageBreak"/>
      </w:pPr>
    </w:p>
    <w:p w:rsidR="00000000" w:rsidRPr="00151762" w:rsidP="00151762">
      <w:pPr>
        <w:pStyle w:val="Heading1"/>
      </w:pPr>
      <w:bookmarkStart w:id="12" w:name="O_585735"/>
      <w:bookmarkEnd w:id="12"/>
      <w:r w:rsidRPr="00151762">
        <w:t>Unit Sector(s)</w:t>
      </w:r>
    </w:p>
    <w:p w:rsidR="00000000" w:rsidRPr="00151762" w:rsidP="00151762">
      <w:pPr>
        <w:pStyle w:val="BodyText"/>
      </w:pPr>
      <w:r w:rsidRPr="00151762">
        <w:t>Not applicable.</w:t>
      </w:r>
    </w:p>
    <w:p w:rsidR="00000000" w:rsidRPr="00151762" w:rsidP="00151762">
      <w:pPr>
        <w:pStyle w:val="AllowPageBreak"/>
      </w:pPr>
    </w:p>
    <w:p w:rsidR="00000000" w:rsidRPr="00151762" w:rsidP="00151762">
      <w:pPr>
        <w:pStyle w:val="Heading1"/>
      </w:pPr>
      <w:bookmarkStart w:id="13" w:name="O_585734"/>
      <w:bookmarkEnd w:id="13"/>
      <w:r w:rsidRPr="00151762">
        <w:t>Competency Field</w:t>
      </w:r>
    </w:p>
    <w:tbl>
      <w:tblPr>
        <w:tblW w:w="0" w:type="auto"/>
        <w:tblLayout w:type="fixed"/>
        <w:tblCellMar>
          <w:left w:w="62" w:type="dxa"/>
          <w:right w:w="62" w:type="dxa"/>
        </w:tblCellMar>
        <w:tblLook w:val="0000"/>
      </w:tblPr>
      <w:tblGrid>
        <w:gridCol w:w="2700"/>
        <w:gridCol w:w="5760"/>
      </w:tblGrid>
      <w:tr w:rsidTr="0027635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51762">
            <w:pPr>
              <w:pStyle w:val="BodyText"/>
              <w:rPr>
                <w:lang w:val="en-NZ"/>
              </w:rPr>
            </w:pPr>
            <w:r w:rsidRPr="00151762">
              <w:rPr>
                <w:rStyle w:val="SpecialBold"/>
              </w:rPr>
              <w:t xml:space="preserve">11) </w:t>
            </w:r>
          </w:p>
        </w:tc>
      </w:tr>
      <w:tr w:rsidTr="0027635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51762" w:rsidP="00151762">
            <w:pPr>
              <w:pStyle w:val="BodyText"/>
            </w:pPr>
            <w:r w:rsidRPr="00151762">
              <w:t>Rail Signalling</w:t>
            </w:r>
          </w:p>
        </w:tc>
      </w:tr>
    </w:tbl>
    <w:p w:rsidR="00000000" w:rsidRPr="00151762" w:rsidP="00151762">
      <w:pPr>
        <w:pStyle w:val="BodyText"/>
      </w:pPr>
    </w:p>
    <w:p w:rsidR="00000000" w:rsidRPr="00151762" w:rsidP="00151762"/>
    <w:sectPr w:rsidSect="001517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rsidRPr="00276352" w:rsidP="002763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52" w:rsidP="001517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76352" w:rsidP="001517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76352" w:rsidP="001517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rsidRPr="00276352" w:rsidP="002763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7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352" w:rsidRPr="002D2AF8" w:rsidP="00151762">
    <w:pPr>
      <w:pStyle w:val="Header"/>
      <w:framePr w:wrap="around"/>
    </w:pPr>
    <w:r>
      <w:fldChar w:fldCharType="begin"/>
    </w:r>
    <w:r>
      <w:instrText xml:space="preserve"> TITLE   \* MERGEFORMAT </w:instrText>
    </w:r>
    <w:r>
      <w:fldChar w:fldCharType="separate"/>
    </w:r>
    <w:r>
      <w:t>UEENEEN109A Install and maintain train detection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76352" w:rsidP="001517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C5E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F81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6D2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71E0853"/>
    <w:multiLevelType w:val="multilevel"/>
    <w:tmpl w:val="02724DC6"/>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7B332CA8"/>
    <w:multiLevelType w:val="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6">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5"/>
  </w:num>
  <w:num w:numId="9">
    <w:abstractNumId w:val="11"/>
  </w:num>
  <w:num w:numId="10">
    <w:abstractNumId w:val="16"/>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7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762"/>
    <w:pPr>
      <w:spacing w:before="360" w:after="60"/>
      <w:outlineLvl w:val="0"/>
    </w:pPr>
    <w:rPr>
      <w:sz w:val="32"/>
    </w:rPr>
  </w:style>
  <w:style w:type="paragraph" w:styleId="Heading2">
    <w:name w:val="heading 2"/>
    <w:basedOn w:val="HeadingBase"/>
    <w:next w:val="BodyText"/>
    <w:link w:val="Heading2Char"/>
    <w:qFormat/>
    <w:rsid w:val="00151762"/>
    <w:pPr>
      <w:keepLines/>
      <w:spacing w:before="240" w:after="120"/>
      <w:outlineLvl w:val="1"/>
    </w:pPr>
    <w:rPr>
      <w:sz w:val="28"/>
      <w:szCs w:val="40"/>
    </w:rPr>
  </w:style>
  <w:style w:type="paragraph" w:styleId="Heading3">
    <w:name w:val="heading 3"/>
    <w:basedOn w:val="HeadingBase"/>
    <w:next w:val="BodyText"/>
    <w:link w:val="Heading3Char"/>
    <w:qFormat/>
    <w:rsid w:val="00151762"/>
    <w:pPr>
      <w:spacing w:before="180" w:after="120"/>
      <w:outlineLvl w:val="2"/>
    </w:pPr>
    <w:rPr>
      <w:spacing w:val="-10"/>
      <w:kern w:val="32"/>
    </w:rPr>
  </w:style>
  <w:style w:type="paragraph" w:styleId="Heading4">
    <w:name w:val="heading 4"/>
    <w:basedOn w:val="HeadingBase"/>
    <w:next w:val="BodyText"/>
    <w:link w:val="Heading4Char"/>
    <w:qFormat/>
    <w:rsid w:val="00151762"/>
    <w:pPr>
      <w:spacing w:before="160" w:after="120"/>
      <w:outlineLvl w:val="3"/>
    </w:pPr>
    <w:rPr>
      <w:sz w:val="22"/>
    </w:rPr>
  </w:style>
  <w:style w:type="paragraph" w:styleId="Heading5">
    <w:name w:val="heading 5"/>
    <w:basedOn w:val="HeadingBase"/>
    <w:next w:val="Normal"/>
    <w:link w:val="Heading5Char"/>
    <w:qFormat/>
    <w:rsid w:val="00151762"/>
    <w:pPr>
      <w:spacing w:before="80"/>
      <w:outlineLvl w:val="4"/>
    </w:pPr>
    <w:rPr>
      <w:color w:val="918585"/>
      <w:sz w:val="20"/>
    </w:rPr>
  </w:style>
  <w:style w:type="paragraph" w:styleId="Heading6">
    <w:name w:val="heading 6"/>
    <w:basedOn w:val="HeadingBase"/>
    <w:next w:val="Normal"/>
    <w:link w:val="Heading6Char"/>
    <w:qFormat/>
    <w:rsid w:val="00151762"/>
    <w:pPr>
      <w:spacing w:before="60"/>
      <w:outlineLvl w:val="5"/>
    </w:pPr>
    <w:rPr>
      <w:color w:val="918585"/>
      <w:sz w:val="20"/>
    </w:rPr>
  </w:style>
  <w:style w:type="paragraph" w:styleId="Heading7">
    <w:name w:val="heading 7"/>
    <w:basedOn w:val="Normal"/>
    <w:next w:val="Normal"/>
    <w:link w:val="Heading7Char"/>
    <w:qFormat/>
    <w:rsid w:val="00151762"/>
    <w:pPr>
      <w:ind w:left="720"/>
      <w:outlineLvl w:val="6"/>
    </w:pPr>
    <w:rPr>
      <w:i/>
    </w:rPr>
  </w:style>
  <w:style w:type="paragraph" w:styleId="Heading8">
    <w:name w:val="heading 8"/>
    <w:basedOn w:val="Normal"/>
    <w:next w:val="Normal"/>
    <w:link w:val="Heading8Char"/>
    <w:qFormat/>
    <w:rsid w:val="00151762"/>
    <w:pPr>
      <w:ind w:left="720"/>
      <w:outlineLvl w:val="7"/>
    </w:pPr>
    <w:rPr>
      <w:i/>
    </w:rPr>
  </w:style>
  <w:style w:type="paragraph" w:styleId="Heading9">
    <w:name w:val="heading 9"/>
    <w:basedOn w:val="Normal"/>
    <w:next w:val="Normal"/>
    <w:link w:val="Heading9Char"/>
    <w:qFormat/>
    <w:rsid w:val="00151762"/>
    <w:pPr>
      <w:ind w:left="720"/>
      <w:outlineLvl w:val="8"/>
    </w:pPr>
    <w:rPr>
      <w:i/>
    </w:rPr>
  </w:style>
  <w:style w:type="character" w:default="1" w:styleId="DefaultParagraphFont">
    <w:name w:val="Default Paragraph Font"/>
    <w:uiPriority w:val="1"/>
    <w:unhideWhenUsed/>
    <w:rsid w:val="001517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762"/>
  </w:style>
  <w:style w:type="character" w:customStyle="1" w:styleId="Heading1Char">
    <w:name w:val="Heading 1 Char"/>
    <w:basedOn w:val="DefaultParagraphFont"/>
    <w:link w:val="Heading1"/>
    <w:rsid w:val="00151762"/>
    <w:rPr>
      <w:rFonts w:ascii="Times New Roman" w:eastAsia="Times New Roman" w:hAnsi="Times New Roman" w:cs="Times New Roman"/>
      <w:b/>
      <w:sz w:val="32"/>
      <w:szCs w:val="20"/>
      <w:lang w:eastAsia="en-US"/>
    </w:rPr>
  </w:style>
  <w:style w:type="paragraph" w:styleId="BodyText">
    <w:name w:val="Body Text"/>
    <w:basedOn w:val="Normal"/>
    <w:link w:val="BodyTextChar"/>
    <w:rsid w:val="001517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762"/>
    <w:rPr>
      <w:rFonts w:ascii="Times New Roman" w:eastAsia="Times New Roman" w:hAnsi="Times New Roman" w:cs="Times New Roman"/>
      <w:sz w:val="24"/>
      <w:lang w:eastAsia="en-US"/>
    </w:rPr>
  </w:style>
  <w:style w:type="paragraph" w:styleId="ListBullet">
    <w:name w:val="List Bullet"/>
    <w:basedOn w:val="List"/>
    <w:rsid w:val="00151762"/>
    <w:pPr>
      <w:numPr>
        <w:numId w:val="13"/>
      </w:numPr>
      <w:tabs>
        <w:tab w:val="clear" w:pos="340"/>
      </w:tabs>
      <w:spacing w:before="40" w:after="40"/>
    </w:pPr>
  </w:style>
  <w:style w:type="character" w:customStyle="1" w:styleId="SpecialBold">
    <w:name w:val="Special Bold"/>
    <w:basedOn w:val="DefaultParagraphFont"/>
    <w:rsid w:val="00151762"/>
    <w:rPr>
      <w:b/>
      <w:spacing w:val="0"/>
    </w:rPr>
  </w:style>
  <w:style w:type="paragraph" w:styleId="ListBullet2">
    <w:name w:val="List Bullet 2"/>
    <w:basedOn w:val="List2"/>
    <w:rsid w:val="00151762"/>
    <w:pPr>
      <w:numPr>
        <w:numId w:val="14"/>
      </w:numPr>
      <w:tabs>
        <w:tab w:val="clear" w:pos="680"/>
      </w:tabs>
    </w:pPr>
  </w:style>
  <w:style w:type="paragraph" w:customStyle="1" w:styleId="SuperHeading">
    <w:name w:val="SuperHeading"/>
    <w:basedOn w:val="Normal"/>
    <w:rsid w:val="00151762"/>
    <w:pPr>
      <w:spacing w:before="240" w:after="120"/>
      <w:outlineLvl w:val="0"/>
    </w:pPr>
    <w:rPr>
      <w:rFonts w:ascii="Times New Roman" w:hAnsi="Times New Roman"/>
      <w:b/>
      <w:sz w:val="32"/>
    </w:rPr>
  </w:style>
  <w:style w:type="paragraph" w:customStyle="1" w:styleId="AllowPageBreak">
    <w:name w:val="AllowPageBreak"/>
    <w:rsid w:val="001517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ListAlpha2">
    <w:name w:val="List Alpha 2"/>
    <w:basedOn w:val="List2"/>
    <w:rsid w:val="00151762"/>
    <w:pPr>
      <w:numPr>
        <w:numId w:val="8"/>
      </w:numPr>
    </w:pPr>
  </w:style>
  <w:style w:type="character" w:customStyle="1" w:styleId="Heading2Char">
    <w:name w:val="Heading 2 Char"/>
    <w:basedOn w:val="DefaultParagraphFont"/>
    <w:link w:val="Heading2"/>
    <w:rsid w:val="001517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7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7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7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7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7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7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762"/>
    <w:rPr>
      <w:rFonts w:ascii="Courier New" w:eastAsia="Times New Roman" w:hAnsi="Courier New" w:cs="Times New Roman"/>
      <w:i/>
      <w:szCs w:val="20"/>
      <w:lang w:eastAsia="en-US"/>
    </w:rPr>
  </w:style>
  <w:style w:type="paragraph" w:customStyle="1" w:styleId="HeadingBase">
    <w:name w:val="Heading Base"/>
    <w:rsid w:val="001517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762"/>
    <w:pPr>
      <w:tabs>
        <w:tab w:val="right" w:leader="dot" w:pos="9072"/>
      </w:tabs>
      <w:ind w:left="567"/>
    </w:pPr>
    <w:rPr>
      <w:szCs w:val="22"/>
    </w:rPr>
  </w:style>
  <w:style w:type="paragraph" w:customStyle="1" w:styleId="TOCBase">
    <w:name w:val="TOC Base"/>
    <w:rsid w:val="001517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762"/>
    <w:pPr>
      <w:tabs>
        <w:tab w:val="right" w:leader="dot" w:pos="9072"/>
      </w:tabs>
      <w:spacing w:before="40" w:after="40"/>
      <w:ind w:left="284"/>
    </w:pPr>
    <w:rPr>
      <w:rFonts w:ascii="Times New Roman" w:hAnsi="Times New Roman"/>
    </w:rPr>
  </w:style>
  <w:style w:type="paragraph" w:styleId="TOC1">
    <w:name w:val="toc 1"/>
    <w:basedOn w:val="TOCBase"/>
    <w:next w:val="Normal"/>
    <w:rsid w:val="001517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7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762"/>
    <w:rPr>
      <w:rFonts w:ascii="Times New Roman" w:eastAsia="Times New Roman" w:hAnsi="Times New Roman" w:cs="Times New Roman"/>
      <w:sz w:val="16"/>
      <w:lang w:eastAsia="en-US"/>
    </w:rPr>
  </w:style>
  <w:style w:type="paragraph" w:styleId="Title">
    <w:name w:val="Title"/>
    <w:basedOn w:val="HeadingBase"/>
    <w:link w:val="TitleChar"/>
    <w:qFormat/>
    <w:rsid w:val="00151762"/>
    <w:pPr>
      <w:spacing w:before="5040"/>
      <w:jc w:val="center"/>
    </w:pPr>
    <w:rPr>
      <w:sz w:val="48"/>
      <w:szCs w:val="72"/>
      <w:lang w:val="en-US"/>
    </w:rPr>
  </w:style>
  <w:style w:type="character" w:customStyle="1" w:styleId="TitleChar">
    <w:name w:val="Title Char"/>
    <w:basedOn w:val="DefaultParagraphFont"/>
    <w:link w:val="Title"/>
    <w:rsid w:val="001517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762"/>
    <w:pPr>
      <w:tabs>
        <w:tab w:val="left" w:pos="3600"/>
        <w:tab w:val="left" w:pos="3958"/>
      </w:tabs>
    </w:pPr>
  </w:style>
  <w:style w:type="paragraph" w:styleId="List">
    <w:name w:val="List"/>
    <w:basedOn w:val="BodyText"/>
    <w:next w:val="BodyText"/>
    <w:rsid w:val="00151762"/>
    <w:pPr>
      <w:tabs>
        <w:tab w:val="left" w:pos="340"/>
      </w:tabs>
      <w:spacing w:before="60" w:after="60"/>
      <w:ind w:left="340" w:hanging="340"/>
    </w:pPr>
  </w:style>
  <w:style w:type="paragraph" w:customStyle="1" w:styleId="Note">
    <w:name w:val="Note"/>
    <w:basedOn w:val="BodyText"/>
    <w:rsid w:val="001517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762"/>
    <w:pPr>
      <w:framePr w:wrap="auto" w:hAnchor="text" w:y="6049"/>
    </w:pPr>
    <w:rPr>
      <w:color w:val="000000"/>
      <w:sz w:val="40"/>
    </w:rPr>
  </w:style>
  <w:style w:type="paragraph" w:customStyle="1" w:styleId="TOCTitle">
    <w:name w:val="TOCTitle"/>
    <w:basedOn w:val="Heading1"/>
    <w:rsid w:val="00151762"/>
    <w:pPr>
      <w:spacing w:after="240"/>
      <w:jc w:val="center"/>
      <w:outlineLvl w:val="9"/>
    </w:pPr>
    <w:rPr>
      <w:caps/>
    </w:rPr>
  </w:style>
  <w:style w:type="paragraph" w:customStyle="1" w:styleId="Version">
    <w:name w:val="Version"/>
    <w:rsid w:val="001517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1762"/>
    <w:pPr>
      <w:keepNext w:val="0"/>
      <w:tabs>
        <w:tab w:val="right" w:pos="4176"/>
      </w:tabs>
      <w:ind w:left="198" w:hanging="198"/>
    </w:pPr>
    <w:rPr>
      <w:rFonts w:ascii="Garamond" w:hAnsi="Garamond"/>
    </w:rPr>
  </w:style>
  <w:style w:type="paragraph" w:styleId="IndexHeading">
    <w:name w:val="index heading"/>
    <w:basedOn w:val="Normal"/>
    <w:next w:val="Index1"/>
    <w:semiHidden/>
    <w:rsid w:val="00151762"/>
    <w:pPr>
      <w:spacing w:before="120" w:after="120"/>
    </w:pPr>
    <w:rPr>
      <w:rFonts w:ascii="Arial" w:hAnsi="Arial"/>
      <w:b/>
      <w:color w:val="918585"/>
      <w:sz w:val="24"/>
    </w:rPr>
  </w:style>
  <w:style w:type="paragraph" w:styleId="Header">
    <w:name w:val="header"/>
    <w:basedOn w:val="Normal"/>
    <w:link w:val="HeaderChar"/>
    <w:rsid w:val="001517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762"/>
    <w:rPr>
      <w:rFonts w:ascii="Times New Roman" w:eastAsia="Times New Roman" w:hAnsi="Times New Roman" w:cs="Times New Roman"/>
      <w:sz w:val="16"/>
      <w:szCs w:val="20"/>
      <w:lang w:val="en-GB" w:eastAsia="en-US"/>
    </w:rPr>
  </w:style>
  <w:style w:type="paragraph" w:customStyle="1" w:styleId="Chapter">
    <w:name w:val="Chapter"/>
    <w:basedOn w:val="Normal"/>
    <w:rsid w:val="00151762"/>
    <w:pPr>
      <w:spacing w:before="240"/>
    </w:pPr>
    <w:rPr>
      <w:rFonts w:ascii="Times New Roman" w:hAnsi="Times New Roman"/>
      <w:smallCaps/>
      <w:spacing w:val="80"/>
      <w:sz w:val="28"/>
    </w:rPr>
  </w:style>
  <w:style w:type="paragraph" w:customStyle="1" w:styleId="InChapter">
    <w:name w:val="InChapter"/>
    <w:basedOn w:val="Heading3"/>
    <w:rsid w:val="00151762"/>
    <w:pPr>
      <w:spacing w:after="240"/>
      <w:outlineLvl w:val="9"/>
    </w:pPr>
    <w:rPr>
      <w:noProof/>
    </w:rPr>
  </w:style>
  <w:style w:type="paragraph" w:styleId="Index2">
    <w:name w:val="index 2"/>
    <w:basedOn w:val="Normal"/>
    <w:next w:val="Normal"/>
    <w:semiHidden/>
    <w:rsid w:val="00151762"/>
    <w:pPr>
      <w:tabs>
        <w:tab w:val="right" w:pos="4176"/>
      </w:tabs>
      <w:ind w:left="568" w:hanging="284"/>
    </w:pPr>
    <w:rPr>
      <w:rFonts w:ascii="Garamond" w:hAnsi="Garamond"/>
    </w:rPr>
  </w:style>
  <w:style w:type="paragraph" w:customStyle="1" w:styleId="Byline">
    <w:name w:val="Byline"/>
    <w:rsid w:val="001517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762"/>
    <w:pPr>
      <w:tabs>
        <w:tab w:val="clear" w:pos="3600"/>
        <w:tab w:val="clear" w:pos="3958"/>
      </w:tabs>
      <w:jc w:val="right"/>
    </w:pPr>
  </w:style>
  <w:style w:type="character" w:styleId="Emphasis">
    <w:name w:val="Emphasis"/>
    <w:basedOn w:val="DefaultParagraphFont"/>
    <w:qFormat/>
    <w:rsid w:val="00151762"/>
    <w:rPr>
      <w:i/>
    </w:rPr>
  </w:style>
  <w:style w:type="paragraph" w:styleId="Caption">
    <w:name w:val="caption"/>
    <w:basedOn w:val="BodyText"/>
    <w:next w:val="Normal"/>
    <w:qFormat/>
    <w:rsid w:val="00151762"/>
    <w:pPr>
      <w:framePr w:w="2268" w:hSpace="181" w:vSpace="181" w:wrap="around" w:vAnchor="text" w:hAnchor="page" w:x="1135" w:y="285" w:anchorLock="1"/>
    </w:pPr>
    <w:rPr>
      <w:i/>
    </w:rPr>
  </w:style>
  <w:style w:type="paragraph" w:customStyle="1" w:styleId="MiniTOCTitle">
    <w:name w:val="MiniTOCTitle"/>
    <w:basedOn w:val="Heading4"/>
    <w:rsid w:val="00151762"/>
    <w:pPr>
      <w:spacing w:before="240"/>
      <w:outlineLvl w:val="9"/>
    </w:pPr>
    <w:rPr>
      <w:noProof/>
      <w:sz w:val="24"/>
    </w:rPr>
  </w:style>
  <w:style w:type="paragraph" w:customStyle="1" w:styleId="MiniTOCItem">
    <w:name w:val="MiniTOCItem"/>
    <w:basedOn w:val="ListBullet"/>
    <w:rsid w:val="00151762"/>
    <w:pPr>
      <w:numPr>
        <w:numId w:val="0"/>
      </w:numPr>
      <w:tabs>
        <w:tab w:val="right" w:leader="dot" w:pos="6521"/>
      </w:tabs>
      <w:spacing w:before="0" w:after="0"/>
    </w:pPr>
  </w:style>
  <w:style w:type="paragraph" w:customStyle="1" w:styleId="TOFTitle">
    <w:name w:val="TOFTitle"/>
    <w:basedOn w:val="TOCTitle"/>
    <w:rsid w:val="00151762"/>
  </w:style>
  <w:style w:type="paragraph" w:styleId="TableofFigures">
    <w:name w:val="table of figures"/>
    <w:basedOn w:val="Normal"/>
    <w:next w:val="Normal"/>
    <w:semiHidden/>
    <w:rsid w:val="00151762"/>
    <w:pPr>
      <w:tabs>
        <w:tab w:val="right" w:leader="dot" w:pos="9072"/>
      </w:tabs>
      <w:ind w:left="970" w:hanging="403"/>
    </w:pPr>
    <w:rPr>
      <w:rFonts w:ascii="Times New Roman" w:hAnsi="Times New Roman"/>
      <w:b/>
    </w:rPr>
  </w:style>
  <w:style w:type="paragraph" w:styleId="ListNumber">
    <w:name w:val="List Number"/>
    <w:basedOn w:val="List"/>
    <w:rsid w:val="00151762"/>
    <w:pPr>
      <w:numPr>
        <w:numId w:val="11"/>
      </w:numPr>
    </w:pPr>
  </w:style>
  <w:style w:type="character" w:customStyle="1" w:styleId="WingdingSymbols">
    <w:name w:val="Wingding Symbols"/>
    <w:rsid w:val="00151762"/>
    <w:rPr>
      <w:rFonts w:ascii="Wingdings" w:hAnsi="Wingdings"/>
    </w:rPr>
  </w:style>
  <w:style w:type="paragraph" w:customStyle="1" w:styleId="TableHeading">
    <w:name w:val="Table Heading"/>
    <w:basedOn w:val="HeadingBase"/>
    <w:rsid w:val="00151762"/>
    <w:pPr>
      <w:keepLines/>
      <w:pBdr>
        <w:bottom w:val="single" w:sz="6" w:space="1" w:color="918585"/>
      </w:pBdr>
      <w:spacing w:before="240"/>
    </w:pPr>
  </w:style>
  <w:style w:type="character" w:customStyle="1" w:styleId="HotSpot">
    <w:name w:val="HotSpot"/>
    <w:rsid w:val="00151762"/>
    <w:rPr>
      <w:color w:val="0033CC"/>
      <w:u w:val="none"/>
    </w:rPr>
  </w:style>
  <w:style w:type="paragraph" w:customStyle="1" w:styleId="BodyTextRight">
    <w:name w:val="Body Text Right"/>
    <w:basedOn w:val="BodyText"/>
    <w:rsid w:val="00151762"/>
    <w:pPr>
      <w:spacing w:before="0" w:after="0"/>
      <w:jc w:val="right"/>
    </w:pPr>
  </w:style>
  <w:style w:type="paragraph" w:styleId="Index3">
    <w:name w:val="index 3"/>
    <w:basedOn w:val="ListNumber2"/>
    <w:next w:val="Normal"/>
    <w:semiHidden/>
    <w:rsid w:val="00151762"/>
    <w:pPr>
      <w:numPr>
        <w:numId w:val="0"/>
      </w:numPr>
      <w:tabs>
        <w:tab w:val="right" w:leader="dot" w:pos="4176"/>
      </w:tabs>
    </w:pPr>
  </w:style>
  <w:style w:type="paragraph" w:styleId="ListNumber2">
    <w:name w:val="List Number 2"/>
    <w:basedOn w:val="List2"/>
    <w:rsid w:val="00151762"/>
    <w:pPr>
      <w:numPr>
        <w:numId w:val="10"/>
      </w:numPr>
      <w:tabs>
        <w:tab w:val="clear" w:pos="1060"/>
      </w:tabs>
    </w:pPr>
  </w:style>
  <w:style w:type="paragraph" w:customStyle="1" w:styleId="MarginNote">
    <w:name w:val="Margin Note"/>
    <w:basedOn w:val="BodyText"/>
    <w:rsid w:val="001517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7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7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762"/>
    <w:rPr>
      <w:sz w:val="32"/>
    </w:rPr>
  </w:style>
  <w:style w:type="paragraph" w:customStyle="1" w:styleId="HeadingProcedure">
    <w:name w:val="Heading Procedure"/>
    <w:basedOn w:val="HeadingBase"/>
    <w:next w:val="Normal"/>
    <w:rsid w:val="00151762"/>
    <w:pPr>
      <w:tabs>
        <w:tab w:val="left" w:pos="0"/>
      </w:tabs>
      <w:spacing w:before="120" w:after="60"/>
    </w:pPr>
    <w:rPr>
      <w:i/>
      <w:color w:val="918585"/>
      <w:sz w:val="22"/>
    </w:rPr>
  </w:style>
  <w:style w:type="paragraph" w:customStyle="1" w:styleId="TableBodyText">
    <w:name w:val="Table Body Text"/>
    <w:basedOn w:val="BodyText"/>
    <w:rsid w:val="00151762"/>
    <w:pPr>
      <w:spacing w:before="60" w:after="60"/>
    </w:pPr>
  </w:style>
  <w:style w:type="paragraph" w:styleId="ListContinue">
    <w:name w:val="List Continue"/>
    <w:basedOn w:val="List"/>
    <w:rsid w:val="00151762"/>
    <w:pPr>
      <w:ind w:firstLine="0"/>
    </w:pPr>
  </w:style>
  <w:style w:type="paragraph" w:customStyle="1" w:styleId="ListNote">
    <w:name w:val="List Note"/>
    <w:basedOn w:val="List"/>
    <w:rsid w:val="00151762"/>
    <w:pPr>
      <w:pBdr>
        <w:top w:val="single" w:sz="6" w:space="2" w:color="918585"/>
        <w:bottom w:val="single" w:sz="6" w:space="2" w:color="918585"/>
      </w:pBdr>
      <w:tabs>
        <w:tab w:val="left" w:pos="1021"/>
      </w:tabs>
      <w:ind w:firstLine="0"/>
    </w:pPr>
  </w:style>
  <w:style w:type="paragraph" w:customStyle="1" w:styleId="Warning">
    <w:name w:val="Warning"/>
    <w:basedOn w:val="BodyText"/>
    <w:rsid w:val="00151762"/>
    <w:pPr>
      <w:shd w:val="clear" w:color="auto" w:fill="D9D9D9"/>
      <w:tabs>
        <w:tab w:val="left" w:pos="992"/>
      </w:tabs>
      <w:ind w:left="119" w:right="119"/>
    </w:pPr>
    <w:rPr>
      <w:sz w:val="20"/>
    </w:rPr>
  </w:style>
  <w:style w:type="paragraph" w:customStyle="1" w:styleId="MarginIcons">
    <w:name w:val="Margin Icons"/>
    <w:basedOn w:val="BodyText"/>
    <w:rsid w:val="001517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762"/>
    <w:rPr>
      <w:rFonts w:ascii="Courier New" w:hAnsi="Courier New"/>
    </w:rPr>
  </w:style>
  <w:style w:type="paragraph" w:customStyle="1" w:styleId="NoteBullet">
    <w:name w:val="Note Bullet"/>
    <w:basedOn w:val="Note"/>
    <w:rsid w:val="00151762"/>
    <w:pPr>
      <w:tabs>
        <w:tab w:val="clear" w:pos="680"/>
      </w:tabs>
      <w:spacing w:before="60" w:after="60"/>
    </w:pPr>
  </w:style>
  <w:style w:type="paragraph" w:customStyle="1" w:styleId="SubHeading2">
    <w:name w:val="SubHeading2"/>
    <w:basedOn w:val="HeadingBase"/>
    <w:rsid w:val="00151762"/>
    <w:pPr>
      <w:spacing w:before="240" w:after="60"/>
    </w:pPr>
    <w:rPr>
      <w:sz w:val="20"/>
    </w:rPr>
  </w:style>
  <w:style w:type="paragraph" w:customStyle="1" w:styleId="SubHeading1">
    <w:name w:val="SubHeading1"/>
    <w:basedOn w:val="HeadingBase"/>
    <w:rsid w:val="00151762"/>
    <w:pPr>
      <w:spacing w:before="240" w:after="60"/>
    </w:pPr>
    <w:rPr>
      <w:color w:val="918585"/>
      <w:sz w:val="22"/>
    </w:rPr>
  </w:style>
  <w:style w:type="paragraph" w:customStyle="1" w:styleId="SideHeading">
    <w:name w:val="Side Heading"/>
    <w:basedOn w:val="HeadingBase"/>
    <w:rsid w:val="001517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762"/>
    <w:pPr>
      <w:numPr>
        <w:numId w:val="12"/>
      </w:numPr>
    </w:pPr>
  </w:style>
  <w:style w:type="paragraph" w:styleId="PlainText">
    <w:name w:val="Plain Text"/>
    <w:basedOn w:val="Normal"/>
    <w:link w:val="PlainTextChar"/>
    <w:rsid w:val="00151762"/>
    <w:rPr>
      <w:sz w:val="20"/>
    </w:rPr>
  </w:style>
  <w:style w:type="character" w:customStyle="1" w:styleId="PlainTextChar">
    <w:name w:val="Plain Text Char"/>
    <w:basedOn w:val="DefaultParagraphFont"/>
    <w:link w:val="PlainText"/>
    <w:rsid w:val="00151762"/>
    <w:rPr>
      <w:rFonts w:ascii="Courier New" w:eastAsia="Times New Roman" w:hAnsi="Courier New" w:cs="Times New Roman"/>
      <w:sz w:val="20"/>
      <w:szCs w:val="20"/>
      <w:lang w:eastAsia="en-US"/>
    </w:rPr>
  </w:style>
  <w:style w:type="character" w:customStyle="1" w:styleId="MenuOption">
    <w:name w:val="Menu Option"/>
    <w:basedOn w:val="DefaultParagraphFont"/>
    <w:rsid w:val="00151762"/>
    <w:rPr>
      <w:b/>
      <w:smallCaps/>
    </w:rPr>
  </w:style>
  <w:style w:type="paragraph" w:customStyle="1" w:styleId="TableListNumber">
    <w:name w:val="Table List Number"/>
    <w:basedOn w:val="ListNumber"/>
    <w:rsid w:val="00151762"/>
    <w:pPr>
      <w:numPr>
        <w:numId w:val="0"/>
      </w:numPr>
    </w:pPr>
  </w:style>
  <w:style w:type="paragraph" w:styleId="TOC4">
    <w:name w:val="toc 4"/>
    <w:basedOn w:val="TOCBase"/>
    <w:next w:val="Normal"/>
    <w:semiHidden/>
    <w:rsid w:val="00151762"/>
    <w:pPr>
      <w:tabs>
        <w:tab w:val="right" w:leader="dot" w:pos="9071"/>
      </w:tabs>
      <w:ind w:left="1701"/>
    </w:pPr>
  </w:style>
  <w:style w:type="paragraph" w:customStyle="1" w:styleId="ListAlpha">
    <w:name w:val="List Alpha"/>
    <w:basedOn w:val="List"/>
    <w:rsid w:val="00151762"/>
    <w:pPr>
      <w:numPr>
        <w:numId w:val="9"/>
      </w:numPr>
    </w:pPr>
  </w:style>
  <w:style w:type="paragraph" w:styleId="List2">
    <w:name w:val="List 2"/>
    <w:basedOn w:val="BodyText"/>
    <w:rsid w:val="00151762"/>
    <w:pPr>
      <w:tabs>
        <w:tab w:val="left" w:pos="680"/>
      </w:tabs>
      <w:spacing w:before="60" w:after="60"/>
      <w:ind w:left="680" w:hanging="340"/>
    </w:pPr>
  </w:style>
  <w:style w:type="paragraph" w:styleId="List3">
    <w:name w:val="List 3"/>
    <w:basedOn w:val="BodyText"/>
    <w:rsid w:val="00151762"/>
    <w:pPr>
      <w:tabs>
        <w:tab w:val="left" w:pos="1021"/>
      </w:tabs>
      <w:spacing w:before="60" w:after="60"/>
      <w:ind w:left="1020" w:hanging="340"/>
    </w:pPr>
  </w:style>
  <w:style w:type="paragraph" w:styleId="List4">
    <w:name w:val="List 4"/>
    <w:basedOn w:val="BodyText"/>
    <w:rsid w:val="00151762"/>
    <w:pPr>
      <w:tabs>
        <w:tab w:val="left" w:pos="1361"/>
      </w:tabs>
      <w:spacing w:before="60" w:after="60"/>
      <w:ind w:left="1361" w:hanging="340"/>
    </w:pPr>
  </w:style>
  <w:style w:type="paragraph" w:styleId="List5">
    <w:name w:val="List 5"/>
    <w:basedOn w:val="BodyText"/>
    <w:rsid w:val="00151762"/>
    <w:pPr>
      <w:tabs>
        <w:tab w:val="left" w:pos="1701"/>
      </w:tabs>
      <w:spacing w:before="60" w:after="60"/>
      <w:ind w:left="1701" w:hanging="340"/>
    </w:pPr>
  </w:style>
  <w:style w:type="paragraph" w:styleId="ListBullet3">
    <w:name w:val="List Bullet 3"/>
    <w:basedOn w:val="List3"/>
    <w:rsid w:val="00151762"/>
    <w:pPr>
      <w:numPr>
        <w:numId w:val="15"/>
      </w:numPr>
      <w:tabs>
        <w:tab w:val="clear" w:pos="1021"/>
      </w:tabs>
      <w:ind w:left="1037" w:hanging="357"/>
    </w:pPr>
  </w:style>
  <w:style w:type="paragraph" w:styleId="ListBullet4">
    <w:name w:val="List Bullet 4"/>
    <w:basedOn w:val="List4"/>
    <w:rsid w:val="00151762"/>
    <w:pPr>
      <w:numPr>
        <w:numId w:val="3"/>
      </w:numPr>
    </w:pPr>
  </w:style>
  <w:style w:type="paragraph" w:styleId="ListBullet5">
    <w:name w:val="List Bullet 5"/>
    <w:basedOn w:val="List5"/>
    <w:rsid w:val="00151762"/>
    <w:pPr>
      <w:numPr>
        <w:numId w:val="4"/>
      </w:numPr>
    </w:pPr>
  </w:style>
  <w:style w:type="paragraph" w:styleId="ListContinue2">
    <w:name w:val="List Continue 2"/>
    <w:basedOn w:val="List2"/>
    <w:rsid w:val="00151762"/>
    <w:pPr>
      <w:ind w:firstLine="0"/>
    </w:pPr>
  </w:style>
  <w:style w:type="paragraph" w:styleId="ListContinue3">
    <w:name w:val="List Continue 3"/>
    <w:basedOn w:val="List3"/>
    <w:rsid w:val="00151762"/>
    <w:pPr>
      <w:ind w:left="1021" w:firstLine="0"/>
    </w:pPr>
  </w:style>
  <w:style w:type="paragraph" w:styleId="ListContinue4">
    <w:name w:val="List Continue 4"/>
    <w:basedOn w:val="List4"/>
    <w:rsid w:val="00151762"/>
    <w:pPr>
      <w:ind w:firstLine="0"/>
    </w:pPr>
  </w:style>
  <w:style w:type="paragraph" w:styleId="ListContinue5">
    <w:name w:val="List Continue 5"/>
    <w:basedOn w:val="List5"/>
    <w:rsid w:val="00151762"/>
    <w:pPr>
      <w:ind w:firstLine="0"/>
    </w:pPr>
  </w:style>
  <w:style w:type="paragraph" w:styleId="ListNumber3">
    <w:name w:val="List Number 3"/>
    <w:basedOn w:val="List3"/>
    <w:rsid w:val="00151762"/>
    <w:pPr>
      <w:numPr>
        <w:numId w:val="5"/>
      </w:numPr>
    </w:pPr>
  </w:style>
  <w:style w:type="paragraph" w:styleId="ListNumber4">
    <w:name w:val="List Number 4"/>
    <w:basedOn w:val="List4"/>
    <w:rsid w:val="00151762"/>
    <w:pPr>
      <w:numPr>
        <w:numId w:val="6"/>
      </w:numPr>
    </w:pPr>
  </w:style>
  <w:style w:type="paragraph" w:styleId="ListNumber5">
    <w:name w:val="List Number 5"/>
    <w:basedOn w:val="List5"/>
    <w:rsid w:val="00151762"/>
    <w:pPr>
      <w:numPr>
        <w:numId w:val="7"/>
      </w:numPr>
    </w:pPr>
  </w:style>
  <w:style w:type="paragraph" w:styleId="BlockText">
    <w:name w:val="Block Text"/>
    <w:basedOn w:val="Normal"/>
    <w:rsid w:val="00151762"/>
    <w:pPr>
      <w:spacing w:after="120"/>
      <w:ind w:left="1440" w:right="1440"/>
    </w:pPr>
  </w:style>
  <w:style w:type="character" w:customStyle="1" w:styleId="Subscript">
    <w:name w:val="Subscript"/>
    <w:basedOn w:val="DefaultParagraphFont"/>
    <w:rsid w:val="00151762"/>
    <w:rPr>
      <w:sz w:val="16"/>
      <w:vertAlign w:val="subscript"/>
    </w:rPr>
  </w:style>
  <w:style w:type="character" w:customStyle="1" w:styleId="Superscript">
    <w:name w:val="Superscript"/>
    <w:basedOn w:val="DefaultParagraphFont"/>
    <w:rsid w:val="00151762"/>
    <w:rPr>
      <w:sz w:val="16"/>
      <w:vertAlign w:val="superscript"/>
    </w:rPr>
  </w:style>
  <w:style w:type="character" w:customStyle="1" w:styleId="Symbols">
    <w:name w:val="Symbols"/>
    <w:basedOn w:val="DefaultParagraphFont"/>
    <w:rsid w:val="00151762"/>
    <w:rPr>
      <w:rFonts w:ascii="Symbol" w:hAnsi="Symbol"/>
    </w:rPr>
  </w:style>
  <w:style w:type="character" w:customStyle="1" w:styleId="MenuOptions">
    <w:name w:val="Menu Options"/>
    <w:basedOn w:val="DefaultParagraphFont"/>
    <w:rsid w:val="00151762"/>
    <w:rPr>
      <w:rFonts w:ascii="Arial Narrow" w:hAnsi="Arial Narrow"/>
      <w:smallCaps/>
    </w:rPr>
  </w:style>
  <w:style w:type="character" w:customStyle="1" w:styleId="Buttons">
    <w:name w:val="Buttons"/>
    <w:basedOn w:val="DefaultParagraphFont"/>
    <w:rsid w:val="00151762"/>
    <w:rPr>
      <w:b/>
    </w:rPr>
  </w:style>
  <w:style w:type="character" w:customStyle="1" w:styleId="Underlined">
    <w:name w:val="Underlined"/>
    <w:basedOn w:val="DefaultParagraphFont"/>
    <w:rsid w:val="00151762"/>
    <w:rPr>
      <w:u w:val="single"/>
    </w:rPr>
  </w:style>
  <w:style w:type="paragraph" w:customStyle="1" w:styleId="TableBodyTextRight">
    <w:name w:val="Table Body Text Right"/>
    <w:basedOn w:val="TableBodyText"/>
    <w:rsid w:val="00151762"/>
    <w:pPr>
      <w:widowControl w:val="0"/>
      <w:autoSpaceDE w:val="0"/>
      <w:autoSpaceDN w:val="0"/>
      <w:adjustRightInd w:val="0"/>
      <w:jc w:val="right"/>
    </w:pPr>
    <w:rPr>
      <w:rFonts w:cs="Arial"/>
      <w:szCs w:val="18"/>
    </w:rPr>
  </w:style>
  <w:style w:type="paragraph" w:customStyle="1" w:styleId="CopyrightText">
    <w:name w:val="Copyright Text"/>
    <w:basedOn w:val="BodyText"/>
    <w:rsid w:val="00151762"/>
    <w:rPr>
      <w:sz w:val="18"/>
    </w:rPr>
  </w:style>
  <w:style w:type="paragraph" w:customStyle="1" w:styleId="BodySmallRight">
    <w:name w:val="Body Small Right"/>
    <w:basedOn w:val="BodyTextRight"/>
    <w:rsid w:val="00151762"/>
    <w:rPr>
      <w:sz w:val="18"/>
      <w:szCs w:val="18"/>
    </w:rPr>
  </w:style>
  <w:style w:type="paragraph" w:customStyle="1" w:styleId="MarginEdition">
    <w:name w:val="Margin Edition"/>
    <w:basedOn w:val="MarginNote"/>
    <w:rsid w:val="00151762"/>
    <w:pPr>
      <w:spacing w:before="0" w:after="0"/>
    </w:pPr>
    <w:rPr>
      <w:rFonts w:ascii="Times New Roman" w:hAnsi="Times New Roman"/>
      <w:color w:val="999999"/>
    </w:rPr>
  </w:style>
  <w:style w:type="paragraph" w:customStyle="1" w:styleId="Spacer">
    <w:name w:val="Spacer"/>
    <w:basedOn w:val="Normal"/>
    <w:rsid w:val="00151762"/>
    <w:rPr>
      <w:sz w:val="2"/>
      <w:szCs w:val="2"/>
    </w:rPr>
  </w:style>
  <w:style w:type="character" w:customStyle="1" w:styleId="Small">
    <w:name w:val="Small"/>
    <w:basedOn w:val="DefaultParagraphFont"/>
    <w:rsid w:val="00151762"/>
    <w:rPr>
      <w:sz w:val="16"/>
    </w:rPr>
  </w:style>
  <w:style w:type="paragraph" w:customStyle="1" w:styleId="WideTable">
    <w:name w:val="Wide Table"/>
    <w:basedOn w:val="Normal"/>
    <w:rsid w:val="00151762"/>
    <w:pPr>
      <w:ind w:left="-1418"/>
    </w:pPr>
    <w:rPr>
      <w:sz w:val="2"/>
      <w:szCs w:val="2"/>
    </w:rPr>
  </w:style>
  <w:style w:type="character" w:styleId="PageNumber">
    <w:name w:val="page number"/>
    <w:basedOn w:val="DefaultParagraphFont"/>
    <w:rsid w:val="00151762"/>
  </w:style>
  <w:style w:type="paragraph" w:styleId="Quote">
    <w:name w:val="Quote"/>
    <w:basedOn w:val="Heading1"/>
    <w:link w:val="QuoteChar"/>
    <w:qFormat/>
    <w:rsid w:val="00151762"/>
    <w:rPr>
      <w:b w:val="0"/>
      <w:sz w:val="72"/>
      <w:szCs w:val="72"/>
      <w:lang w:val="en-NZ"/>
    </w:rPr>
  </w:style>
  <w:style w:type="character" w:customStyle="1" w:styleId="QuoteChar">
    <w:name w:val="Quote Char"/>
    <w:basedOn w:val="DefaultParagraphFont"/>
    <w:link w:val="Quote"/>
    <w:rsid w:val="001517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762"/>
    <w:pPr>
      <w:pageBreakBefore/>
    </w:pPr>
  </w:style>
  <w:style w:type="paragraph" w:customStyle="1" w:styleId="Border">
    <w:name w:val="Border"/>
    <w:basedOn w:val="Normal"/>
    <w:qFormat/>
    <w:rsid w:val="001517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762"/>
    <w:rPr>
      <w:b/>
      <w:bCs/>
      <w:i/>
      <w:iCs/>
      <w:color w:val="auto"/>
    </w:rPr>
  </w:style>
  <w:style w:type="paragraph" w:styleId="IntenseQuote">
    <w:name w:val="Intense Quote"/>
    <w:basedOn w:val="Normal"/>
    <w:next w:val="Normal"/>
    <w:link w:val="IntenseQuoteChar"/>
    <w:uiPriority w:val="30"/>
    <w:qFormat/>
    <w:rsid w:val="001517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7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762"/>
    <w:rPr>
      <w:smallCaps/>
      <w:color w:val="auto"/>
      <w:u w:val="single"/>
    </w:rPr>
  </w:style>
  <w:style w:type="character" w:styleId="IntenseReference">
    <w:name w:val="Intense Reference"/>
    <w:basedOn w:val="DefaultParagraphFont"/>
    <w:uiPriority w:val="32"/>
    <w:qFormat/>
    <w:rsid w:val="00151762"/>
    <w:rPr>
      <w:b/>
      <w:bCs/>
      <w:smallCaps/>
      <w:color w:val="auto"/>
      <w:spacing w:val="5"/>
      <w:u w:val="single"/>
    </w:rPr>
  </w:style>
  <w:style w:type="paragraph" w:customStyle="1" w:styleId="2ColumnHeading">
    <w:name w:val="2Column Heading"/>
    <w:basedOn w:val="BodyText"/>
    <w:qFormat/>
    <w:rsid w:val="00151762"/>
    <w:pPr>
      <w:spacing w:after="60"/>
      <w:ind w:left="-2268"/>
    </w:pPr>
    <w:rPr>
      <w:b/>
    </w:rPr>
  </w:style>
  <w:style w:type="paragraph" w:customStyle="1" w:styleId="Heading1TOC">
    <w:name w:val="Heading1 TOC"/>
    <w:basedOn w:val="Normal"/>
    <w:qFormat/>
    <w:rsid w:val="00151762"/>
    <w:pPr>
      <w:spacing w:before="240" w:after="120"/>
    </w:pPr>
    <w:rPr>
      <w:rFonts w:ascii="Times New Roman" w:hAnsi="Times New Roman"/>
      <w:b/>
      <w:sz w:val="32"/>
    </w:rPr>
  </w:style>
  <w:style w:type="paragraph" w:customStyle="1" w:styleId="Heading2TOC">
    <w:name w:val="Heading2 TOC"/>
    <w:basedOn w:val="Normal"/>
    <w:qFormat/>
    <w:rsid w:val="00151762"/>
    <w:pPr>
      <w:spacing w:before="240" w:after="60"/>
    </w:pPr>
    <w:rPr>
      <w:rFonts w:ascii="Times New Roman" w:hAnsi="Times New Roman"/>
      <w:b/>
      <w:sz w:val="28"/>
    </w:rPr>
  </w:style>
  <w:style w:type="character" w:customStyle="1" w:styleId="Underline">
    <w:name w:val="Underline"/>
    <w:basedOn w:val="DefaultParagraphFont"/>
    <w:qFormat/>
    <w:rsid w:val="00151762"/>
    <w:rPr>
      <w:u w:val="single"/>
    </w:rPr>
  </w:style>
  <w:style w:type="character" w:customStyle="1" w:styleId="BoldandItalics">
    <w:name w:val="Bold and Italics"/>
    <w:qFormat/>
    <w:rsid w:val="00151762"/>
    <w:rPr>
      <w:b/>
      <w:i/>
      <w:u w:val="none"/>
    </w:rPr>
  </w:style>
  <w:style w:type="paragraph" w:styleId="BalloonText">
    <w:name w:val="Balloon Text"/>
    <w:basedOn w:val="Normal"/>
    <w:link w:val="BalloonTextChar"/>
    <w:rsid w:val="00151762"/>
    <w:rPr>
      <w:rFonts w:ascii="Tahoma" w:hAnsi="Tahoma" w:cs="Tahoma"/>
      <w:sz w:val="16"/>
      <w:szCs w:val="16"/>
    </w:rPr>
  </w:style>
  <w:style w:type="character" w:customStyle="1" w:styleId="BalloonTextChar">
    <w:name w:val="Balloon Text Char"/>
    <w:basedOn w:val="DefaultParagraphFont"/>
    <w:link w:val="BalloonText"/>
    <w:rsid w:val="001517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7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7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762"/>
    <w:rPr>
      <w:b/>
      <w:color w:val="660033"/>
      <w:spacing w:val="0"/>
    </w:rPr>
  </w:style>
  <w:style w:type="paragraph" w:customStyle="1" w:styleId="Nameditemlist">
    <w:name w:val="Named item list"/>
    <w:basedOn w:val="BodyText"/>
    <w:qFormat/>
    <w:rsid w:val="001517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2137</Words>
  <Characters>13271</Characters>
  <Application>Microsoft Office Word</Application>
  <DocSecurity>0</DocSecurity>
  <Lines>489</Lines>
  <Paragraphs>208</Paragraphs>
  <ScaleCrop>false</ScaleCrop>
  <Company>Author-it Software Corporation Ltd.</Company>
  <LinksUpToDate>false</LinksUpToDate>
  <CharactersWithSpaces>15257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UEENEEN109A Install and maintain train detection equipment</dc:title>
  <dc:subject>Approved</dc:subject>
  <dc:creator>E-OZ Training Standards</dc:creator>
  <cp:keywords>Release: 2</cp:keywords>
  <dc:description>Review Date: 12 April 2008</dc:description>
  <cp:lastModifiedBy>HSD_TPCMSd.prod</cp:lastModifiedBy>
  <cp:revision>3</cp:revision>
  <dcterms:created xsi:type="dcterms:W3CDTF">2013-08-14T06:52:00Z</dcterms:created>
  <dcterms:modified xsi:type="dcterms:W3CDTF">2013-08-14T06:52:00Z</dcterms:modified>
</cp:coreProperties>
</file>