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21A5" w:rsidP="007621A5">
      <w:pPr>
        <w:pStyle w:val="Title"/>
      </w:pPr>
      <w:r>
        <w:fldChar w:fldCharType="begin"/>
      </w:r>
      <w:r>
        <w:instrText xml:space="preserve"> TITLE   \* MERGEFORMAT </w:instrText>
      </w:r>
      <w:r>
        <w:fldChar w:fldCharType="separate"/>
      </w:r>
      <w:r>
        <w:t>UEENEEN108A Install and maintain power operated point actuating devices</w:t>
      </w:r>
      <w:r>
        <w:fldChar w:fldCharType="end"/>
      </w:r>
    </w:p>
    <w:p w:rsidR="007621A5" w:rsidP="007621A5">
      <w:pPr>
        <w:pStyle w:val="Version"/>
        <w:sectPr w:rsidSect="007C16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1679" w:rsidP="007C1679">
      <w:pPr>
        <w:pStyle w:val="SuperHeading"/>
      </w:pPr>
      <w:r w:rsidRPr="007C1679">
        <w:t>UEENEEN108A Install and maintain power operated point actuating devices</w:t>
      </w:r>
    </w:p>
    <w:p w:rsidR="00000000" w:rsidRPr="007C1679" w:rsidP="007C1679">
      <w:pPr>
        <w:pStyle w:val="Heading1"/>
      </w:pPr>
      <w:bookmarkStart w:id="1" w:name="O_585732"/>
      <w:bookmarkEnd w:id="1"/>
      <w:r w:rsidRPr="007C1679">
        <w:t>Modification History</w:t>
      </w:r>
    </w:p>
    <w:p w:rsidR="00000000" w:rsidRPr="007C1679" w:rsidP="007C1679">
      <w:pPr>
        <w:pStyle w:val="BodyText"/>
      </w:pPr>
      <w:r w:rsidRPr="007C1679">
        <w:t>Not applicable.</w:t>
      </w:r>
    </w:p>
    <w:p w:rsidR="00000000" w:rsidRPr="007C1679" w:rsidP="007C1679">
      <w:pPr>
        <w:pStyle w:val="AllowPageBreak"/>
      </w:pPr>
    </w:p>
    <w:p w:rsidR="00000000" w:rsidRPr="007C1679" w:rsidP="007C1679">
      <w:pPr>
        <w:pStyle w:val="Heading1"/>
      </w:pPr>
      <w:bookmarkStart w:id="2" w:name="O_585731"/>
      <w:bookmarkEnd w:id="2"/>
      <w:r w:rsidRPr="007C1679">
        <w:t>Unit Descriptor</w:t>
      </w:r>
    </w:p>
    <w:tbl>
      <w:tblPr>
        <w:tblW w:w="0" w:type="auto"/>
        <w:tblLayout w:type="fixed"/>
        <w:tblCellMar>
          <w:left w:w="62" w:type="dxa"/>
          <w:right w:w="62" w:type="dxa"/>
        </w:tblCellMar>
        <w:tblLook w:val="0000"/>
      </w:tblPr>
      <w:tblGrid>
        <w:gridCol w:w="2700"/>
        <w:gridCol w:w="5760"/>
      </w:tblGrid>
      <w:tr w:rsidTr="007621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rPr>
                <w:rStyle w:val="SpecialBold"/>
              </w:rPr>
              <w:t>1)</w:t>
            </w:r>
            <w:r w:rsidRPr="007C1679">
              <w:t xml:space="preserve"> </w:t>
            </w:r>
            <w:r w:rsidRPr="007C1679">
              <w:rPr>
                <w:rStyle w:val="SpecialBold"/>
              </w:rPr>
              <w:t>Scope:</w:t>
            </w:r>
          </w:p>
        </w:tc>
      </w:tr>
      <w:tr w:rsidTr="00762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C167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rPr>
                <w:rStyle w:val="SpecialBold"/>
              </w:rPr>
              <w:t>1.1) Descriptor</w:t>
            </w:r>
          </w:p>
        </w:tc>
      </w:tr>
      <w:tr w:rsidTr="00762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t>This unit covers installation and maintenance of power point actuating devices in rail networks. It encompasses safe working, regulatory requirements and following installation and work procedures, performing scheduled maintenance, finding and repairing fa</w:t>
            </w:r>
            <w:r w:rsidRPr="007C1679">
              <w:t>ults, performing operational tests and reporting.</w:t>
            </w:r>
          </w:p>
        </w:tc>
      </w:tr>
    </w:tbl>
    <w:p w:rsidR="00000000" w:rsidRPr="007C1679" w:rsidP="007C1679">
      <w:pPr>
        <w:pStyle w:val="BodyText"/>
      </w:pPr>
    </w:p>
    <w:p w:rsidR="00000000" w:rsidRPr="007C1679" w:rsidP="007C1679">
      <w:pPr>
        <w:pStyle w:val="AllowPageBreak"/>
      </w:pPr>
    </w:p>
    <w:p w:rsidR="00000000" w:rsidRPr="007C1679" w:rsidP="007C1679">
      <w:pPr>
        <w:pStyle w:val="Heading1"/>
      </w:pPr>
      <w:bookmarkStart w:id="3" w:name="O_585730"/>
      <w:bookmarkEnd w:id="3"/>
      <w:r w:rsidRPr="007C1679">
        <w:t>Application of the Unit</w:t>
      </w:r>
    </w:p>
    <w:tbl>
      <w:tblPr>
        <w:tblW w:w="0" w:type="auto"/>
        <w:tblLayout w:type="fixed"/>
        <w:tblCellMar>
          <w:left w:w="62" w:type="dxa"/>
          <w:right w:w="62" w:type="dxa"/>
        </w:tblCellMar>
        <w:tblLook w:val="0000"/>
      </w:tblPr>
      <w:tblGrid>
        <w:gridCol w:w="2672"/>
        <w:gridCol w:w="5699"/>
      </w:tblGrid>
      <w:tr w:rsidTr="007621A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rPr>
                <w:rStyle w:val="SpecialBold"/>
              </w:rPr>
              <w:t>2)</w:t>
            </w:r>
          </w:p>
        </w:tc>
      </w:tr>
      <w:tr w:rsidTr="007621A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t>This unit shall apply to qualifications in installation and maintenance of rail signalling electrical power and control systems.</w:t>
            </w:r>
          </w:p>
        </w:tc>
      </w:tr>
    </w:tbl>
    <w:p w:rsidR="00000000" w:rsidRPr="007C1679" w:rsidP="007C1679">
      <w:pPr>
        <w:pStyle w:val="BodyText"/>
      </w:pPr>
    </w:p>
    <w:p w:rsidR="00000000" w:rsidRPr="007C1679" w:rsidP="007C1679">
      <w:pPr>
        <w:pStyle w:val="AllowPageBreak"/>
      </w:pPr>
    </w:p>
    <w:p w:rsidR="00000000" w:rsidRPr="007C1679" w:rsidP="007C1679">
      <w:pPr>
        <w:pStyle w:val="Heading1"/>
      </w:pPr>
      <w:bookmarkStart w:id="4" w:name="O_585729"/>
      <w:bookmarkEnd w:id="4"/>
      <w:r w:rsidRPr="007C1679">
        <w:t>Licensing/Regulatory Information</w:t>
      </w:r>
    </w:p>
    <w:tbl>
      <w:tblPr>
        <w:tblW w:w="0" w:type="auto"/>
        <w:tblLayout w:type="fixed"/>
        <w:tblCellMar>
          <w:left w:w="62" w:type="dxa"/>
          <w:right w:w="62" w:type="dxa"/>
        </w:tblCellMar>
        <w:tblLook w:val="0000"/>
      </w:tblPr>
      <w:tblGrid>
        <w:gridCol w:w="2700"/>
        <w:gridCol w:w="5760"/>
      </w:tblGrid>
      <w:tr w:rsidTr="007621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rPr>
                <w:rStyle w:val="SpecialBold"/>
              </w:rPr>
              <w:t xml:space="preserve">3) </w:t>
            </w:r>
          </w:p>
        </w:tc>
      </w:tr>
      <w:tr w:rsidTr="00762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t>The skills and knowledge described in this unit may only be practised in the workplace under regulations related to electrical work, the codes of practice and regulations of the Sta</w:t>
            </w:r>
            <w:r w:rsidRPr="007C1679">
              <w:t>te/Territory in which the work is carried out. This includes codes of practice such as the ‘Code Of Practice for the Defined Interstate Rail Network’ for work carried out on that network.</w:t>
            </w:r>
          </w:p>
        </w:tc>
      </w:tr>
    </w:tbl>
    <w:p w:rsidR="00000000" w:rsidRPr="007C1679" w:rsidP="007C1679">
      <w:pPr>
        <w:pStyle w:val="BodyText"/>
      </w:pPr>
    </w:p>
    <w:p w:rsidR="00000000" w:rsidRPr="007C1679" w:rsidP="007C1679">
      <w:pPr>
        <w:pStyle w:val="AllowPageBreak"/>
      </w:pPr>
    </w:p>
    <w:p w:rsidR="00000000" w:rsidRPr="007C1679" w:rsidP="007C1679">
      <w:pPr>
        <w:pStyle w:val="Heading1"/>
      </w:pPr>
      <w:bookmarkStart w:id="5" w:name="O_585728"/>
      <w:bookmarkEnd w:id="5"/>
      <w:r w:rsidRPr="007C1679">
        <w:t>Pre-Requisites</w:t>
      </w:r>
    </w:p>
    <w:tbl>
      <w:tblPr>
        <w:tblW w:w="0" w:type="auto"/>
        <w:tblLayout w:type="fixed"/>
        <w:tblCellMar>
          <w:left w:w="62" w:type="dxa"/>
          <w:right w:w="62" w:type="dxa"/>
        </w:tblCellMar>
        <w:tblLook w:val="0000"/>
      </w:tblPr>
      <w:tblGrid>
        <w:gridCol w:w="2700"/>
        <w:gridCol w:w="1350"/>
        <w:gridCol w:w="4410"/>
      </w:tblGrid>
      <w:tr w:rsidTr="007621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rPr>
                <w:rStyle w:val="SpecialBold"/>
              </w:rPr>
              <w:t xml:space="preserve">4) </w:t>
            </w:r>
          </w:p>
        </w:tc>
      </w:tr>
      <w:tr w:rsidTr="00762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rPr>
                <w:rStyle w:val="SpecialBold"/>
              </w:rPr>
              <w:t>4.1)</w:t>
            </w:r>
          </w:p>
        </w:tc>
      </w:tr>
      <w:tr w:rsidTr="00762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Granting competency in this unit shall be made only after competency in the following unit(s) has/have been confirmed.</w:t>
            </w:r>
          </w:p>
        </w:tc>
      </w:tr>
      <w:tr w:rsidTr="00762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UEENEEN109A</w:t>
            </w:r>
          </w:p>
        </w:tc>
        <w:tc>
          <w:tcPr>
            <w:tcW w:w="441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Install and maintain train detection equipment.</w:t>
            </w:r>
          </w:p>
        </w:tc>
      </w:tr>
      <w:tr w:rsidTr="00762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AND</w:t>
            </w:r>
          </w:p>
        </w:tc>
        <w:tc>
          <w:tcPr>
            <w:tcW w:w="441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p>
        </w:tc>
      </w:tr>
      <w:tr w:rsidTr="00762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t>Relevant work place requirements in ‘</w:t>
            </w:r>
            <w:r w:rsidRPr="007C1679">
              <w:t>Work site protection’ have been acquired.</w:t>
            </w:r>
          </w:p>
        </w:tc>
      </w:tr>
    </w:tbl>
    <w:p w:rsidR="00000000" w:rsidRPr="007C1679" w:rsidP="007C167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621A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rPr>
                <w:rStyle w:val="SpecialBold"/>
              </w:rPr>
              <w:t xml:space="preserve">4.2) </w:t>
            </w:r>
          </w:p>
        </w:tc>
      </w:tr>
      <w:tr w:rsidTr="00762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 xml:space="preserve">Participants are best equipped to achieve competency in this unit if they have reading, writing and numeracy skills indicated by the following </w:t>
            </w:r>
            <w:r w:rsidRPr="007C1679">
              <w:t>scales. Description of each scale is given in Volume 2, Part 3 ‘Literacy and Numeracy’</w:t>
            </w:r>
          </w:p>
        </w:tc>
      </w:tr>
      <w:tr w:rsidTr="00762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Reading</w:t>
            </w:r>
          </w:p>
        </w:tc>
        <w:tc>
          <w:tcPr>
            <w:tcW w:w="81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4</w:t>
            </w:r>
          </w:p>
        </w:tc>
        <w:tc>
          <w:tcPr>
            <w:tcW w:w="99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Writing</w:t>
            </w:r>
          </w:p>
        </w:tc>
        <w:tc>
          <w:tcPr>
            <w:tcW w:w="9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4</w:t>
            </w:r>
          </w:p>
        </w:tc>
        <w:tc>
          <w:tcPr>
            <w:tcW w:w="12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Numeracy</w:t>
            </w:r>
          </w:p>
        </w:tc>
        <w:tc>
          <w:tcPr>
            <w:tcW w:w="72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t>4</w:t>
            </w:r>
          </w:p>
        </w:tc>
      </w:tr>
    </w:tbl>
    <w:p w:rsidR="00000000" w:rsidRPr="007C1679" w:rsidP="007C1679">
      <w:pPr>
        <w:pStyle w:val="BodyText"/>
      </w:pPr>
    </w:p>
    <w:p w:rsidR="00000000" w:rsidRPr="007C1679" w:rsidP="007C1679">
      <w:pPr>
        <w:pStyle w:val="AllowPageBreak"/>
      </w:pPr>
    </w:p>
    <w:p w:rsidR="00000000" w:rsidRPr="007C1679" w:rsidP="007C1679">
      <w:pPr>
        <w:pStyle w:val="Heading1"/>
      </w:pPr>
      <w:bookmarkStart w:id="6" w:name="O_585727"/>
      <w:bookmarkEnd w:id="6"/>
      <w:r w:rsidRPr="007C1679">
        <w:t>Employability Skills Information</w:t>
      </w:r>
    </w:p>
    <w:tbl>
      <w:tblPr>
        <w:tblW w:w="0" w:type="auto"/>
        <w:tblLayout w:type="fixed"/>
        <w:tblCellMar>
          <w:left w:w="62" w:type="dxa"/>
          <w:right w:w="62" w:type="dxa"/>
        </w:tblCellMar>
        <w:tblLook w:val="0000"/>
      </w:tblPr>
      <w:tblGrid>
        <w:gridCol w:w="2700"/>
        <w:gridCol w:w="5760"/>
      </w:tblGrid>
      <w:tr w:rsidTr="007621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rPr>
                <w:rStyle w:val="SpecialBold"/>
              </w:rPr>
              <w:t xml:space="preserve">5) </w:t>
            </w:r>
          </w:p>
        </w:tc>
      </w:tr>
      <w:tr w:rsidTr="00762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t>This unit contains Employability Skills</w:t>
            </w:r>
          </w:p>
          <w:p w:rsidR="00000000" w:rsidRPr="007C1679" w:rsidP="007C1679">
            <w:pPr>
              <w:pStyle w:val="BodyText"/>
            </w:pPr>
            <w:r w:rsidRPr="007C167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C1679">
              <w:t>requirements.</w:t>
            </w:r>
          </w:p>
        </w:tc>
      </w:tr>
    </w:tbl>
    <w:p w:rsidR="00000000" w:rsidRPr="007C1679" w:rsidP="007C1679">
      <w:pPr>
        <w:pStyle w:val="BodyText"/>
      </w:pPr>
    </w:p>
    <w:p w:rsidR="00000000" w:rsidRPr="007C1679" w:rsidP="007C1679">
      <w:pPr>
        <w:pStyle w:val="AllowPageBreak"/>
      </w:pPr>
    </w:p>
    <w:p w:rsidR="00000000" w:rsidRPr="007C1679" w:rsidP="007C1679">
      <w:pPr>
        <w:pStyle w:val="Heading1"/>
      </w:pPr>
      <w:bookmarkStart w:id="7" w:name="O_585726"/>
      <w:bookmarkEnd w:id="7"/>
      <w:r w:rsidRPr="007C1679">
        <w:t>Elements and Performance Criteria Pre-Content</w:t>
      </w:r>
    </w:p>
    <w:tbl>
      <w:tblPr>
        <w:tblW w:w="0" w:type="auto"/>
        <w:tblLayout w:type="fixed"/>
        <w:tblCellMar>
          <w:left w:w="62" w:type="dxa"/>
          <w:right w:w="62" w:type="dxa"/>
        </w:tblCellMar>
        <w:tblLook w:val="0000"/>
      </w:tblPr>
      <w:tblGrid>
        <w:gridCol w:w="2700"/>
        <w:gridCol w:w="5760"/>
      </w:tblGrid>
      <w:tr w:rsidTr="00762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rPr>
                <w:rStyle w:val="SpecialBold"/>
              </w:rPr>
              <w:t>6)</w:t>
            </w:r>
            <w:r w:rsidRPr="007C167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t>Performance Criteria describe the required performance needed to demonstrate achievement of the element</w:t>
            </w:r>
            <w:r w:rsidRPr="007C1679">
              <w:t>. Assessment of performance is to be consistent with the Evidence Guide.</w:t>
            </w:r>
          </w:p>
        </w:tc>
      </w:tr>
    </w:tbl>
    <w:p w:rsidR="00000000" w:rsidRPr="007C1679" w:rsidP="007C1679">
      <w:pPr>
        <w:pStyle w:val="BodyText"/>
      </w:pPr>
    </w:p>
    <w:p w:rsidR="00000000" w:rsidRPr="007C1679" w:rsidP="007C1679">
      <w:pPr>
        <w:pStyle w:val="AllowPageBreak"/>
      </w:pPr>
    </w:p>
    <w:p w:rsidR="00000000" w:rsidRPr="007C1679" w:rsidP="007C1679">
      <w:pPr>
        <w:pStyle w:val="Heading1"/>
      </w:pPr>
      <w:bookmarkStart w:id="8" w:name="O_585725"/>
      <w:bookmarkEnd w:id="8"/>
      <w:r w:rsidRPr="007C167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621A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rPr>
                <w:rStyle w:val="SpecialBold"/>
              </w:rPr>
              <w:t>PERFORMANCE CRITERIA</w:t>
            </w:r>
          </w:p>
        </w:tc>
      </w:tr>
      <w:tr w:rsidTr="00762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1</w:t>
            </w:r>
          </w:p>
        </w:tc>
        <w:tc>
          <w:tcPr>
            <w:tcW w:w="2296"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 xml:space="preserve">Prepare to install and maintain power operated point actuating devices </w:t>
            </w:r>
          </w:p>
        </w:tc>
        <w:tc>
          <w:tcPr>
            <w:tcW w:w="9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1.1</w:t>
            </w:r>
          </w:p>
        </w:tc>
        <w:tc>
          <w:tcPr>
            <w:tcW w:w="48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OHS procedures for a given work area are identified, obtained and understood.</w:t>
            </w:r>
          </w:p>
        </w:tc>
      </w:tr>
      <w:tr w:rsidTr="00762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1.2</w:t>
            </w:r>
          </w:p>
        </w:tc>
        <w:tc>
          <w:tcPr>
            <w:tcW w:w="48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Established OHS risk control measures and procedures are followed in preparation for the work.</w:t>
            </w:r>
          </w:p>
        </w:tc>
      </w:tr>
      <w:tr w:rsidTr="00762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1.3</w:t>
            </w:r>
          </w:p>
        </w:tc>
        <w:tc>
          <w:tcPr>
            <w:tcW w:w="48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The extent of the installation and/or maintenance is determined from maintenance schedules, job specifications, drawings and regulatory requirements</w:t>
            </w:r>
          </w:p>
        </w:tc>
      </w:tr>
      <w:tr w:rsidTr="00762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1.4</w:t>
            </w:r>
          </w:p>
        </w:tc>
        <w:tc>
          <w:tcPr>
            <w:tcW w:w="48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Appropriate personnel are consulted to ensure the work is coordinated effectively with others involv</w:t>
            </w:r>
            <w:r w:rsidRPr="007C1679">
              <w:t>ed on the work site</w:t>
            </w:r>
          </w:p>
        </w:tc>
      </w:tr>
      <w:tr w:rsidTr="00762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1.5</w:t>
            </w:r>
          </w:p>
        </w:tc>
        <w:tc>
          <w:tcPr>
            <w:tcW w:w="48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Materials needed for the installation and/or maintenance are obtained in accordance with established procedures and checked against job requirements</w:t>
            </w:r>
          </w:p>
        </w:tc>
      </w:tr>
      <w:tr w:rsidTr="00762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1.6</w:t>
            </w:r>
          </w:p>
        </w:tc>
        <w:tc>
          <w:tcPr>
            <w:tcW w:w="48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Tools, equipment and testing devices needed for the installation and/or m</w:t>
            </w:r>
            <w:r w:rsidRPr="007C1679">
              <w:t>aintenance and repair work are obtained in accordance with established procedures and checked for correct operation and safety.</w:t>
            </w:r>
          </w:p>
        </w:tc>
      </w:tr>
      <w:tr w:rsidTr="00762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2</w:t>
            </w:r>
          </w:p>
        </w:tc>
        <w:tc>
          <w:tcPr>
            <w:tcW w:w="2296"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Install and maintain power operated point actuating devices</w:t>
            </w:r>
          </w:p>
        </w:tc>
        <w:tc>
          <w:tcPr>
            <w:tcW w:w="9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2.1</w:t>
            </w:r>
          </w:p>
        </w:tc>
        <w:tc>
          <w:tcPr>
            <w:tcW w:w="48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OHS risk control measures and procedures for carrying out the work are followed.</w:t>
            </w:r>
          </w:p>
        </w:tc>
      </w:tr>
      <w:tr w:rsidTr="00762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2.2</w:t>
            </w:r>
          </w:p>
        </w:tc>
        <w:tc>
          <w:tcPr>
            <w:tcW w:w="48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Maintenance work including cleaning, brushing and lubricating is carried out on point actuating devices to ensure technical and operational specifications are met.</w:t>
            </w:r>
          </w:p>
        </w:tc>
      </w:tr>
      <w:tr w:rsidTr="00762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2</w:t>
            </w:r>
            <w:r w:rsidRPr="007C1679">
              <w:t>.3</w:t>
            </w:r>
          </w:p>
        </w:tc>
        <w:tc>
          <w:tcPr>
            <w:tcW w:w="48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Adjustments to point actuating devices are made to ensure correct operation and perway fastenings and timbers are inspected for conformity to specifications.</w:t>
            </w:r>
          </w:p>
        </w:tc>
      </w:tr>
      <w:tr w:rsidTr="00762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2.4</w:t>
            </w:r>
          </w:p>
        </w:tc>
        <w:tc>
          <w:tcPr>
            <w:tcW w:w="48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The position and mounting of point actuating devices are checked to ensure conformity to</w:t>
            </w:r>
            <w:r w:rsidRPr="007C1679">
              <w:t xml:space="preserve"> site layout specifications.</w:t>
            </w:r>
          </w:p>
        </w:tc>
      </w:tr>
      <w:tr w:rsidTr="00762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2.5</w:t>
            </w:r>
          </w:p>
        </w:tc>
        <w:tc>
          <w:tcPr>
            <w:tcW w:w="48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Installation and maintenance is performed efficiently without waste of materials or damage to apparatus and the surrounding environment or services and using sustainable energy practices.</w:t>
            </w:r>
          </w:p>
        </w:tc>
      </w:tr>
      <w:tr w:rsidTr="00762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2.6</w:t>
            </w:r>
          </w:p>
        </w:tc>
        <w:tc>
          <w:tcPr>
            <w:tcW w:w="48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The correct function of the equipment is established from appropriate technical data and equipment operating procedures and maintenance handbooks.</w:t>
            </w:r>
          </w:p>
        </w:tc>
      </w:tr>
      <w:tr w:rsidTr="00762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2.7</w:t>
            </w:r>
          </w:p>
        </w:tc>
        <w:tc>
          <w:tcPr>
            <w:tcW w:w="48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Faulty, worn, damaged or insecure components are replaced, repaired or secured to conform to technical</w:t>
            </w:r>
            <w:r w:rsidRPr="007C1679">
              <w:t xml:space="preserve"> and manufacturers specifications to ensure operational effectiveness.</w:t>
            </w:r>
          </w:p>
        </w:tc>
      </w:tr>
      <w:tr w:rsidTr="00762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2.8</w:t>
            </w:r>
          </w:p>
        </w:tc>
        <w:tc>
          <w:tcPr>
            <w:tcW w:w="48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The equipment is tested using approved testing procedures and equipment to ensure operational and technical requirements are achieved.</w:t>
            </w:r>
          </w:p>
        </w:tc>
      </w:tr>
      <w:tr w:rsidTr="00762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2.9</w:t>
            </w:r>
          </w:p>
        </w:tc>
        <w:tc>
          <w:tcPr>
            <w:tcW w:w="48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Methods for dealing with unexpected situations are selected on the basis of safety and specified work outcomes.</w:t>
            </w:r>
          </w:p>
        </w:tc>
      </w:tr>
      <w:tr w:rsidTr="00762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3</w:t>
            </w:r>
          </w:p>
        </w:tc>
        <w:tc>
          <w:tcPr>
            <w:tcW w:w="2296"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Complete the  installation and maintenance of power operated point actuating devices</w:t>
            </w:r>
          </w:p>
        </w:tc>
        <w:tc>
          <w:tcPr>
            <w:tcW w:w="9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3.1</w:t>
            </w:r>
          </w:p>
        </w:tc>
        <w:tc>
          <w:tcPr>
            <w:tcW w:w="48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OHS work completion risk control measures and proced</w:t>
            </w:r>
            <w:r w:rsidRPr="007C1679">
              <w:t>ures are followed.</w:t>
            </w:r>
          </w:p>
        </w:tc>
      </w:tr>
      <w:tr w:rsidTr="00762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3.2</w:t>
            </w:r>
          </w:p>
        </w:tc>
        <w:tc>
          <w:tcPr>
            <w:tcW w:w="48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Appropriate documentation is accurately completed to provide an accurate installation and maintenance records database and inform train control of work status details.</w:t>
            </w:r>
          </w:p>
        </w:tc>
      </w:tr>
      <w:tr w:rsidTr="00762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3.3</w:t>
            </w:r>
          </w:p>
        </w:tc>
        <w:tc>
          <w:tcPr>
            <w:tcW w:w="48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Reusable, faulty or worn components are tagged and disp</w:t>
            </w:r>
            <w:r w:rsidRPr="007C1679">
              <w:t>atched for repair to maintain adequate spares.</w:t>
            </w:r>
          </w:p>
        </w:tc>
      </w:tr>
      <w:tr w:rsidTr="00762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3.4</w:t>
            </w:r>
          </w:p>
        </w:tc>
        <w:tc>
          <w:tcPr>
            <w:tcW w:w="48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Faulty Perway conditions/components are documented to provide details for corrective action.</w:t>
            </w:r>
          </w:p>
        </w:tc>
      </w:tr>
      <w:tr w:rsidTr="00762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3.5</w:t>
            </w:r>
          </w:p>
        </w:tc>
        <w:tc>
          <w:tcPr>
            <w:tcW w:w="48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Point actuating devices are temporarily taken out of service, instated back into service and certified as appropriate to organisation requirements and procedures.</w:t>
            </w:r>
          </w:p>
        </w:tc>
      </w:tr>
      <w:tr w:rsidTr="007621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t>3.6</w:t>
            </w:r>
          </w:p>
        </w:tc>
        <w:tc>
          <w:tcPr>
            <w:tcW w:w="486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t>Maintenance work activities are recorded as per organisation requirements to provide a</w:t>
            </w:r>
            <w:r w:rsidRPr="007C1679">
              <w:t>ccurate records, and relevant reports produced.</w:t>
            </w:r>
          </w:p>
        </w:tc>
      </w:tr>
    </w:tbl>
    <w:p w:rsidR="00000000" w:rsidRPr="007C1679" w:rsidP="007C1679">
      <w:pPr>
        <w:pStyle w:val="BodyText"/>
      </w:pPr>
    </w:p>
    <w:p w:rsidR="00000000" w:rsidRPr="007C1679" w:rsidP="007C1679">
      <w:pPr>
        <w:pStyle w:val="AllowPageBreak"/>
      </w:pPr>
    </w:p>
    <w:p w:rsidR="00000000" w:rsidRPr="007C1679" w:rsidP="007C1679">
      <w:pPr>
        <w:pStyle w:val="Heading1"/>
      </w:pPr>
      <w:bookmarkStart w:id="9" w:name="O_585724"/>
      <w:bookmarkEnd w:id="9"/>
      <w:r w:rsidRPr="007C1679">
        <w:t>Required Skills and Knowledge</w:t>
      </w:r>
    </w:p>
    <w:tbl>
      <w:tblPr>
        <w:tblW w:w="0" w:type="auto"/>
        <w:tblLayout w:type="fixed"/>
        <w:tblCellMar>
          <w:left w:w="62" w:type="dxa"/>
          <w:right w:w="62" w:type="dxa"/>
        </w:tblCellMar>
        <w:tblLook w:val="0000"/>
      </w:tblPr>
      <w:tblGrid>
        <w:gridCol w:w="8460"/>
      </w:tblGrid>
      <w:tr w:rsidTr="007621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rPr>
                <w:rStyle w:val="SpecialBold"/>
              </w:rPr>
              <w:t>REQUIRED SKILLS AND KNOWLEDGE</w:t>
            </w:r>
          </w:p>
        </w:tc>
      </w:tr>
      <w:tr w:rsidTr="007621A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rPr>
                <w:rStyle w:val="SpecialBold"/>
              </w:rPr>
              <w:t>8)</w:t>
            </w:r>
            <w:r w:rsidRPr="007C1679">
              <w:t xml:space="preserve">  This describes the essential skills and knowledge and their level, required for this unit.</w:t>
            </w:r>
          </w:p>
          <w:p w:rsidR="00000000" w:rsidRPr="007C1679" w:rsidP="007C1679">
            <w:pPr>
              <w:pStyle w:val="BodyText"/>
            </w:pPr>
            <w:r w:rsidRPr="007C1679">
              <w:t>Evidence shall show that knowledge has been acquired of safe working practices and maintaining power operated point actuating devices.</w:t>
            </w:r>
          </w:p>
          <w:p w:rsidR="00000000" w:rsidRPr="007C1679" w:rsidP="007C1679">
            <w:pPr>
              <w:pStyle w:val="BodyText"/>
            </w:pPr>
            <w:r w:rsidRPr="007C1679">
              <w:t>All knowledge and skills detailed in this unit should be contextualised to current industry practices and technologies.</w:t>
            </w:r>
          </w:p>
          <w:p w:rsidR="00000000" w:rsidRPr="007C1679" w:rsidP="007C1679">
            <w:pPr>
              <w:pStyle w:val="BodyText"/>
            </w:pPr>
            <w:r w:rsidRPr="007C1679">
              <w:rPr>
                <w:rStyle w:val="SpecialBold"/>
              </w:rPr>
              <w:t>K</w:t>
            </w:r>
            <w:r w:rsidRPr="007C1679">
              <w:rPr>
                <w:rStyle w:val="SpecialBold"/>
              </w:rPr>
              <w:t>S01-EN108A                       Power operated point actuating device installation and maintenance</w:t>
            </w:r>
          </w:p>
          <w:p w:rsidR="00000000" w:rsidRPr="007C1679" w:rsidP="007C1679">
            <w:pPr>
              <w:pStyle w:val="BodyText"/>
            </w:pPr>
            <w:r w:rsidRPr="007C1679">
              <w:t>Evidence shall show an understanding of power operated point actuating device installation and maintenance, applying safe working practices and relevant Sta</w:t>
            </w:r>
            <w:r w:rsidRPr="007C1679">
              <w:t>ndards, Codes and Regulations to an extent indicated by the following aspects:</w:t>
            </w:r>
          </w:p>
          <w:p w:rsidR="00000000" w:rsidRPr="007C1679" w:rsidP="007C1679">
            <w:pPr>
              <w:pStyle w:val="BodyText"/>
            </w:pPr>
            <w:r w:rsidRPr="007C1679">
              <w:t>Rail signalling principles, electrical</w:t>
            </w:r>
          </w:p>
          <w:p w:rsidR="00000000" w:rsidRPr="007C1679" w:rsidP="007C1679">
            <w:pPr>
              <w:pStyle w:val="BodyText"/>
            </w:pPr>
            <w:r w:rsidRPr="007C1679">
              <w:t>Overview of electrical rail signalling encompassing:</w:t>
            </w:r>
          </w:p>
          <w:p w:rsidR="00000000" w:rsidRPr="007C1679" w:rsidP="007C1679">
            <w:pPr>
              <w:pStyle w:val="BodyText"/>
            </w:pPr>
            <w:r w:rsidRPr="007C1679">
              <w:t>Types of rail signalling / safeworking systems</w:t>
            </w:r>
          </w:p>
          <w:p w:rsidR="00000000" w:rsidRPr="007C1679" w:rsidP="007C1679">
            <w:pPr>
              <w:pStyle w:val="BodyText"/>
            </w:pPr>
            <w:r w:rsidRPr="007C1679">
              <w:t>Note:</w:t>
            </w:r>
          </w:p>
          <w:p w:rsidR="00000000" w:rsidRPr="007C1679" w:rsidP="007C1679">
            <w:pPr>
              <w:pStyle w:val="BodyText"/>
            </w:pPr>
            <w:r w:rsidRPr="007C1679">
              <w:t>Systems include: CTC, automatic,</w:t>
            </w:r>
            <w:r w:rsidRPr="007C1679">
              <w:t xml:space="preserve"> controlled and interlocked signalling.</w:t>
            </w:r>
          </w:p>
          <w:p w:rsidR="00000000" w:rsidRPr="007C1679" w:rsidP="007C1679">
            <w:pPr>
              <w:pStyle w:val="BodyText"/>
            </w:pPr>
            <w:r w:rsidRPr="007C1679">
              <w:t>Advantages of electrical over mechanical signalling</w:t>
            </w:r>
          </w:p>
          <w:p w:rsidR="00000000" w:rsidRPr="007C1679" w:rsidP="007C1679">
            <w:pPr>
              <w:pStyle w:val="BodyText"/>
            </w:pPr>
            <w:r w:rsidRPr="007C1679">
              <w:t>Advantages of CBI over electrical signalling systems</w:t>
            </w:r>
          </w:p>
          <w:p w:rsidR="00000000" w:rsidRPr="007C1679" w:rsidP="007C1679">
            <w:pPr>
              <w:pStyle w:val="BodyText"/>
            </w:pPr>
            <w:r w:rsidRPr="007C1679">
              <w:t>Effects of overhead traction systems on electrical signalling systems (where applicable).</w:t>
            </w:r>
          </w:p>
          <w:p w:rsidR="00000000" w:rsidRPr="007C1679" w:rsidP="007C1679">
            <w:pPr>
              <w:pStyle w:val="BodyText"/>
            </w:pPr>
            <w:r w:rsidRPr="007C1679">
              <w:t>Purpose of elements o</w:t>
            </w:r>
            <w:r w:rsidRPr="007C1679">
              <w:t>f an electrical rail signalling systems.</w:t>
            </w:r>
          </w:p>
          <w:p w:rsidR="00000000" w:rsidRPr="007C1679" w:rsidP="007C1679">
            <w:pPr>
              <w:pStyle w:val="BodyText"/>
            </w:pPr>
            <w:r w:rsidRPr="007C1679">
              <w:t>Note: Elements include signals and aspect systems, train protection systems, point actuating systems, mechanical locking, relay interlocking, computer based interlocking, train detection systems, control input devic</w:t>
            </w:r>
            <w:r w:rsidRPr="007C1679">
              <w:t>es, indicators, diagrams and monitors, and safe working systems.</w:t>
            </w:r>
          </w:p>
          <w:p w:rsidR="00000000" w:rsidRPr="007C1679" w:rsidP="007C1679">
            <w:pPr>
              <w:pStyle w:val="BodyText"/>
            </w:pPr>
          </w:p>
          <w:p w:rsidR="00000000" w:rsidRPr="007C1679" w:rsidP="007C1679">
            <w:pPr>
              <w:pStyle w:val="BodyText"/>
            </w:pPr>
            <w:r w:rsidRPr="007C1679">
              <w:t>Rail signalling principles, mechanical</w:t>
            </w:r>
          </w:p>
          <w:p w:rsidR="00000000" w:rsidRPr="007C1679" w:rsidP="007C1679">
            <w:pPr>
              <w:pStyle w:val="BodyText"/>
            </w:pPr>
            <w:r w:rsidRPr="007C1679">
              <w:t>Overview of mechanical rail signalling encompassing:</w:t>
            </w:r>
          </w:p>
          <w:p w:rsidR="00000000" w:rsidRPr="007C1679" w:rsidP="007C1679">
            <w:pPr>
              <w:pStyle w:val="BodyText"/>
            </w:pPr>
            <w:r w:rsidRPr="007C1679">
              <w:t>Types of mechanical rail signalling systems for different rail traffic</w:t>
            </w:r>
          </w:p>
          <w:p w:rsidR="00000000" w:rsidRPr="007C1679" w:rsidP="007C1679">
            <w:pPr>
              <w:pStyle w:val="BodyText"/>
            </w:pPr>
            <w:r w:rsidRPr="007C1679">
              <w:t>Note:</w:t>
            </w:r>
          </w:p>
          <w:p w:rsidR="00000000" w:rsidRPr="007C1679" w:rsidP="007C1679">
            <w:pPr>
              <w:pStyle w:val="BodyText"/>
            </w:pPr>
            <w:r w:rsidRPr="007C1679">
              <w:t>Rail traffic may incl</w:t>
            </w:r>
            <w:r w:rsidRPr="007C1679">
              <w:t xml:space="preserve">ude: passenger train, freight train, maintenance vehicles, heritage/tourism train. </w:t>
            </w:r>
          </w:p>
          <w:p w:rsidR="00000000" w:rsidRPr="007C1679" w:rsidP="007C1679">
            <w:pPr>
              <w:pStyle w:val="BodyText"/>
            </w:pPr>
            <w:r w:rsidRPr="007C1679">
              <w:t>Deficiencies of mechanical signalling systems</w:t>
            </w:r>
          </w:p>
          <w:p w:rsidR="00000000" w:rsidRPr="007C1679" w:rsidP="007C1679">
            <w:pPr>
              <w:pStyle w:val="BodyText"/>
            </w:pPr>
            <w:r w:rsidRPr="007C1679">
              <w:t>Note:</w:t>
            </w:r>
          </w:p>
          <w:p w:rsidR="00000000" w:rsidRPr="007C1679" w:rsidP="007C1679">
            <w:pPr>
              <w:pStyle w:val="BodyText"/>
            </w:pPr>
            <w:r w:rsidRPr="007C1679">
              <w:t>Mechanical systems may include: automatic, controlled and interlocked signalling.</w:t>
            </w:r>
          </w:p>
          <w:p w:rsidR="00000000" w:rsidRPr="007C1679" w:rsidP="007C1679">
            <w:pPr>
              <w:pStyle w:val="BodyText"/>
            </w:pPr>
            <w:r w:rsidRPr="007C1679">
              <w:t>Effects of overhead traction systems on mechanical signalling systems (where applicable)</w:t>
            </w:r>
          </w:p>
          <w:p w:rsidR="00000000" w:rsidRPr="007C1679" w:rsidP="007C1679">
            <w:pPr>
              <w:pStyle w:val="BodyText"/>
            </w:pPr>
            <w:r w:rsidRPr="007C1679">
              <w:t>Effects of external factors on the mechanical rail signalling system.</w:t>
            </w:r>
          </w:p>
          <w:p w:rsidR="00000000" w:rsidRPr="007C1679" w:rsidP="007C1679">
            <w:pPr>
              <w:pStyle w:val="BodyText"/>
            </w:pPr>
            <w:r w:rsidRPr="007C1679">
              <w:t xml:space="preserve">Note: </w:t>
            </w:r>
          </w:p>
          <w:p w:rsidR="00000000" w:rsidRPr="007C1679" w:rsidP="007C1679">
            <w:pPr>
              <w:pStyle w:val="BodyText"/>
            </w:pPr>
            <w:r w:rsidRPr="007C1679">
              <w:t>Factors may include: rail overhead , gradients/terrain, environmental and civil configurat</w:t>
            </w:r>
            <w:r w:rsidRPr="007C1679">
              <w:t>ion.</w:t>
            </w:r>
          </w:p>
          <w:p w:rsidR="00000000" w:rsidRPr="007C1679" w:rsidP="007C1679">
            <w:pPr>
              <w:pStyle w:val="BodyText"/>
            </w:pPr>
            <w:r w:rsidRPr="007C1679">
              <w:t>Purpose of elements of a mechanical rail signalling systems.</w:t>
            </w:r>
          </w:p>
          <w:p w:rsidR="00000000" w:rsidRPr="007C1679" w:rsidP="007C1679">
            <w:pPr>
              <w:pStyle w:val="BodyText"/>
            </w:pPr>
            <w:r w:rsidRPr="007C1679">
              <w:t>Note: Elements include signals, point actuating systems, locking and train detection systems, control input devices, indicators, diagrams and monitors, mechanical interlocking frames, safe w</w:t>
            </w:r>
            <w:r w:rsidRPr="007C1679">
              <w:t>orking systems and electro-mechanical interfaces.</w:t>
            </w:r>
          </w:p>
          <w:p w:rsidR="00000000" w:rsidRPr="007C1679" w:rsidP="007C1679">
            <w:pPr>
              <w:pStyle w:val="BodyText"/>
            </w:pPr>
          </w:p>
          <w:p w:rsidR="00000000" w:rsidRPr="007C1679" w:rsidP="007C1679">
            <w:pPr>
              <w:pStyle w:val="BodyText"/>
            </w:pPr>
            <w:r w:rsidRPr="007C1679">
              <w:t>Rail signalling, point actuating devices</w:t>
            </w:r>
          </w:p>
          <w:p w:rsidR="00000000" w:rsidRPr="007C1679" w:rsidP="007C1679">
            <w:pPr>
              <w:pStyle w:val="BodyText"/>
            </w:pPr>
            <w:r w:rsidRPr="007C1679">
              <w:t>Equipment and their components encompassing:</w:t>
            </w:r>
          </w:p>
          <w:p w:rsidR="00000000" w:rsidRPr="007C1679" w:rsidP="007C1679">
            <w:pPr>
              <w:pStyle w:val="BodyText"/>
            </w:pPr>
            <w:r w:rsidRPr="007C1679">
              <w:t>Point actuating mechanisms</w:t>
            </w:r>
          </w:p>
          <w:p w:rsidR="00000000" w:rsidRPr="007C1679" w:rsidP="007C1679">
            <w:pPr>
              <w:pStyle w:val="BodyText"/>
            </w:pPr>
            <w:r w:rsidRPr="007C1679">
              <w:t xml:space="preserve">Note: </w:t>
            </w:r>
          </w:p>
          <w:p w:rsidR="00000000" w:rsidRPr="007C1679" w:rsidP="007C1679">
            <w:pPr>
              <w:pStyle w:val="BodyText"/>
            </w:pPr>
            <w:r w:rsidRPr="007C1679">
              <w:t>mechanisms include mechanical, pneumatic, hydraulic and electric powered units</w:t>
            </w:r>
          </w:p>
          <w:p w:rsidR="00000000" w:rsidRPr="007C1679" w:rsidP="007C1679">
            <w:pPr>
              <w:pStyle w:val="BodyText"/>
            </w:pPr>
            <w:r w:rsidRPr="007C1679">
              <w:t xml:space="preserve">Blade </w:t>
            </w:r>
            <w:r w:rsidRPr="007C1679">
              <w:t>and operation detection devices</w:t>
            </w:r>
          </w:p>
          <w:p w:rsidR="00000000" w:rsidRPr="007C1679" w:rsidP="007C1679">
            <w:pPr>
              <w:pStyle w:val="BodyText"/>
            </w:pPr>
            <w:r w:rsidRPr="007C1679">
              <w:t>On-rail locking devices</w:t>
            </w:r>
          </w:p>
          <w:p w:rsidR="00000000" w:rsidRPr="007C1679" w:rsidP="007C1679">
            <w:pPr>
              <w:pStyle w:val="BodyText"/>
            </w:pPr>
            <w:r w:rsidRPr="007C1679">
              <w:t>Off-rail locking devices</w:t>
            </w:r>
          </w:p>
          <w:p w:rsidR="00000000" w:rsidRPr="007C1679" w:rsidP="007C1679">
            <w:pPr>
              <w:pStyle w:val="BodyText"/>
            </w:pPr>
            <w:r w:rsidRPr="007C1679">
              <w:t>Swing nose devices</w:t>
            </w:r>
          </w:p>
          <w:p w:rsidR="00000000" w:rsidRPr="007C1679" w:rsidP="007C1679">
            <w:pPr>
              <w:pStyle w:val="BodyText"/>
            </w:pPr>
            <w:r w:rsidRPr="007C1679">
              <w:t>Ironwork and fixtures.</w:t>
            </w:r>
          </w:p>
          <w:p w:rsidR="00000000" w:rsidRPr="007C1679" w:rsidP="007C1679">
            <w:pPr>
              <w:pStyle w:val="BodyText"/>
            </w:pPr>
            <w:r w:rsidRPr="007C1679">
              <w:t xml:space="preserve">Note: Equipment include point machines, detectors, claw/clamp locks, swing nose mechanisms, in-bearer mechanisms </w:t>
            </w:r>
          </w:p>
          <w:p w:rsidR="00000000" w:rsidRPr="007C1679" w:rsidP="007C1679">
            <w:pPr>
              <w:pStyle w:val="BodyText"/>
            </w:pPr>
            <w:r w:rsidRPr="007C1679">
              <w:t>Operating principle</w:t>
            </w:r>
            <w:r w:rsidRPr="007C1679">
              <w:t>s encompassing:</w:t>
            </w:r>
          </w:p>
          <w:p w:rsidR="00000000" w:rsidRPr="007C1679" w:rsidP="007C1679">
            <w:pPr>
              <w:pStyle w:val="BodyText"/>
            </w:pPr>
            <w:r w:rsidRPr="007C1679">
              <w:t>Point operation, normal and reverse</w:t>
            </w:r>
          </w:p>
          <w:p w:rsidR="00000000" w:rsidRPr="007C1679" w:rsidP="007C1679">
            <w:pPr>
              <w:pStyle w:val="BodyText"/>
            </w:pPr>
            <w:r w:rsidRPr="007C1679">
              <w:t>Point locking, normal and reverse</w:t>
            </w:r>
          </w:p>
          <w:p w:rsidR="00000000" w:rsidRPr="007C1679" w:rsidP="007C1679">
            <w:pPr>
              <w:pStyle w:val="BodyText"/>
            </w:pPr>
            <w:r w:rsidRPr="007C1679">
              <w:t>Point detection, normal and reverse</w:t>
            </w:r>
          </w:p>
          <w:p w:rsidR="00000000" w:rsidRPr="007C1679" w:rsidP="007C1679">
            <w:pPr>
              <w:pStyle w:val="BodyText"/>
            </w:pPr>
            <w:r w:rsidRPr="007C1679">
              <w:t>Detectors</w:t>
            </w:r>
          </w:p>
          <w:p w:rsidR="00000000" w:rsidRPr="007C1679" w:rsidP="007C1679">
            <w:pPr>
              <w:pStyle w:val="BodyText"/>
            </w:pPr>
            <w:r w:rsidRPr="007C1679">
              <w:t>Off-rail locking operation</w:t>
            </w:r>
          </w:p>
          <w:p w:rsidR="00000000" w:rsidRPr="007C1679" w:rsidP="007C1679">
            <w:pPr>
              <w:pStyle w:val="BodyText"/>
            </w:pPr>
            <w:r w:rsidRPr="007C1679">
              <w:t>On-rail locking operation</w:t>
            </w:r>
          </w:p>
          <w:p w:rsidR="00000000" w:rsidRPr="007C1679" w:rsidP="007C1679">
            <w:pPr>
              <w:pStyle w:val="BodyText"/>
            </w:pPr>
            <w:r w:rsidRPr="007C1679">
              <w:t>Electric operation of contactors, motor control and detection circuits</w:t>
            </w:r>
          </w:p>
          <w:p w:rsidR="00000000" w:rsidRPr="007C1679" w:rsidP="007C1679">
            <w:pPr>
              <w:pStyle w:val="BodyText"/>
            </w:pPr>
            <w:r w:rsidRPr="007C1679">
              <w:t>Interpreting circuit diagrams to evaluate correct operation and relationship to other signalling circuits</w:t>
            </w:r>
          </w:p>
          <w:p w:rsidR="00000000" w:rsidRPr="007C1679" w:rsidP="007C1679">
            <w:pPr>
              <w:pStyle w:val="BodyText"/>
            </w:pPr>
            <w:r w:rsidRPr="007C1679">
              <w:t>Normal mechanical movement</w:t>
            </w:r>
          </w:p>
          <w:p w:rsidR="00000000" w:rsidRPr="007C1679" w:rsidP="007C1679">
            <w:pPr>
              <w:pStyle w:val="BodyText"/>
            </w:pPr>
            <w:r w:rsidRPr="007C1679">
              <w:t>Failure mode mechanical movement</w:t>
            </w:r>
          </w:p>
          <w:p w:rsidR="00000000" w:rsidRPr="007C1679" w:rsidP="007C1679">
            <w:pPr>
              <w:pStyle w:val="BodyText"/>
            </w:pPr>
            <w:r w:rsidRPr="007C1679">
              <w:t>Note:</w:t>
            </w:r>
          </w:p>
          <w:p w:rsidR="00000000" w:rsidRPr="007C1679" w:rsidP="007C1679">
            <w:pPr>
              <w:pStyle w:val="BodyText"/>
            </w:pPr>
            <w:r w:rsidRPr="007C1679">
              <w:t>Failure mode must include wrong side and right side conditions identifying if movement should be possible.</w:t>
            </w:r>
          </w:p>
          <w:p w:rsidR="00000000" w:rsidRPr="007C1679" w:rsidP="007C1679">
            <w:pPr>
              <w:pStyle w:val="BodyText"/>
            </w:pPr>
            <w:r w:rsidRPr="007C1679">
              <w:t>Correct operation in accordance with control and locking tables.</w:t>
            </w:r>
          </w:p>
          <w:p w:rsidR="00000000" w:rsidRPr="007C1679" w:rsidP="007C1679">
            <w:pPr>
              <w:pStyle w:val="BodyText"/>
            </w:pPr>
            <w:r w:rsidRPr="007C1679">
              <w:t>Servicing procedures encompassing:</w:t>
            </w:r>
          </w:p>
          <w:p w:rsidR="00000000" w:rsidRPr="007C1679" w:rsidP="007C1679">
            <w:pPr>
              <w:pStyle w:val="BodyText"/>
            </w:pPr>
            <w:r w:rsidRPr="007C1679">
              <w:t>Maintenance documentation</w:t>
            </w:r>
          </w:p>
          <w:p w:rsidR="00000000" w:rsidRPr="007C1679" w:rsidP="007C1679">
            <w:pPr>
              <w:pStyle w:val="BodyText"/>
            </w:pPr>
            <w:r w:rsidRPr="007C1679">
              <w:t>Coordination/planning s</w:t>
            </w:r>
            <w:r w:rsidRPr="007C1679">
              <w:t>equence</w:t>
            </w:r>
          </w:p>
          <w:p w:rsidR="00000000" w:rsidRPr="007C1679" w:rsidP="007C1679">
            <w:pPr>
              <w:pStyle w:val="BodyText"/>
            </w:pPr>
            <w:r w:rsidRPr="007C1679">
              <w:t>Operational test procedures</w:t>
            </w:r>
          </w:p>
          <w:p w:rsidR="00000000" w:rsidRPr="007C1679" w:rsidP="007C1679">
            <w:pPr>
              <w:pStyle w:val="BodyText"/>
            </w:pPr>
            <w:r w:rsidRPr="007C1679">
              <w:t>Scheduled / preventative maintenance</w:t>
            </w:r>
          </w:p>
          <w:p w:rsidR="00000000" w:rsidRPr="007C1679" w:rsidP="007C1679">
            <w:pPr>
              <w:pStyle w:val="BodyText"/>
            </w:pPr>
            <w:r w:rsidRPr="007C1679">
              <w:t>Unscheduled / corrective maintenance</w:t>
            </w:r>
          </w:p>
          <w:p w:rsidR="00000000" w:rsidRPr="007C1679" w:rsidP="007C1679">
            <w:pPr>
              <w:pStyle w:val="BodyText"/>
            </w:pPr>
            <w:r w:rsidRPr="007C1679">
              <w:t>Certifying point equipment (commission and de-commission).</w:t>
            </w:r>
          </w:p>
          <w:p w:rsidR="00000000" w:rsidRPr="007C1679" w:rsidP="007C1679">
            <w:pPr>
              <w:pStyle w:val="BodyText"/>
            </w:pPr>
            <w:r w:rsidRPr="007C1679">
              <w:t>Note:</w:t>
            </w:r>
          </w:p>
          <w:p w:rsidR="00000000" w:rsidRPr="007C1679" w:rsidP="007C1679">
            <w:pPr>
              <w:pStyle w:val="BodyText"/>
            </w:pPr>
            <w:r w:rsidRPr="007C1679">
              <w:t>Certifying procedures are only applicable for compliance with rail operator and/o</w:t>
            </w:r>
            <w:r w:rsidRPr="007C1679">
              <w:t>r enterprise standards.</w:t>
            </w:r>
          </w:p>
        </w:tc>
      </w:tr>
    </w:tbl>
    <w:p w:rsidR="00000000" w:rsidRPr="007C1679" w:rsidP="007C1679">
      <w:pPr>
        <w:pStyle w:val="BodyText"/>
      </w:pPr>
    </w:p>
    <w:p w:rsidR="00000000" w:rsidRPr="007C1679" w:rsidP="007C1679">
      <w:pPr>
        <w:pStyle w:val="AllowPageBreak"/>
      </w:pPr>
    </w:p>
    <w:p w:rsidR="00000000" w:rsidRPr="007C1679" w:rsidP="007C1679">
      <w:pPr>
        <w:pStyle w:val="Heading1"/>
      </w:pPr>
      <w:bookmarkStart w:id="10" w:name="O_585723"/>
      <w:bookmarkEnd w:id="10"/>
      <w:r w:rsidRPr="007C1679">
        <w:t>Evidence Guide</w:t>
      </w:r>
    </w:p>
    <w:tbl>
      <w:tblPr>
        <w:tblW w:w="0" w:type="auto"/>
        <w:tblLayout w:type="fixed"/>
        <w:tblCellMar>
          <w:left w:w="62" w:type="dxa"/>
          <w:right w:w="62" w:type="dxa"/>
        </w:tblCellMar>
        <w:tblLook w:val="0000"/>
      </w:tblPr>
      <w:tblGrid>
        <w:gridCol w:w="8460"/>
      </w:tblGrid>
      <w:tr w:rsidTr="007621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rPr>
                <w:rStyle w:val="SpecialBold"/>
              </w:rPr>
              <w:t>EVIDENCE GUIDE</w:t>
            </w:r>
          </w:p>
        </w:tc>
      </w:tr>
      <w:tr w:rsidTr="007621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rPr>
                <w:rStyle w:val="SpecialBold"/>
              </w:rPr>
              <w:t xml:space="preserve">9) </w:t>
            </w:r>
            <w:r w:rsidRPr="007C1679">
              <w:t xml:space="preserve"> The evidence guide provides advice on assessment and must be read in conjunction with the Performance </w:t>
            </w:r>
            <w:r w:rsidRPr="007C1679">
              <w:t>Criteria, Required Skills and Knowledge, the Range Statement and the Assessment Guidelines for this Training Package.</w:t>
            </w:r>
          </w:p>
          <w:p w:rsidR="00000000" w:rsidRPr="007C1679" w:rsidP="007C1679">
            <w:pPr>
              <w:pStyle w:val="BodyText"/>
            </w:pPr>
            <w:r w:rsidRPr="007C1679">
              <w:t>The Evidence Guide forms an integral part of this unit. It must be used in conjunction with all components parts of this unit and performe</w:t>
            </w:r>
            <w:r w:rsidRPr="007C1679">
              <w:t>d in accordance with the Assessment Guidelines of this Training Package.</w:t>
            </w:r>
          </w:p>
        </w:tc>
      </w:tr>
    </w:tbl>
    <w:p w:rsidR="00000000" w:rsidRPr="007C1679" w:rsidP="007C1679">
      <w:pPr>
        <w:pStyle w:val="BodyText"/>
      </w:pPr>
    </w:p>
    <w:tbl>
      <w:tblPr>
        <w:tblW w:w="0" w:type="auto"/>
        <w:tblLayout w:type="fixed"/>
        <w:tblCellMar>
          <w:left w:w="62" w:type="dxa"/>
          <w:right w:w="62" w:type="dxa"/>
        </w:tblCellMar>
        <w:tblLook w:val="0000"/>
      </w:tblPr>
      <w:tblGrid>
        <w:gridCol w:w="1890"/>
        <w:gridCol w:w="6570"/>
      </w:tblGrid>
      <w:tr w:rsidTr="007621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rPr>
                <w:rStyle w:val="SpecialBold"/>
              </w:rPr>
              <w:t>9.1)</w:t>
            </w:r>
          </w:p>
        </w:tc>
      </w:tr>
      <w:tr w:rsidTr="007621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t>Longitudinal competency development approaches to assessment, such as Profiling, require data to be reliably gathered in a form that can be consistentl</w:t>
            </w:r>
            <w:r w:rsidRPr="007C1679">
              <w:t>y interpreted over time. This approach is best utilised in Apprenticeship programs and reduces assessment intervention. It is the industry-preferred model for apprenticeships. However, where summative (or final) assessment is used it must include the appli</w:t>
            </w:r>
            <w:r w:rsidRPr="007C1679">
              <w:t>cation of the competency in the normal work environment or, at a minimum, the application of the competency in a realistically simulated work environment. In some circumstances, assessment in part or full can occur outside the workplace. However, it must b</w:t>
            </w:r>
            <w:r w:rsidRPr="007C1679">
              <w:t>e in accordance with industry and regulatory policy.</w:t>
            </w:r>
          </w:p>
          <w:p w:rsidR="00000000" w:rsidRPr="007C1679" w:rsidP="007C1679">
            <w:pPr>
              <w:pStyle w:val="BodyText"/>
            </w:pPr>
            <w:r w:rsidRPr="007C1679">
              <w:t>Methods chosen for a particular assessment will be influenced by various factors. These include the extent of the assessment, the most effective locations for the assessment activities to take place, acc</w:t>
            </w:r>
            <w:r w:rsidRPr="007C1679">
              <w:t>ess to physical resources, additional safety measures that may be required and the critical nature of the competencies being assessed.</w:t>
            </w:r>
          </w:p>
          <w:p w:rsidR="00000000" w:rsidRPr="007C1679" w:rsidP="007C1679">
            <w:pPr>
              <w:pStyle w:val="BodyText"/>
            </w:pPr>
            <w:r w:rsidRPr="007C1679">
              <w:t>The critical safety issues inherent in working with electricity, electrical equipment, gas or any other hazardous substan</w:t>
            </w:r>
            <w:r w:rsidRPr="007C1679">
              <w:t>ce/material present a challenge for those determining competence. Sources of evidence need to be ‘rich’ in nature to minimise error in judgment.</w:t>
            </w:r>
          </w:p>
          <w:p w:rsidR="00000000" w:rsidRPr="007C1679" w:rsidP="007C1679">
            <w:pPr>
              <w:pStyle w:val="BodyText"/>
            </w:pPr>
            <w:r w:rsidRPr="007C1679">
              <w:t>Activities associated with normal everyday work influence decisions about how/how much the data gathered will contribute to its ‘richness’. Some skills are more critical to safety and operational requirements while the same skills may be more or less frequ</w:t>
            </w:r>
            <w:r w:rsidRPr="007C1679">
              <w:t>ently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7C1679" w:rsidP="007C1679">
      <w:pPr>
        <w:pStyle w:val="BodyText"/>
      </w:pPr>
    </w:p>
    <w:tbl>
      <w:tblPr>
        <w:tblW w:w="0" w:type="auto"/>
        <w:tblLayout w:type="fixed"/>
        <w:tblCellMar>
          <w:left w:w="62" w:type="dxa"/>
          <w:right w:w="62" w:type="dxa"/>
        </w:tblCellMar>
        <w:tblLook w:val="0000"/>
      </w:tblPr>
      <w:tblGrid>
        <w:gridCol w:w="1890"/>
        <w:gridCol w:w="6570"/>
      </w:tblGrid>
      <w:tr w:rsidTr="007621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rPr>
                <w:rStyle w:val="SpecialBold"/>
              </w:rPr>
              <w:t>9.2)</w:t>
            </w:r>
          </w:p>
        </w:tc>
      </w:tr>
      <w:tr w:rsidTr="007621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t>Before the critical aspects of evidence are considered all prerequisites must be met.</w:t>
            </w:r>
          </w:p>
          <w:p w:rsidR="00000000" w:rsidRPr="007C1679" w:rsidP="007C1679">
            <w:pPr>
              <w:pStyle w:val="BodyText"/>
            </w:pPr>
            <w:r w:rsidRPr="007C1679">
              <w:t>Evidence for competence in this unit shall be considered holistically.  Each Elemen</w:t>
            </w:r>
            <w:r w:rsidRPr="007C1679">
              <w:t>t and associated performance criteria shall be demonstrated on at least two occasions in accordance with the ‘Assessment Guidelines – UEE11’.  Evidence shall also comprise:</w:t>
            </w:r>
          </w:p>
          <w:p w:rsidR="00000000" w:rsidRPr="007C1679" w:rsidP="007C1679">
            <w:pPr>
              <w:pStyle w:val="ListBullet"/>
            </w:pPr>
            <w:r w:rsidRPr="007C1679">
              <w:t>A representative body of work performance demonstrated within the timeframes typic</w:t>
            </w:r>
            <w:r w:rsidRPr="007C1679">
              <w:t>ally expected of the discipline, work function and industrial environment. In particular this shall incorporate evidence that shows a candidate is able to:</w:t>
            </w:r>
          </w:p>
          <w:p w:rsidR="00000000" w:rsidRPr="007C1679" w:rsidP="007C1679">
            <w:pPr>
              <w:pStyle w:val="ListBullet2"/>
            </w:pPr>
            <w:r w:rsidRPr="007C1679">
              <w:t>Implement Occupational Health and Safety workplace procedures and practices including the use of ri</w:t>
            </w:r>
            <w:r w:rsidRPr="007C1679">
              <w:t>sk control measures as specified in the performance criteria and range statement</w:t>
            </w:r>
          </w:p>
          <w:p w:rsidR="00000000" w:rsidRPr="007C1679" w:rsidP="007C1679">
            <w:pPr>
              <w:pStyle w:val="ListBullet2"/>
            </w:pPr>
            <w:r w:rsidRPr="007C1679">
              <w:t>Apply sustainable energy principles and practices as specified in the performance criteria and range statement</w:t>
            </w:r>
          </w:p>
          <w:p w:rsidR="00000000" w:rsidRPr="007C1679" w:rsidP="007C1679">
            <w:pPr>
              <w:pStyle w:val="ListBullet2"/>
            </w:pPr>
            <w:r w:rsidRPr="007C1679">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7C1679" w:rsidP="007C1679">
            <w:pPr>
              <w:pStyle w:val="ListBullet2"/>
            </w:pPr>
            <w:r w:rsidRPr="007C1679">
              <w:t>Demonst</w:t>
            </w:r>
            <w:r w:rsidRPr="007C1679">
              <w:t>rate an appropriate level of skills enabling employment</w:t>
            </w:r>
          </w:p>
          <w:p w:rsidR="00000000" w:rsidRPr="007C1679" w:rsidP="007C1679">
            <w:pPr>
              <w:pStyle w:val="ListBullet2"/>
            </w:pPr>
            <w:r w:rsidRPr="007C1679">
              <w:t>Conduct work observing the relevant Anti Discrimination legislation, regulations, polices and workplace procedures</w:t>
            </w:r>
          </w:p>
          <w:p w:rsidR="00000000" w:rsidRPr="007C1679" w:rsidP="007C1679">
            <w:pPr>
              <w:pStyle w:val="ListBullet"/>
            </w:pPr>
            <w:r w:rsidRPr="007C1679">
              <w:t>Demonstrated consistent performance across a representative range of contexts from t</w:t>
            </w:r>
            <w:r w:rsidRPr="007C1679">
              <w:t>he prescribed items below:</w:t>
            </w:r>
          </w:p>
          <w:p w:rsidR="00000000" w:rsidRPr="007C1679" w:rsidP="007C1679">
            <w:pPr>
              <w:pStyle w:val="ListBullet2"/>
            </w:pPr>
            <w:r w:rsidRPr="007C1679">
              <w:t>Install and maintain power operated point actuating devices as described in 8) and including:</w:t>
            </w:r>
          </w:p>
          <w:p w:rsidR="00000000" w:rsidRPr="007C1679" w:rsidP="007C1679">
            <w:pPr>
              <w:pStyle w:val="ListAlpha2"/>
            </w:pPr>
            <w:r w:rsidRPr="007C1679">
              <w:t>Interpreting plans and specifications correctly</w:t>
            </w:r>
          </w:p>
          <w:p w:rsidR="00000000" w:rsidRPr="007C1679" w:rsidP="007C1679">
            <w:pPr>
              <w:pStyle w:val="ListAlpha2"/>
            </w:pPr>
            <w:r w:rsidRPr="007C1679">
              <w:t>Maintaining point actuating devices to operational requirements</w:t>
            </w:r>
          </w:p>
          <w:p w:rsidR="00000000" w:rsidRPr="007C1679" w:rsidP="007C1679">
            <w:pPr>
              <w:pStyle w:val="ListAlpha2"/>
            </w:pPr>
            <w:r w:rsidRPr="007C1679">
              <w:t>Using appropriate fault finding techniques</w:t>
            </w:r>
          </w:p>
          <w:p w:rsidR="00000000" w:rsidRPr="007C1679" w:rsidP="007C1679">
            <w:pPr>
              <w:pStyle w:val="ListAlpha2"/>
            </w:pPr>
            <w:r w:rsidRPr="007C1679">
              <w:t>Documenting Perway defects accurately</w:t>
            </w:r>
          </w:p>
          <w:p w:rsidR="00000000" w:rsidRPr="007C1679" w:rsidP="007C1679">
            <w:pPr>
              <w:pStyle w:val="ListAlpha2"/>
            </w:pPr>
            <w:r w:rsidRPr="007C1679">
              <w:t>Using tools correctly</w:t>
            </w:r>
          </w:p>
          <w:p w:rsidR="00000000" w:rsidRPr="007C1679" w:rsidP="007C1679">
            <w:pPr>
              <w:pStyle w:val="ListAlpha2"/>
            </w:pPr>
            <w:r w:rsidRPr="007C1679">
              <w:t>Following relevant codes of practice, OHS and environmental protection procedures and requirements</w:t>
            </w:r>
          </w:p>
          <w:p w:rsidR="00000000" w:rsidRPr="007C1679" w:rsidP="007C1679">
            <w:pPr>
              <w:pStyle w:val="ListAlpha2"/>
            </w:pPr>
            <w:r w:rsidRPr="007C1679">
              <w:t>Completing relevant technical reports, records and do</w:t>
            </w:r>
            <w:r w:rsidRPr="007C1679">
              <w:t>cumentation, and</w:t>
            </w:r>
          </w:p>
          <w:p w:rsidR="00000000" w:rsidRPr="007C1679" w:rsidP="007C1679">
            <w:pPr>
              <w:pStyle w:val="ListAlpha2"/>
            </w:pPr>
            <w:r w:rsidRPr="007C1679">
              <w:t>Dealing with unplanned events by drawing on essential knowledge and skills to provide appropriate solutions incorporated in the holistic assessment with the above listed items</w:t>
            </w:r>
          </w:p>
          <w:p w:rsidR="00000000" w:rsidRPr="007C1679" w:rsidP="007C1679">
            <w:pPr>
              <w:pStyle w:val="BodyText"/>
            </w:pPr>
            <w:r w:rsidRPr="007C1679">
              <w:t xml:space="preserve">Note: </w:t>
            </w:r>
          </w:p>
          <w:p w:rsidR="00000000" w:rsidRPr="007C1679" w:rsidP="007C1679">
            <w:pPr>
              <w:pStyle w:val="BodyText"/>
            </w:pPr>
            <w:r w:rsidRPr="007C1679">
              <w:t>Successful completion of relevant vendor training may be</w:t>
            </w:r>
            <w:r w:rsidRPr="007C1679">
              <w:t xml:space="preserve"> used to contribute to evidence on which competency is deemed. In these cases the alignment of outcomes of vendor training with performance criteria and critical aspects of evidence shall be clearly identified.</w:t>
            </w:r>
          </w:p>
        </w:tc>
      </w:tr>
    </w:tbl>
    <w:p w:rsidR="00000000" w:rsidRPr="007C1679" w:rsidP="007C1679">
      <w:pPr>
        <w:pStyle w:val="BodyText"/>
      </w:pPr>
    </w:p>
    <w:tbl>
      <w:tblPr>
        <w:tblW w:w="0" w:type="auto"/>
        <w:tblLayout w:type="fixed"/>
        <w:tblCellMar>
          <w:left w:w="62" w:type="dxa"/>
          <w:right w:w="62" w:type="dxa"/>
        </w:tblCellMar>
        <w:tblLook w:val="0000"/>
      </w:tblPr>
      <w:tblGrid>
        <w:gridCol w:w="1890"/>
        <w:gridCol w:w="6570"/>
      </w:tblGrid>
      <w:tr w:rsidTr="007621A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rPr>
                <w:rStyle w:val="SpecialBold"/>
              </w:rPr>
              <w:t>Context of and specific resources for asses</w:t>
            </w:r>
            <w:r w:rsidRPr="007C1679">
              <w:rPr>
                <w:rStyle w:val="SpecialBold"/>
              </w:rPr>
              <w:t>sment</w:t>
            </w:r>
          </w:p>
        </w:tc>
        <w:tc>
          <w:tcPr>
            <w:tcW w:w="657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rPr>
                <w:rStyle w:val="SpecialBold"/>
              </w:rPr>
              <w:t>9.3)</w:t>
            </w:r>
          </w:p>
        </w:tc>
      </w:tr>
      <w:tr w:rsidTr="007621A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t>This unit should be assessed as it relates to normal work practice using procedures, information and resources typical of a workplace. This should include:</w:t>
            </w:r>
          </w:p>
          <w:p w:rsidR="00000000" w:rsidRPr="007C1679" w:rsidP="007C1679">
            <w:pPr>
              <w:pStyle w:val="ListBullet"/>
            </w:pPr>
            <w:r w:rsidRPr="007C1679">
              <w:t>OHS policy and work procedures and instructions.</w:t>
            </w:r>
          </w:p>
          <w:p w:rsidR="00000000" w:rsidRPr="007C1679" w:rsidP="007C1679">
            <w:pPr>
              <w:pStyle w:val="ListBullet"/>
            </w:pPr>
            <w:r w:rsidRPr="007C1679">
              <w:t>Suitable work environment, facilities, equipment and materials to undertake actual work as prescribed by this unit.</w:t>
            </w:r>
          </w:p>
          <w:p w:rsidR="00000000" w:rsidRPr="007C1679" w:rsidP="007C1679">
            <w:pPr>
              <w:pStyle w:val="BodyText"/>
            </w:pPr>
            <w:r w:rsidRPr="007C1679">
              <w:t>These should be used in the formal learning/assessment environment.</w:t>
            </w:r>
          </w:p>
          <w:p w:rsidR="00000000" w:rsidRPr="007C1679" w:rsidP="007C1679">
            <w:pPr>
              <w:pStyle w:val="BodyText"/>
            </w:pPr>
            <w:r w:rsidRPr="007C1679">
              <w:t>Note:</w:t>
            </w:r>
          </w:p>
          <w:p w:rsidR="00000000" w:rsidRPr="007C1679" w:rsidP="007C1679">
            <w:pPr>
              <w:pStyle w:val="BodyText"/>
            </w:pPr>
            <w:r w:rsidRPr="007C1679">
              <w:t>Where simulation is considered a suitable strategy for assessment,</w:t>
            </w:r>
            <w:r w:rsidRPr="007C1679">
              <w:t xml:space="preserve"> conditions must be authentic and as far as possible reproduce and replicate the workplace and be consistent with the approved industry simulation policy.</w:t>
            </w:r>
          </w:p>
          <w:p w:rsidR="00000000" w:rsidRPr="007C1679" w:rsidP="007C1679">
            <w:pPr>
              <w:pStyle w:val="BodyText"/>
            </w:pPr>
            <w:r w:rsidRPr="007C1679">
              <w:t>The resources used for assessment should reflect current industry practices in relation to maintainin</w:t>
            </w:r>
            <w:r w:rsidRPr="007C1679">
              <w:t>g on site power operated point-actuating devices.</w:t>
            </w:r>
          </w:p>
        </w:tc>
      </w:tr>
    </w:tbl>
    <w:p w:rsidR="00000000" w:rsidRPr="007C1679" w:rsidP="007C1679">
      <w:pPr>
        <w:pStyle w:val="BodyText"/>
      </w:pPr>
    </w:p>
    <w:tbl>
      <w:tblPr>
        <w:tblW w:w="0" w:type="auto"/>
        <w:tblLayout w:type="fixed"/>
        <w:tblCellMar>
          <w:left w:w="62" w:type="dxa"/>
          <w:right w:w="62" w:type="dxa"/>
        </w:tblCellMar>
        <w:tblLook w:val="0000"/>
      </w:tblPr>
      <w:tblGrid>
        <w:gridCol w:w="1890"/>
        <w:gridCol w:w="6570"/>
      </w:tblGrid>
      <w:tr w:rsidTr="007621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rPr>
                <w:rStyle w:val="SpecialBold"/>
              </w:rPr>
              <w:t>9.4)</w:t>
            </w:r>
          </w:p>
        </w:tc>
      </w:tr>
      <w:tr w:rsidTr="007621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t>This unit shall be assessed by methods given in Volume 1, Part 3 ‘Assessment Guidelines’.</w:t>
            </w:r>
          </w:p>
          <w:p w:rsidR="00000000" w:rsidRPr="007C1679" w:rsidP="007C1679">
            <w:pPr>
              <w:pStyle w:val="BodyText"/>
            </w:pPr>
            <w:r w:rsidRPr="007C1679">
              <w:t xml:space="preserve">Note: </w:t>
            </w:r>
          </w:p>
          <w:p w:rsidR="00000000" w:rsidRPr="007C1679" w:rsidP="007C1679">
            <w:pPr>
              <w:pStyle w:val="BodyText"/>
            </w:pPr>
            <w:r w:rsidRPr="007C1679">
              <w:t>Competent performance with inherent safe working practices is expected in the Industry to which this unit applies. This requires assessment in a structured environment which is intended primarily for learning/assessment and incorporates all necessary equip</w:t>
            </w:r>
            <w:r w:rsidRPr="007C1679">
              <w:t>ment and facilities for learners to develop and demonstrate the essential knowledge and skills described in this unit.</w:t>
            </w:r>
          </w:p>
        </w:tc>
      </w:tr>
    </w:tbl>
    <w:p w:rsidR="00000000" w:rsidRPr="007C1679" w:rsidP="007C1679">
      <w:pPr>
        <w:pStyle w:val="BodyText"/>
      </w:pPr>
    </w:p>
    <w:tbl>
      <w:tblPr>
        <w:tblW w:w="0" w:type="auto"/>
        <w:tblLayout w:type="fixed"/>
        <w:tblCellMar>
          <w:left w:w="62" w:type="dxa"/>
          <w:right w:w="62" w:type="dxa"/>
        </w:tblCellMar>
        <w:tblLook w:val="0000"/>
      </w:tblPr>
      <w:tblGrid>
        <w:gridCol w:w="1890"/>
        <w:gridCol w:w="6570"/>
      </w:tblGrid>
      <w:tr w:rsidTr="007621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rPr>
                <w:rStyle w:val="SpecialBold"/>
              </w:rPr>
              <w:t>9.5)</w:t>
            </w:r>
          </w:p>
        </w:tc>
      </w:tr>
      <w:tr w:rsidTr="007621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t>For optimisation of training and assessment effort, competency developme</w:t>
            </w:r>
            <w:r w:rsidRPr="007C1679">
              <w:t xml:space="preserve">nt in this unit may be arranged in combination with other competencies required by a given enterprise installation, maintenance and repair functions. </w:t>
            </w:r>
          </w:p>
          <w:p w:rsidR="00000000" w:rsidRPr="007C1679" w:rsidP="007C1679">
            <w:pPr>
              <w:pStyle w:val="BodyText"/>
            </w:pPr>
            <w:r w:rsidRPr="007C1679">
              <w:t>Concurrent assessment may include:</w:t>
            </w:r>
          </w:p>
          <w:p w:rsidR="00000000" w:rsidRPr="007C1679" w:rsidP="007C1679">
            <w:pPr>
              <w:pStyle w:val="BodyText"/>
            </w:pPr>
            <w:r w:rsidRPr="007C1679">
              <w:t>UEENEEN118A Find and repair rail signal system faults</w:t>
            </w:r>
          </w:p>
          <w:p w:rsidR="00000000" w:rsidRPr="007C1679" w:rsidP="007C1679">
            <w:pPr>
              <w:pStyle w:val="BodyText"/>
            </w:pPr>
            <w:r w:rsidRPr="007C1679">
              <w:t>UEENEEN105A Install and maintain rail signalling power supplies</w:t>
            </w:r>
          </w:p>
        </w:tc>
      </w:tr>
    </w:tbl>
    <w:p w:rsidR="00000000" w:rsidRPr="007C1679" w:rsidP="007C1679">
      <w:pPr>
        <w:pStyle w:val="BodyText"/>
      </w:pPr>
    </w:p>
    <w:p w:rsidR="00000000" w:rsidRPr="007C1679" w:rsidP="007C1679">
      <w:pPr>
        <w:pStyle w:val="AllowPageBreak"/>
      </w:pPr>
    </w:p>
    <w:p w:rsidR="00000000" w:rsidRPr="007C1679" w:rsidP="007C1679">
      <w:pPr>
        <w:pStyle w:val="Heading1"/>
      </w:pPr>
      <w:bookmarkStart w:id="11" w:name="O_585722"/>
      <w:bookmarkEnd w:id="11"/>
      <w:r w:rsidRPr="007C1679">
        <w:t>Range Statement</w:t>
      </w:r>
    </w:p>
    <w:tbl>
      <w:tblPr>
        <w:tblW w:w="0" w:type="auto"/>
        <w:tblLayout w:type="fixed"/>
        <w:tblCellMar>
          <w:left w:w="62" w:type="dxa"/>
          <w:right w:w="62" w:type="dxa"/>
        </w:tblCellMar>
        <w:tblLook w:val="0000"/>
      </w:tblPr>
      <w:tblGrid>
        <w:gridCol w:w="8460"/>
      </w:tblGrid>
      <w:tr w:rsidTr="007621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rPr>
                <w:rStyle w:val="SpecialBold"/>
              </w:rPr>
              <w:t>RANGE STATEMENT</w:t>
            </w:r>
          </w:p>
        </w:tc>
      </w:tr>
      <w:tr w:rsidTr="007621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rPr>
                <w:rStyle w:val="SpecialBold"/>
              </w:rPr>
              <w:t>10)</w:t>
            </w:r>
            <w:r w:rsidRPr="007C1679">
              <w:t xml:space="preserve">   This relates to the unit as a whole providing the range of contexts and conditions to which the performance criteria apply. It allows </w:t>
            </w:r>
            <w:r w:rsidRPr="007C1679">
              <w:t>for different work environments and situations that will affect performance.</w:t>
            </w:r>
          </w:p>
          <w:p w:rsidR="00000000" w:rsidRPr="007C1679" w:rsidP="007C1679">
            <w:pPr>
              <w:pStyle w:val="BodyText"/>
            </w:pPr>
            <w:r w:rsidRPr="007C1679">
              <w:t>This unit shall be demonstrated in relation to:</w:t>
            </w:r>
          </w:p>
          <w:p w:rsidR="00000000" w:rsidRPr="007C1679" w:rsidP="007C1679">
            <w:pPr>
              <w:pStyle w:val="ListBullet"/>
            </w:pPr>
            <w:r w:rsidRPr="007C1679">
              <w:t>The relevant State/Territory codes of practice and safe working requirements.</w:t>
            </w:r>
          </w:p>
          <w:p w:rsidR="00000000" w:rsidRPr="007C1679" w:rsidP="007C1679">
            <w:pPr>
              <w:pStyle w:val="ListBullet"/>
            </w:pPr>
            <w:r w:rsidRPr="007C1679">
              <w:t>Equipment relevant to a particular rail network.</w:t>
            </w:r>
          </w:p>
          <w:p w:rsidR="00000000" w:rsidRPr="007C1679" w:rsidP="007C1679">
            <w:pPr>
              <w:pStyle w:val="ListBullet"/>
            </w:pPr>
            <w:r w:rsidRPr="007C1679">
              <w:t>Code of practice for the defined interstate rail network.</w:t>
            </w:r>
          </w:p>
          <w:p w:rsidR="00000000" w:rsidRPr="007C1679" w:rsidP="007C1679">
            <w:pPr>
              <w:pStyle w:val="BodyText"/>
            </w:pPr>
            <w:r w:rsidRPr="007C1679">
              <w:t>Activities may include: procedures for maintenance of power point actuating devices in rail networks and may also include; the use of plans and drawings, manufacturer’s / enterprise specifications a</w:t>
            </w:r>
            <w:r w:rsidRPr="007C1679">
              <w:t xml:space="preserve">nd manuals. </w:t>
            </w:r>
          </w:p>
          <w:p w:rsidR="00000000" w:rsidRPr="007C1679" w:rsidP="007C1679">
            <w:pPr>
              <w:pStyle w:val="BodyText"/>
            </w:pPr>
            <w:r w:rsidRPr="007C1679">
              <w:t>Installation activities on power point actuating devices may also include: changing hand of the point mechanism, internal wiring configuration.</w:t>
            </w:r>
          </w:p>
          <w:p w:rsidR="00000000" w:rsidRPr="007C1679" w:rsidP="007C1679">
            <w:pPr>
              <w:pStyle w:val="BodyText"/>
            </w:pPr>
            <w:r w:rsidRPr="007C1679">
              <w:t xml:space="preserve">Maintenance activities on power point actuating devices may also incorporate safe working, working </w:t>
            </w:r>
            <w:r w:rsidRPr="007C1679">
              <w:t>according to regulatory requirements and following work procedures, performing scheduled maintenance, repairing point actuating devices, test and verifying the integrity of the maintenance work and completing report documentation.</w:t>
            </w:r>
          </w:p>
          <w:p w:rsidR="00000000" w:rsidRPr="007C1679" w:rsidP="007C1679">
            <w:pPr>
              <w:pStyle w:val="BodyText"/>
            </w:pPr>
            <w:r w:rsidRPr="007C1679">
              <w:t>Plant may include: backho</w:t>
            </w:r>
            <w:r w:rsidRPr="007C1679">
              <w:t>e; crane truck, boring machine and or mechanical cutting/bending equipment (e.g. welding equipment, disk saws, etc)</w:t>
            </w:r>
          </w:p>
          <w:p w:rsidR="00000000" w:rsidRPr="007C1679" w:rsidP="007C1679">
            <w:pPr>
              <w:pStyle w:val="BodyText"/>
            </w:pPr>
            <w:r w:rsidRPr="007C1679">
              <w:t>Electrical equipment may include:  motors, electro-mechanical clutches, electro-hydraulic pumps/solenoids, electro-pneumatic solenoids, dete</w:t>
            </w:r>
            <w:r w:rsidRPr="007C1679">
              <w:t>ction switches and contactors</w:t>
            </w:r>
          </w:p>
          <w:p w:rsidR="00000000" w:rsidRPr="007C1679" w:rsidP="007C1679">
            <w:pPr>
              <w:pStyle w:val="BodyText"/>
            </w:pPr>
            <w:r w:rsidRPr="007C1679">
              <w:t>Mechanical equipment may include: point mechanisms, pistons and rams, locking mechanisms (off-rail or on-rail), mechanical detection mechanisms (off-rail or on-rail), mechanical rodding, spreaders and blade chairs</w:t>
            </w:r>
          </w:p>
          <w:p w:rsidR="00000000" w:rsidRPr="007C1679" w:rsidP="007C1679">
            <w:pPr>
              <w:pStyle w:val="BodyText"/>
            </w:pPr>
            <w:r w:rsidRPr="007C1679">
              <w:t>Technical re</w:t>
            </w:r>
            <w:r w:rsidRPr="007C1679">
              <w:t xml:space="preserve">port may include: incident report, Electrical Access report, site survey and log report </w:t>
            </w:r>
          </w:p>
          <w:p w:rsidR="00000000" w:rsidRPr="007C1679" w:rsidP="007C1679">
            <w:pPr>
              <w:pStyle w:val="BodyText"/>
            </w:pPr>
            <w:r w:rsidRPr="007C1679">
              <w:t>Test equipment may include: multimeter, tong meter, hydraulic pressure gauges and pneumatic pressure gauges</w:t>
            </w:r>
          </w:p>
          <w:p w:rsidR="00000000" w:rsidRPr="007C1679" w:rsidP="007C1679">
            <w:pPr>
              <w:pStyle w:val="BodyText"/>
            </w:pPr>
            <w:r w:rsidRPr="007C1679">
              <w:t>Specialised equipment, tools and devices may include: speci</w:t>
            </w:r>
            <w:r w:rsidRPr="007C1679">
              <w:t>alise point tolerance gauges.</w:t>
            </w:r>
          </w:p>
          <w:p w:rsidR="00000000" w:rsidRPr="007C1679" w:rsidP="007C1679">
            <w:pPr>
              <w:pStyle w:val="BodyText"/>
            </w:pPr>
            <w:r w:rsidRPr="007C1679">
              <w:t>Generic terms used throughout this Vocational Standard shall be regarded as part of the Range Statement in which competency is demonstrated. The definition of these and other terms that apply are given in Volume 2, Section 2.1</w:t>
            </w:r>
            <w:r w:rsidRPr="007C1679">
              <w:t>.</w:t>
            </w:r>
          </w:p>
          <w:p w:rsidR="00000000" w:rsidRPr="007C1679" w:rsidP="007C1679">
            <w:pPr>
              <w:pStyle w:val="BodyText"/>
            </w:pPr>
            <w:r w:rsidRPr="007C1679">
              <w:t>Generic terms used throughout this Vocational Standard shall be regarded as part of the Range Statement in which competency is demonstrated. The definition of these and other terms that apply are given in Volume 2, Section 2.1.</w:t>
            </w:r>
          </w:p>
        </w:tc>
      </w:tr>
    </w:tbl>
    <w:p w:rsidR="00000000" w:rsidRPr="007C1679" w:rsidP="007C1679">
      <w:pPr>
        <w:pStyle w:val="BodyText"/>
      </w:pPr>
    </w:p>
    <w:p w:rsidR="00000000" w:rsidRPr="007C1679" w:rsidP="007C1679">
      <w:pPr>
        <w:pStyle w:val="AllowPageBreak"/>
      </w:pPr>
    </w:p>
    <w:p w:rsidR="00000000" w:rsidRPr="007C1679" w:rsidP="007C1679">
      <w:pPr>
        <w:pStyle w:val="Heading1"/>
      </w:pPr>
      <w:bookmarkStart w:id="12" w:name="O_585721"/>
      <w:bookmarkEnd w:id="12"/>
      <w:r w:rsidRPr="007C1679">
        <w:t>Unit Sector(s)</w:t>
      </w:r>
    </w:p>
    <w:p w:rsidR="00000000" w:rsidRPr="007C1679" w:rsidP="007C1679">
      <w:pPr>
        <w:pStyle w:val="BodyText"/>
      </w:pPr>
      <w:r w:rsidRPr="007C1679">
        <w:t>Not applicable.</w:t>
      </w:r>
    </w:p>
    <w:p w:rsidR="00000000" w:rsidRPr="007C1679" w:rsidP="007C1679">
      <w:pPr>
        <w:pStyle w:val="AllowPageBreak"/>
      </w:pPr>
    </w:p>
    <w:p w:rsidR="00000000" w:rsidRPr="007C1679" w:rsidP="007C1679">
      <w:pPr>
        <w:pStyle w:val="Heading1"/>
      </w:pPr>
      <w:bookmarkStart w:id="13" w:name="O_585720"/>
      <w:bookmarkEnd w:id="13"/>
      <w:r w:rsidRPr="007C1679">
        <w:t>Competency Field</w:t>
      </w:r>
    </w:p>
    <w:tbl>
      <w:tblPr>
        <w:tblW w:w="0" w:type="auto"/>
        <w:tblLayout w:type="fixed"/>
        <w:tblCellMar>
          <w:left w:w="62" w:type="dxa"/>
          <w:right w:w="62" w:type="dxa"/>
        </w:tblCellMar>
        <w:tblLook w:val="0000"/>
      </w:tblPr>
      <w:tblGrid>
        <w:gridCol w:w="2700"/>
        <w:gridCol w:w="5760"/>
      </w:tblGrid>
      <w:tr w:rsidTr="007621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C1679">
            <w:pPr>
              <w:pStyle w:val="BodyText"/>
              <w:rPr>
                <w:lang w:val="en-NZ"/>
              </w:rPr>
            </w:pPr>
            <w:r w:rsidRPr="007C1679">
              <w:rPr>
                <w:rStyle w:val="SpecialBold"/>
              </w:rPr>
              <w:t xml:space="preserve">11) </w:t>
            </w:r>
          </w:p>
        </w:tc>
      </w:tr>
      <w:tr w:rsidTr="00762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C1679" w:rsidP="007C1679">
            <w:pPr>
              <w:pStyle w:val="BodyText"/>
            </w:pPr>
            <w:r w:rsidRPr="007C1679">
              <w:t>Rail Signalling</w:t>
            </w:r>
          </w:p>
        </w:tc>
      </w:tr>
    </w:tbl>
    <w:p w:rsidR="00000000" w:rsidRPr="007C1679" w:rsidP="007C1679">
      <w:pPr>
        <w:pStyle w:val="BodyText"/>
      </w:pPr>
    </w:p>
    <w:p w:rsidR="00000000" w:rsidRPr="007C1679" w:rsidP="007C1679"/>
    <w:sectPr w:rsidSect="007C16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79" w:rsidRPr="007621A5" w:rsidP="007621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1A5" w:rsidP="007C16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621A5" w:rsidP="007C167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621A5" w:rsidP="007C16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79" w:rsidRPr="007621A5" w:rsidP="007621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1A5" w:rsidRPr="002D2AF8" w:rsidP="007C1679">
    <w:pPr>
      <w:pStyle w:val="Header"/>
      <w:framePr w:wrap="around"/>
    </w:pPr>
    <w:r>
      <w:fldChar w:fldCharType="begin"/>
    </w:r>
    <w:r>
      <w:instrText xml:space="preserve"> TITLE   \* MERGEFORMAT </w:instrText>
    </w:r>
    <w:r>
      <w:fldChar w:fldCharType="separate"/>
    </w:r>
    <w:r>
      <w:t>UEENEEN108A Install and maintain power operated point actuating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7621A5" w:rsidP="007C16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BAFF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0EA7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4630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7F72DAA"/>
    <w:multiLevelType w:val="multilevel"/>
    <w:tmpl w:val="0CF21DE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4"/>
  </w:num>
  <w:num w:numId="12">
    <w:abstractNumId w:val="9"/>
  </w:num>
  <w:num w:numId="13">
    <w:abstractNumId w:val="13"/>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6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679"/>
    <w:pPr>
      <w:spacing w:before="360" w:after="60"/>
      <w:outlineLvl w:val="0"/>
    </w:pPr>
    <w:rPr>
      <w:sz w:val="32"/>
    </w:rPr>
  </w:style>
  <w:style w:type="paragraph" w:styleId="Heading2">
    <w:name w:val="heading 2"/>
    <w:basedOn w:val="HeadingBase"/>
    <w:next w:val="BodyText"/>
    <w:link w:val="Heading2Char"/>
    <w:qFormat/>
    <w:rsid w:val="007C1679"/>
    <w:pPr>
      <w:keepLines/>
      <w:spacing w:before="240" w:after="120"/>
      <w:outlineLvl w:val="1"/>
    </w:pPr>
    <w:rPr>
      <w:sz w:val="28"/>
      <w:szCs w:val="40"/>
    </w:rPr>
  </w:style>
  <w:style w:type="paragraph" w:styleId="Heading3">
    <w:name w:val="heading 3"/>
    <w:basedOn w:val="HeadingBase"/>
    <w:next w:val="BodyText"/>
    <w:link w:val="Heading3Char"/>
    <w:qFormat/>
    <w:rsid w:val="007C1679"/>
    <w:pPr>
      <w:spacing w:before="180" w:after="120"/>
      <w:outlineLvl w:val="2"/>
    </w:pPr>
    <w:rPr>
      <w:spacing w:val="-10"/>
      <w:kern w:val="32"/>
    </w:rPr>
  </w:style>
  <w:style w:type="paragraph" w:styleId="Heading4">
    <w:name w:val="heading 4"/>
    <w:basedOn w:val="HeadingBase"/>
    <w:next w:val="BodyText"/>
    <w:link w:val="Heading4Char"/>
    <w:qFormat/>
    <w:rsid w:val="007C1679"/>
    <w:pPr>
      <w:spacing w:before="160" w:after="120"/>
      <w:outlineLvl w:val="3"/>
    </w:pPr>
    <w:rPr>
      <w:sz w:val="22"/>
    </w:rPr>
  </w:style>
  <w:style w:type="paragraph" w:styleId="Heading5">
    <w:name w:val="heading 5"/>
    <w:basedOn w:val="HeadingBase"/>
    <w:next w:val="Normal"/>
    <w:link w:val="Heading5Char"/>
    <w:qFormat/>
    <w:rsid w:val="007C1679"/>
    <w:pPr>
      <w:spacing w:before="80"/>
      <w:outlineLvl w:val="4"/>
    </w:pPr>
    <w:rPr>
      <w:color w:val="918585"/>
      <w:sz w:val="20"/>
    </w:rPr>
  </w:style>
  <w:style w:type="paragraph" w:styleId="Heading6">
    <w:name w:val="heading 6"/>
    <w:basedOn w:val="HeadingBase"/>
    <w:next w:val="Normal"/>
    <w:link w:val="Heading6Char"/>
    <w:qFormat/>
    <w:rsid w:val="007C1679"/>
    <w:pPr>
      <w:spacing w:before="60"/>
      <w:outlineLvl w:val="5"/>
    </w:pPr>
    <w:rPr>
      <w:color w:val="918585"/>
      <w:sz w:val="20"/>
    </w:rPr>
  </w:style>
  <w:style w:type="paragraph" w:styleId="Heading7">
    <w:name w:val="heading 7"/>
    <w:basedOn w:val="Normal"/>
    <w:next w:val="Normal"/>
    <w:link w:val="Heading7Char"/>
    <w:qFormat/>
    <w:rsid w:val="007C1679"/>
    <w:pPr>
      <w:ind w:left="720"/>
      <w:outlineLvl w:val="6"/>
    </w:pPr>
    <w:rPr>
      <w:i/>
    </w:rPr>
  </w:style>
  <w:style w:type="paragraph" w:styleId="Heading8">
    <w:name w:val="heading 8"/>
    <w:basedOn w:val="Normal"/>
    <w:next w:val="Normal"/>
    <w:link w:val="Heading8Char"/>
    <w:qFormat/>
    <w:rsid w:val="007C1679"/>
    <w:pPr>
      <w:ind w:left="720"/>
      <w:outlineLvl w:val="7"/>
    </w:pPr>
    <w:rPr>
      <w:i/>
    </w:rPr>
  </w:style>
  <w:style w:type="paragraph" w:styleId="Heading9">
    <w:name w:val="heading 9"/>
    <w:basedOn w:val="Normal"/>
    <w:next w:val="Normal"/>
    <w:link w:val="Heading9Char"/>
    <w:qFormat/>
    <w:rsid w:val="007C1679"/>
    <w:pPr>
      <w:ind w:left="720"/>
      <w:outlineLvl w:val="8"/>
    </w:pPr>
    <w:rPr>
      <w:i/>
    </w:rPr>
  </w:style>
  <w:style w:type="character" w:default="1" w:styleId="DefaultParagraphFont">
    <w:name w:val="Default Paragraph Font"/>
    <w:uiPriority w:val="1"/>
    <w:unhideWhenUsed/>
    <w:rsid w:val="007C16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679"/>
  </w:style>
  <w:style w:type="character" w:customStyle="1" w:styleId="Heading1Char">
    <w:name w:val="Heading 1 Char"/>
    <w:basedOn w:val="DefaultParagraphFont"/>
    <w:link w:val="Heading1"/>
    <w:rsid w:val="007C1679"/>
    <w:rPr>
      <w:rFonts w:ascii="Times New Roman" w:eastAsia="Times New Roman" w:hAnsi="Times New Roman" w:cs="Times New Roman"/>
      <w:b/>
      <w:sz w:val="32"/>
      <w:szCs w:val="20"/>
      <w:lang w:eastAsia="en-US"/>
    </w:rPr>
  </w:style>
  <w:style w:type="paragraph" w:styleId="BodyText">
    <w:name w:val="Body Text"/>
    <w:basedOn w:val="Normal"/>
    <w:link w:val="BodyTextChar"/>
    <w:rsid w:val="007C16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1679"/>
    <w:rPr>
      <w:rFonts w:ascii="Times New Roman" w:eastAsia="Times New Roman" w:hAnsi="Times New Roman" w:cs="Times New Roman"/>
      <w:sz w:val="24"/>
      <w:lang w:eastAsia="en-US"/>
    </w:rPr>
  </w:style>
  <w:style w:type="paragraph" w:styleId="ListBullet">
    <w:name w:val="List Bullet"/>
    <w:basedOn w:val="List"/>
    <w:rsid w:val="007C1679"/>
    <w:pPr>
      <w:numPr>
        <w:numId w:val="13"/>
      </w:numPr>
      <w:tabs>
        <w:tab w:val="clear" w:pos="340"/>
      </w:tabs>
      <w:spacing w:before="40" w:after="40"/>
    </w:pPr>
  </w:style>
  <w:style w:type="character" w:customStyle="1" w:styleId="SpecialBold">
    <w:name w:val="Special Bold"/>
    <w:basedOn w:val="DefaultParagraphFont"/>
    <w:rsid w:val="007C1679"/>
    <w:rPr>
      <w:b/>
      <w:spacing w:val="0"/>
    </w:rPr>
  </w:style>
  <w:style w:type="paragraph" w:styleId="ListBullet2">
    <w:name w:val="List Bullet 2"/>
    <w:basedOn w:val="List2"/>
    <w:rsid w:val="007C1679"/>
    <w:pPr>
      <w:numPr>
        <w:numId w:val="14"/>
      </w:numPr>
      <w:tabs>
        <w:tab w:val="clear" w:pos="680"/>
      </w:tabs>
    </w:pPr>
  </w:style>
  <w:style w:type="paragraph" w:customStyle="1" w:styleId="SuperHeading">
    <w:name w:val="SuperHeading"/>
    <w:basedOn w:val="Normal"/>
    <w:rsid w:val="007C1679"/>
    <w:pPr>
      <w:spacing w:before="240" w:after="120"/>
      <w:outlineLvl w:val="0"/>
    </w:pPr>
    <w:rPr>
      <w:rFonts w:ascii="Times New Roman" w:hAnsi="Times New Roman"/>
      <w:b/>
      <w:sz w:val="32"/>
    </w:rPr>
  </w:style>
  <w:style w:type="paragraph" w:customStyle="1" w:styleId="AllowPageBreak">
    <w:name w:val="AllowPageBreak"/>
    <w:rsid w:val="007C167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7C1679"/>
    <w:pPr>
      <w:numPr>
        <w:numId w:val="8"/>
      </w:numPr>
    </w:pPr>
  </w:style>
  <w:style w:type="character" w:customStyle="1" w:styleId="Heading2Char">
    <w:name w:val="Heading 2 Char"/>
    <w:basedOn w:val="DefaultParagraphFont"/>
    <w:link w:val="Heading2"/>
    <w:rsid w:val="007C16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6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6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6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6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6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6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679"/>
    <w:rPr>
      <w:rFonts w:ascii="Courier New" w:eastAsia="Times New Roman" w:hAnsi="Courier New" w:cs="Times New Roman"/>
      <w:i/>
      <w:szCs w:val="20"/>
      <w:lang w:eastAsia="en-US"/>
    </w:rPr>
  </w:style>
  <w:style w:type="paragraph" w:customStyle="1" w:styleId="HeadingBase">
    <w:name w:val="Heading Base"/>
    <w:rsid w:val="007C16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679"/>
    <w:pPr>
      <w:tabs>
        <w:tab w:val="right" w:leader="dot" w:pos="9072"/>
      </w:tabs>
      <w:ind w:left="567"/>
    </w:pPr>
    <w:rPr>
      <w:szCs w:val="22"/>
    </w:rPr>
  </w:style>
  <w:style w:type="paragraph" w:customStyle="1" w:styleId="TOCBase">
    <w:name w:val="TOC Base"/>
    <w:rsid w:val="007C16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679"/>
    <w:pPr>
      <w:tabs>
        <w:tab w:val="right" w:leader="dot" w:pos="9072"/>
      </w:tabs>
      <w:spacing w:before="40" w:after="40"/>
      <w:ind w:left="284"/>
    </w:pPr>
    <w:rPr>
      <w:rFonts w:ascii="Times New Roman" w:hAnsi="Times New Roman"/>
    </w:rPr>
  </w:style>
  <w:style w:type="paragraph" w:styleId="TOC1">
    <w:name w:val="toc 1"/>
    <w:basedOn w:val="TOCBase"/>
    <w:next w:val="Normal"/>
    <w:rsid w:val="007C16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16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679"/>
    <w:rPr>
      <w:rFonts w:ascii="Times New Roman" w:eastAsia="Times New Roman" w:hAnsi="Times New Roman" w:cs="Times New Roman"/>
      <w:sz w:val="16"/>
      <w:lang w:eastAsia="en-US"/>
    </w:rPr>
  </w:style>
  <w:style w:type="paragraph" w:styleId="Title">
    <w:name w:val="Title"/>
    <w:basedOn w:val="HeadingBase"/>
    <w:link w:val="TitleChar"/>
    <w:qFormat/>
    <w:rsid w:val="007C1679"/>
    <w:pPr>
      <w:spacing w:before="5040"/>
      <w:jc w:val="center"/>
    </w:pPr>
    <w:rPr>
      <w:sz w:val="48"/>
      <w:szCs w:val="72"/>
      <w:lang w:val="en-US"/>
    </w:rPr>
  </w:style>
  <w:style w:type="character" w:customStyle="1" w:styleId="TitleChar">
    <w:name w:val="Title Char"/>
    <w:basedOn w:val="DefaultParagraphFont"/>
    <w:link w:val="Title"/>
    <w:rsid w:val="007C16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679"/>
    <w:pPr>
      <w:tabs>
        <w:tab w:val="left" w:pos="3600"/>
        <w:tab w:val="left" w:pos="3958"/>
      </w:tabs>
    </w:pPr>
  </w:style>
  <w:style w:type="paragraph" w:styleId="List">
    <w:name w:val="List"/>
    <w:basedOn w:val="BodyText"/>
    <w:next w:val="BodyText"/>
    <w:rsid w:val="007C1679"/>
    <w:pPr>
      <w:tabs>
        <w:tab w:val="left" w:pos="340"/>
      </w:tabs>
      <w:spacing w:before="60" w:after="60"/>
      <w:ind w:left="340" w:hanging="340"/>
    </w:pPr>
  </w:style>
  <w:style w:type="paragraph" w:customStyle="1" w:styleId="Note">
    <w:name w:val="Note"/>
    <w:basedOn w:val="BodyText"/>
    <w:rsid w:val="007C16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1679"/>
    <w:pPr>
      <w:framePr w:wrap="auto" w:hAnchor="text" w:y="6049"/>
    </w:pPr>
    <w:rPr>
      <w:color w:val="000000"/>
      <w:sz w:val="40"/>
    </w:rPr>
  </w:style>
  <w:style w:type="paragraph" w:customStyle="1" w:styleId="TOCTitle">
    <w:name w:val="TOCTitle"/>
    <w:basedOn w:val="Heading1"/>
    <w:rsid w:val="007C1679"/>
    <w:pPr>
      <w:spacing w:after="240"/>
      <w:jc w:val="center"/>
      <w:outlineLvl w:val="9"/>
    </w:pPr>
    <w:rPr>
      <w:caps/>
    </w:rPr>
  </w:style>
  <w:style w:type="paragraph" w:customStyle="1" w:styleId="Version">
    <w:name w:val="Version"/>
    <w:rsid w:val="007C16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1679"/>
    <w:pPr>
      <w:keepNext w:val="0"/>
      <w:tabs>
        <w:tab w:val="right" w:pos="4176"/>
      </w:tabs>
      <w:ind w:left="198" w:hanging="198"/>
    </w:pPr>
    <w:rPr>
      <w:rFonts w:ascii="Garamond" w:hAnsi="Garamond"/>
    </w:rPr>
  </w:style>
  <w:style w:type="paragraph" w:styleId="IndexHeading">
    <w:name w:val="index heading"/>
    <w:basedOn w:val="Normal"/>
    <w:next w:val="Index1"/>
    <w:semiHidden/>
    <w:rsid w:val="007C1679"/>
    <w:pPr>
      <w:spacing w:before="120" w:after="120"/>
    </w:pPr>
    <w:rPr>
      <w:rFonts w:ascii="Arial" w:hAnsi="Arial"/>
      <w:b/>
      <w:color w:val="918585"/>
      <w:sz w:val="24"/>
    </w:rPr>
  </w:style>
  <w:style w:type="paragraph" w:styleId="Header">
    <w:name w:val="header"/>
    <w:basedOn w:val="Normal"/>
    <w:link w:val="HeaderChar"/>
    <w:rsid w:val="007C16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679"/>
    <w:rPr>
      <w:rFonts w:ascii="Times New Roman" w:eastAsia="Times New Roman" w:hAnsi="Times New Roman" w:cs="Times New Roman"/>
      <w:sz w:val="16"/>
      <w:szCs w:val="20"/>
      <w:lang w:val="en-GB" w:eastAsia="en-US"/>
    </w:rPr>
  </w:style>
  <w:style w:type="paragraph" w:customStyle="1" w:styleId="Chapter">
    <w:name w:val="Chapter"/>
    <w:basedOn w:val="Normal"/>
    <w:rsid w:val="007C1679"/>
    <w:pPr>
      <w:spacing w:before="240"/>
    </w:pPr>
    <w:rPr>
      <w:rFonts w:ascii="Times New Roman" w:hAnsi="Times New Roman"/>
      <w:smallCaps/>
      <w:spacing w:val="80"/>
      <w:sz w:val="28"/>
    </w:rPr>
  </w:style>
  <w:style w:type="paragraph" w:customStyle="1" w:styleId="InChapter">
    <w:name w:val="InChapter"/>
    <w:basedOn w:val="Heading3"/>
    <w:rsid w:val="007C1679"/>
    <w:pPr>
      <w:spacing w:after="240"/>
      <w:outlineLvl w:val="9"/>
    </w:pPr>
    <w:rPr>
      <w:noProof/>
    </w:rPr>
  </w:style>
  <w:style w:type="paragraph" w:styleId="Index2">
    <w:name w:val="index 2"/>
    <w:basedOn w:val="Normal"/>
    <w:next w:val="Normal"/>
    <w:semiHidden/>
    <w:rsid w:val="007C1679"/>
    <w:pPr>
      <w:tabs>
        <w:tab w:val="right" w:pos="4176"/>
      </w:tabs>
      <w:ind w:left="568" w:hanging="284"/>
    </w:pPr>
    <w:rPr>
      <w:rFonts w:ascii="Garamond" w:hAnsi="Garamond"/>
    </w:rPr>
  </w:style>
  <w:style w:type="paragraph" w:customStyle="1" w:styleId="Byline">
    <w:name w:val="Byline"/>
    <w:rsid w:val="007C16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679"/>
    <w:pPr>
      <w:tabs>
        <w:tab w:val="clear" w:pos="3600"/>
        <w:tab w:val="clear" w:pos="3958"/>
      </w:tabs>
      <w:jc w:val="right"/>
    </w:pPr>
  </w:style>
  <w:style w:type="character" w:styleId="Emphasis">
    <w:name w:val="Emphasis"/>
    <w:basedOn w:val="DefaultParagraphFont"/>
    <w:qFormat/>
    <w:rsid w:val="007C1679"/>
    <w:rPr>
      <w:i/>
    </w:rPr>
  </w:style>
  <w:style w:type="paragraph" w:styleId="Caption">
    <w:name w:val="caption"/>
    <w:basedOn w:val="BodyText"/>
    <w:next w:val="Normal"/>
    <w:qFormat/>
    <w:rsid w:val="007C1679"/>
    <w:pPr>
      <w:framePr w:w="2268" w:hSpace="181" w:vSpace="181" w:wrap="around" w:vAnchor="text" w:hAnchor="page" w:x="1135" w:y="285" w:anchorLock="1"/>
    </w:pPr>
    <w:rPr>
      <w:i/>
    </w:rPr>
  </w:style>
  <w:style w:type="paragraph" w:customStyle="1" w:styleId="MiniTOCTitle">
    <w:name w:val="MiniTOCTitle"/>
    <w:basedOn w:val="Heading4"/>
    <w:rsid w:val="007C1679"/>
    <w:pPr>
      <w:spacing w:before="240"/>
      <w:outlineLvl w:val="9"/>
    </w:pPr>
    <w:rPr>
      <w:noProof/>
      <w:sz w:val="24"/>
    </w:rPr>
  </w:style>
  <w:style w:type="paragraph" w:customStyle="1" w:styleId="MiniTOCItem">
    <w:name w:val="MiniTOCItem"/>
    <w:basedOn w:val="ListBullet"/>
    <w:rsid w:val="007C1679"/>
    <w:pPr>
      <w:numPr>
        <w:numId w:val="0"/>
      </w:numPr>
      <w:tabs>
        <w:tab w:val="right" w:leader="dot" w:pos="6521"/>
      </w:tabs>
      <w:spacing w:before="0" w:after="0"/>
    </w:pPr>
  </w:style>
  <w:style w:type="paragraph" w:customStyle="1" w:styleId="TOFTitle">
    <w:name w:val="TOFTitle"/>
    <w:basedOn w:val="TOCTitle"/>
    <w:rsid w:val="007C1679"/>
  </w:style>
  <w:style w:type="paragraph" w:styleId="TableofFigures">
    <w:name w:val="table of figures"/>
    <w:basedOn w:val="Normal"/>
    <w:next w:val="Normal"/>
    <w:semiHidden/>
    <w:rsid w:val="007C1679"/>
    <w:pPr>
      <w:tabs>
        <w:tab w:val="right" w:leader="dot" w:pos="9072"/>
      </w:tabs>
      <w:ind w:left="970" w:hanging="403"/>
    </w:pPr>
    <w:rPr>
      <w:rFonts w:ascii="Times New Roman" w:hAnsi="Times New Roman"/>
      <w:b/>
    </w:rPr>
  </w:style>
  <w:style w:type="paragraph" w:styleId="ListNumber">
    <w:name w:val="List Number"/>
    <w:basedOn w:val="List"/>
    <w:rsid w:val="007C1679"/>
    <w:pPr>
      <w:numPr>
        <w:numId w:val="11"/>
      </w:numPr>
    </w:pPr>
  </w:style>
  <w:style w:type="character" w:customStyle="1" w:styleId="WingdingSymbols">
    <w:name w:val="Wingding Symbols"/>
    <w:rsid w:val="007C1679"/>
    <w:rPr>
      <w:rFonts w:ascii="Wingdings" w:hAnsi="Wingdings"/>
    </w:rPr>
  </w:style>
  <w:style w:type="paragraph" w:customStyle="1" w:styleId="TableHeading">
    <w:name w:val="Table Heading"/>
    <w:basedOn w:val="HeadingBase"/>
    <w:rsid w:val="007C1679"/>
    <w:pPr>
      <w:keepLines/>
      <w:pBdr>
        <w:bottom w:val="single" w:sz="6" w:space="1" w:color="918585"/>
      </w:pBdr>
      <w:spacing w:before="240"/>
    </w:pPr>
  </w:style>
  <w:style w:type="character" w:customStyle="1" w:styleId="HotSpot">
    <w:name w:val="HotSpot"/>
    <w:rsid w:val="007C1679"/>
    <w:rPr>
      <w:color w:val="0033CC"/>
      <w:u w:val="none"/>
    </w:rPr>
  </w:style>
  <w:style w:type="paragraph" w:customStyle="1" w:styleId="BodyTextRight">
    <w:name w:val="Body Text Right"/>
    <w:basedOn w:val="BodyText"/>
    <w:rsid w:val="007C1679"/>
    <w:pPr>
      <w:spacing w:before="0" w:after="0"/>
      <w:jc w:val="right"/>
    </w:pPr>
  </w:style>
  <w:style w:type="paragraph" w:styleId="Index3">
    <w:name w:val="index 3"/>
    <w:basedOn w:val="ListNumber2"/>
    <w:next w:val="Normal"/>
    <w:semiHidden/>
    <w:rsid w:val="007C1679"/>
    <w:pPr>
      <w:numPr>
        <w:numId w:val="0"/>
      </w:numPr>
      <w:tabs>
        <w:tab w:val="right" w:leader="dot" w:pos="4176"/>
      </w:tabs>
    </w:pPr>
  </w:style>
  <w:style w:type="paragraph" w:styleId="ListNumber2">
    <w:name w:val="List Number 2"/>
    <w:basedOn w:val="List2"/>
    <w:rsid w:val="007C1679"/>
    <w:pPr>
      <w:numPr>
        <w:numId w:val="10"/>
      </w:numPr>
      <w:tabs>
        <w:tab w:val="clear" w:pos="1060"/>
      </w:tabs>
    </w:pPr>
  </w:style>
  <w:style w:type="paragraph" w:customStyle="1" w:styleId="MarginNote">
    <w:name w:val="Margin Note"/>
    <w:basedOn w:val="BodyText"/>
    <w:rsid w:val="007C16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6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6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679"/>
    <w:rPr>
      <w:sz w:val="32"/>
    </w:rPr>
  </w:style>
  <w:style w:type="paragraph" w:customStyle="1" w:styleId="HeadingProcedure">
    <w:name w:val="Heading Procedure"/>
    <w:basedOn w:val="HeadingBase"/>
    <w:next w:val="Normal"/>
    <w:rsid w:val="007C1679"/>
    <w:pPr>
      <w:tabs>
        <w:tab w:val="left" w:pos="0"/>
      </w:tabs>
      <w:spacing w:before="120" w:after="60"/>
    </w:pPr>
    <w:rPr>
      <w:i/>
      <w:color w:val="918585"/>
      <w:sz w:val="22"/>
    </w:rPr>
  </w:style>
  <w:style w:type="paragraph" w:customStyle="1" w:styleId="TableBodyText">
    <w:name w:val="Table Body Text"/>
    <w:basedOn w:val="BodyText"/>
    <w:rsid w:val="007C1679"/>
    <w:pPr>
      <w:spacing w:before="60" w:after="60"/>
    </w:pPr>
  </w:style>
  <w:style w:type="paragraph" w:styleId="ListContinue">
    <w:name w:val="List Continue"/>
    <w:basedOn w:val="List"/>
    <w:rsid w:val="007C1679"/>
    <w:pPr>
      <w:ind w:firstLine="0"/>
    </w:pPr>
  </w:style>
  <w:style w:type="paragraph" w:customStyle="1" w:styleId="ListNote">
    <w:name w:val="List Note"/>
    <w:basedOn w:val="List"/>
    <w:rsid w:val="007C1679"/>
    <w:pPr>
      <w:pBdr>
        <w:top w:val="single" w:sz="6" w:space="2" w:color="918585"/>
        <w:bottom w:val="single" w:sz="6" w:space="2" w:color="918585"/>
      </w:pBdr>
      <w:tabs>
        <w:tab w:val="left" w:pos="1021"/>
      </w:tabs>
      <w:ind w:firstLine="0"/>
    </w:pPr>
  </w:style>
  <w:style w:type="paragraph" w:customStyle="1" w:styleId="Warning">
    <w:name w:val="Warning"/>
    <w:basedOn w:val="BodyText"/>
    <w:rsid w:val="007C1679"/>
    <w:pPr>
      <w:shd w:val="clear" w:color="auto" w:fill="D9D9D9"/>
      <w:tabs>
        <w:tab w:val="left" w:pos="992"/>
      </w:tabs>
      <w:ind w:left="119" w:right="119"/>
    </w:pPr>
    <w:rPr>
      <w:sz w:val="20"/>
    </w:rPr>
  </w:style>
  <w:style w:type="paragraph" w:customStyle="1" w:styleId="MarginIcons">
    <w:name w:val="Margin Icons"/>
    <w:basedOn w:val="BodyText"/>
    <w:rsid w:val="007C16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679"/>
    <w:rPr>
      <w:rFonts w:ascii="Courier New" w:hAnsi="Courier New"/>
    </w:rPr>
  </w:style>
  <w:style w:type="paragraph" w:customStyle="1" w:styleId="NoteBullet">
    <w:name w:val="Note Bullet"/>
    <w:basedOn w:val="Note"/>
    <w:rsid w:val="007C1679"/>
    <w:pPr>
      <w:tabs>
        <w:tab w:val="clear" w:pos="680"/>
      </w:tabs>
      <w:spacing w:before="60" w:after="60"/>
    </w:pPr>
  </w:style>
  <w:style w:type="paragraph" w:customStyle="1" w:styleId="SubHeading2">
    <w:name w:val="SubHeading2"/>
    <w:basedOn w:val="HeadingBase"/>
    <w:rsid w:val="007C1679"/>
    <w:pPr>
      <w:spacing w:before="240" w:after="60"/>
    </w:pPr>
    <w:rPr>
      <w:sz w:val="20"/>
    </w:rPr>
  </w:style>
  <w:style w:type="paragraph" w:customStyle="1" w:styleId="SubHeading1">
    <w:name w:val="SubHeading1"/>
    <w:basedOn w:val="HeadingBase"/>
    <w:rsid w:val="007C1679"/>
    <w:pPr>
      <w:spacing w:before="240" w:after="60"/>
    </w:pPr>
    <w:rPr>
      <w:color w:val="918585"/>
      <w:sz w:val="22"/>
    </w:rPr>
  </w:style>
  <w:style w:type="paragraph" w:customStyle="1" w:styleId="SideHeading">
    <w:name w:val="Side Heading"/>
    <w:basedOn w:val="HeadingBase"/>
    <w:rsid w:val="007C16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679"/>
    <w:pPr>
      <w:numPr>
        <w:numId w:val="12"/>
      </w:numPr>
    </w:pPr>
  </w:style>
  <w:style w:type="paragraph" w:styleId="PlainText">
    <w:name w:val="Plain Text"/>
    <w:basedOn w:val="Normal"/>
    <w:link w:val="PlainTextChar"/>
    <w:rsid w:val="007C1679"/>
    <w:rPr>
      <w:sz w:val="20"/>
    </w:rPr>
  </w:style>
  <w:style w:type="character" w:customStyle="1" w:styleId="PlainTextChar">
    <w:name w:val="Plain Text Char"/>
    <w:basedOn w:val="DefaultParagraphFont"/>
    <w:link w:val="PlainText"/>
    <w:rsid w:val="007C1679"/>
    <w:rPr>
      <w:rFonts w:ascii="Courier New" w:eastAsia="Times New Roman" w:hAnsi="Courier New" w:cs="Times New Roman"/>
      <w:sz w:val="20"/>
      <w:szCs w:val="20"/>
      <w:lang w:eastAsia="en-US"/>
    </w:rPr>
  </w:style>
  <w:style w:type="character" w:customStyle="1" w:styleId="MenuOption">
    <w:name w:val="Menu Option"/>
    <w:basedOn w:val="DefaultParagraphFont"/>
    <w:rsid w:val="007C1679"/>
    <w:rPr>
      <w:b/>
      <w:smallCaps/>
    </w:rPr>
  </w:style>
  <w:style w:type="paragraph" w:customStyle="1" w:styleId="TableListNumber">
    <w:name w:val="Table List Number"/>
    <w:basedOn w:val="ListNumber"/>
    <w:rsid w:val="007C1679"/>
    <w:pPr>
      <w:numPr>
        <w:numId w:val="0"/>
      </w:numPr>
    </w:pPr>
  </w:style>
  <w:style w:type="paragraph" w:styleId="TOC4">
    <w:name w:val="toc 4"/>
    <w:basedOn w:val="TOCBase"/>
    <w:next w:val="Normal"/>
    <w:semiHidden/>
    <w:rsid w:val="007C1679"/>
    <w:pPr>
      <w:tabs>
        <w:tab w:val="right" w:leader="dot" w:pos="9071"/>
      </w:tabs>
      <w:ind w:left="1701"/>
    </w:pPr>
  </w:style>
  <w:style w:type="paragraph" w:customStyle="1" w:styleId="ListAlpha">
    <w:name w:val="List Alpha"/>
    <w:basedOn w:val="List"/>
    <w:rsid w:val="007C1679"/>
    <w:pPr>
      <w:numPr>
        <w:numId w:val="9"/>
      </w:numPr>
    </w:pPr>
  </w:style>
  <w:style w:type="paragraph" w:styleId="List2">
    <w:name w:val="List 2"/>
    <w:basedOn w:val="BodyText"/>
    <w:rsid w:val="007C1679"/>
    <w:pPr>
      <w:tabs>
        <w:tab w:val="left" w:pos="680"/>
      </w:tabs>
      <w:spacing w:before="60" w:after="60"/>
      <w:ind w:left="680" w:hanging="340"/>
    </w:pPr>
  </w:style>
  <w:style w:type="paragraph" w:styleId="List3">
    <w:name w:val="List 3"/>
    <w:basedOn w:val="BodyText"/>
    <w:rsid w:val="007C1679"/>
    <w:pPr>
      <w:tabs>
        <w:tab w:val="left" w:pos="1021"/>
      </w:tabs>
      <w:spacing w:before="60" w:after="60"/>
      <w:ind w:left="1020" w:hanging="340"/>
    </w:pPr>
  </w:style>
  <w:style w:type="paragraph" w:styleId="List4">
    <w:name w:val="List 4"/>
    <w:basedOn w:val="BodyText"/>
    <w:rsid w:val="007C1679"/>
    <w:pPr>
      <w:tabs>
        <w:tab w:val="left" w:pos="1361"/>
      </w:tabs>
      <w:spacing w:before="60" w:after="60"/>
      <w:ind w:left="1361" w:hanging="340"/>
    </w:pPr>
  </w:style>
  <w:style w:type="paragraph" w:styleId="List5">
    <w:name w:val="List 5"/>
    <w:basedOn w:val="BodyText"/>
    <w:rsid w:val="007C1679"/>
    <w:pPr>
      <w:tabs>
        <w:tab w:val="left" w:pos="1701"/>
      </w:tabs>
      <w:spacing w:before="60" w:after="60"/>
      <w:ind w:left="1701" w:hanging="340"/>
    </w:pPr>
  </w:style>
  <w:style w:type="paragraph" w:styleId="ListBullet3">
    <w:name w:val="List Bullet 3"/>
    <w:basedOn w:val="List3"/>
    <w:rsid w:val="007C1679"/>
    <w:pPr>
      <w:numPr>
        <w:numId w:val="15"/>
      </w:numPr>
      <w:tabs>
        <w:tab w:val="clear" w:pos="1021"/>
      </w:tabs>
      <w:ind w:left="1037" w:hanging="357"/>
    </w:pPr>
  </w:style>
  <w:style w:type="paragraph" w:styleId="ListBullet4">
    <w:name w:val="List Bullet 4"/>
    <w:basedOn w:val="List4"/>
    <w:rsid w:val="007C1679"/>
    <w:pPr>
      <w:numPr>
        <w:numId w:val="3"/>
      </w:numPr>
    </w:pPr>
  </w:style>
  <w:style w:type="paragraph" w:styleId="ListBullet5">
    <w:name w:val="List Bullet 5"/>
    <w:basedOn w:val="List5"/>
    <w:rsid w:val="007C1679"/>
    <w:pPr>
      <w:numPr>
        <w:numId w:val="4"/>
      </w:numPr>
    </w:pPr>
  </w:style>
  <w:style w:type="paragraph" w:styleId="ListContinue2">
    <w:name w:val="List Continue 2"/>
    <w:basedOn w:val="List2"/>
    <w:rsid w:val="007C1679"/>
    <w:pPr>
      <w:ind w:firstLine="0"/>
    </w:pPr>
  </w:style>
  <w:style w:type="paragraph" w:styleId="ListContinue3">
    <w:name w:val="List Continue 3"/>
    <w:basedOn w:val="List3"/>
    <w:rsid w:val="007C1679"/>
    <w:pPr>
      <w:ind w:left="1021" w:firstLine="0"/>
    </w:pPr>
  </w:style>
  <w:style w:type="paragraph" w:styleId="ListContinue4">
    <w:name w:val="List Continue 4"/>
    <w:basedOn w:val="List4"/>
    <w:rsid w:val="007C1679"/>
    <w:pPr>
      <w:ind w:firstLine="0"/>
    </w:pPr>
  </w:style>
  <w:style w:type="paragraph" w:styleId="ListContinue5">
    <w:name w:val="List Continue 5"/>
    <w:basedOn w:val="List5"/>
    <w:rsid w:val="007C1679"/>
    <w:pPr>
      <w:ind w:firstLine="0"/>
    </w:pPr>
  </w:style>
  <w:style w:type="paragraph" w:styleId="ListNumber3">
    <w:name w:val="List Number 3"/>
    <w:basedOn w:val="List3"/>
    <w:rsid w:val="007C1679"/>
    <w:pPr>
      <w:numPr>
        <w:numId w:val="5"/>
      </w:numPr>
    </w:pPr>
  </w:style>
  <w:style w:type="paragraph" w:styleId="ListNumber4">
    <w:name w:val="List Number 4"/>
    <w:basedOn w:val="List4"/>
    <w:rsid w:val="007C1679"/>
    <w:pPr>
      <w:numPr>
        <w:numId w:val="6"/>
      </w:numPr>
    </w:pPr>
  </w:style>
  <w:style w:type="paragraph" w:styleId="ListNumber5">
    <w:name w:val="List Number 5"/>
    <w:basedOn w:val="List5"/>
    <w:rsid w:val="007C1679"/>
    <w:pPr>
      <w:numPr>
        <w:numId w:val="7"/>
      </w:numPr>
    </w:pPr>
  </w:style>
  <w:style w:type="paragraph" w:styleId="BlockText">
    <w:name w:val="Block Text"/>
    <w:basedOn w:val="Normal"/>
    <w:rsid w:val="007C1679"/>
    <w:pPr>
      <w:spacing w:after="120"/>
      <w:ind w:left="1440" w:right="1440"/>
    </w:pPr>
  </w:style>
  <w:style w:type="character" w:customStyle="1" w:styleId="Subscript">
    <w:name w:val="Subscript"/>
    <w:basedOn w:val="DefaultParagraphFont"/>
    <w:rsid w:val="007C1679"/>
    <w:rPr>
      <w:sz w:val="16"/>
      <w:vertAlign w:val="subscript"/>
    </w:rPr>
  </w:style>
  <w:style w:type="character" w:customStyle="1" w:styleId="Superscript">
    <w:name w:val="Superscript"/>
    <w:basedOn w:val="DefaultParagraphFont"/>
    <w:rsid w:val="007C1679"/>
    <w:rPr>
      <w:sz w:val="16"/>
      <w:vertAlign w:val="superscript"/>
    </w:rPr>
  </w:style>
  <w:style w:type="character" w:customStyle="1" w:styleId="Symbols">
    <w:name w:val="Symbols"/>
    <w:basedOn w:val="DefaultParagraphFont"/>
    <w:rsid w:val="007C1679"/>
    <w:rPr>
      <w:rFonts w:ascii="Symbol" w:hAnsi="Symbol"/>
    </w:rPr>
  </w:style>
  <w:style w:type="character" w:customStyle="1" w:styleId="MenuOptions">
    <w:name w:val="Menu Options"/>
    <w:basedOn w:val="DefaultParagraphFont"/>
    <w:rsid w:val="007C1679"/>
    <w:rPr>
      <w:rFonts w:ascii="Arial Narrow" w:hAnsi="Arial Narrow"/>
      <w:smallCaps/>
    </w:rPr>
  </w:style>
  <w:style w:type="character" w:customStyle="1" w:styleId="Buttons">
    <w:name w:val="Buttons"/>
    <w:basedOn w:val="DefaultParagraphFont"/>
    <w:rsid w:val="007C1679"/>
    <w:rPr>
      <w:b/>
    </w:rPr>
  </w:style>
  <w:style w:type="character" w:customStyle="1" w:styleId="Underlined">
    <w:name w:val="Underlined"/>
    <w:basedOn w:val="DefaultParagraphFont"/>
    <w:rsid w:val="007C1679"/>
    <w:rPr>
      <w:u w:val="single"/>
    </w:rPr>
  </w:style>
  <w:style w:type="paragraph" w:customStyle="1" w:styleId="TableBodyTextRight">
    <w:name w:val="Table Body Text Right"/>
    <w:basedOn w:val="TableBodyText"/>
    <w:rsid w:val="007C1679"/>
    <w:pPr>
      <w:widowControl w:val="0"/>
      <w:autoSpaceDE w:val="0"/>
      <w:autoSpaceDN w:val="0"/>
      <w:adjustRightInd w:val="0"/>
      <w:jc w:val="right"/>
    </w:pPr>
    <w:rPr>
      <w:rFonts w:cs="Arial"/>
      <w:szCs w:val="18"/>
    </w:rPr>
  </w:style>
  <w:style w:type="paragraph" w:customStyle="1" w:styleId="CopyrightText">
    <w:name w:val="Copyright Text"/>
    <w:basedOn w:val="BodyText"/>
    <w:rsid w:val="007C1679"/>
    <w:rPr>
      <w:sz w:val="18"/>
    </w:rPr>
  </w:style>
  <w:style w:type="paragraph" w:customStyle="1" w:styleId="BodySmallRight">
    <w:name w:val="Body Small Right"/>
    <w:basedOn w:val="BodyTextRight"/>
    <w:rsid w:val="007C1679"/>
    <w:rPr>
      <w:sz w:val="18"/>
      <w:szCs w:val="18"/>
    </w:rPr>
  </w:style>
  <w:style w:type="paragraph" w:customStyle="1" w:styleId="MarginEdition">
    <w:name w:val="Margin Edition"/>
    <w:basedOn w:val="MarginNote"/>
    <w:rsid w:val="007C1679"/>
    <w:pPr>
      <w:spacing w:before="0" w:after="0"/>
    </w:pPr>
    <w:rPr>
      <w:rFonts w:ascii="Times New Roman" w:hAnsi="Times New Roman"/>
      <w:color w:val="999999"/>
    </w:rPr>
  </w:style>
  <w:style w:type="paragraph" w:customStyle="1" w:styleId="Spacer">
    <w:name w:val="Spacer"/>
    <w:basedOn w:val="Normal"/>
    <w:rsid w:val="007C1679"/>
    <w:rPr>
      <w:sz w:val="2"/>
      <w:szCs w:val="2"/>
    </w:rPr>
  </w:style>
  <w:style w:type="character" w:customStyle="1" w:styleId="Small">
    <w:name w:val="Small"/>
    <w:basedOn w:val="DefaultParagraphFont"/>
    <w:rsid w:val="007C1679"/>
    <w:rPr>
      <w:sz w:val="16"/>
    </w:rPr>
  </w:style>
  <w:style w:type="paragraph" w:customStyle="1" w:styleId="WideTable">
    <w:name w:val="Wide Table"/>
    <w:basedOn w:val="Normal"/>
    <w:rsid w:val="007C1679"/>
    <w:pPr>
      <w:ind w:left="-1418"/>
    </w:pPr>
    <w:rPr>
      <w:sz w:val="2"/>
      <w:szCs w:val="2"/>
    </w:rPr>
  </w:style>
  <w:style w:type="character" w:styleId="PageNumber">
    <w:name w:val="page number"/>
    <w:basedOn w:val="DefaultParagraphFont"/>
    <w:rsid w:val="007C1679"/>
  </w:style>
  <w:style w:type="paragraph" w:styleId="Quote">
    <w:name w:val="Quote"/>
    <w:basedOn w:val="Heading1"/>
    <w:link w:val="QuoteChar"/>
    <w:qFormat/>
    <w:rsid w:val="007C1679"/>
    <w:rPr>
      <w:b w:val="0"/>
      <w:sz w:val="72"/>
      <w:szCs w:val="72"/>
      <w:lang w:val="en-NZ"/>
    </w:rPr>
  </w:style>
  <w:style w:type="character" w:customStyle="1" w:styleId="QuoteChar">
    <w:name w:val="Quote Char"/>
    <w:basedOn w:val="DefaultParagraphFont"/>
    <w:link w:val="Quote"/>
    <w:rsid w:val="007C16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679"/>
    <w:pPr>
      <w:pageBreakBefore/>
    </w:pPr>
  </w:style>
  <w:style w:type="paragraph" w:customStyle="1" w:styleId="Border">
    <w:name w:val="Border"/>
    <w:basedOn w:val="Normal"/>
    <w:qFormat/>
    <w:rsid w:val="007C16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679"/>
    <w:rPr>
      <w:b/>
      <w:bCs/>
      <w:i/>
      <w:iCs/>
      <w:color w:val="auto"/>
    </w:rPr>
  </w:style>
  <w:style w:type="paragraph" w:styleId="IntenseQuote">
    <w:name w:val="Intense Quote"/>
    <w:basedOn w:val="Normal"/>
    <w:next w:val="Normal"/>
    <w:link w:val="IntenseQuoteChar"/>
    <w:uiPriority w:val="30"/>
    <w:qFormat/>
    <w:rsid w:val="007C16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6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679"/>
    <w:rPr>
      <w:smallCaps/>
      <w:color w:val="auto"/>
      <w:u w:val="single"/>
    </w:rPr>
  </w:style>
  <w:style w:type="character" w:styleId="IntenseReference">
    <w:name w:val="Intense Reference"/>
    <w:basedOn w:val="DefaultParagraphFont"/>
    <w:uiPriority w:val="32"/>
    <w:qFormat/>
    <w:rsid w:val="007C1679"/>
    <w:rPr>
      <w:b/>
      <w:bCs/>
      <w:smallCaps/>
      <w:color w:val="auto"/>
      <w:spacing w:val="5"/>
      <w:u w:val="single"/>
    </w:rPr>
  </w:style>
  <w:style w:type="paragraph" w:customStyle="1" w:styleId="2ColumnHeading">
    <w:name w:val="2Column Heading"/>
    <w:basedOn w:val="BodyText"/>
    <w:qFormat/>
    <w:rsid w:val="007C1679"/>
    <w:pPr>
      <w:spacing w:after="60"/>
      <w:ind w:left="-2268"/>
    </w:pPr>
    <w:rPr>
      <w:b/>
    </w:rPr>
  </w:style>
  <w:style w:type="paragraph" w:customStyle="1" w:styleId="Heading1TOC">
    <w:name w:val="Heading1 TOC"/>
    <w:basedOn w:val="Normal"/>
    <w:qFormat/>
    <w:rsid w:val="007C1679"/>
    <w:pPr>
      <w:spacing w:before="240" w:after="120"/>
    </w:pPr>
    <w:rPr>
      <w:rFonts w:ascii="Times New Roman" w:hAnsi="Times New Roman"/>
      <w:b/>
      <w:sz w:val="32"/>
    </w:rPr>
  </w:style>
  <w:style w:type="paragraph" w:customStyle="1" w:styleId="Heading2TOC">
    <w:name w:val="Heading2 TOC"/>
    <w:basedOn w:val="Normal"/>
    <w:qFormat/>
    <w:rsid w:val="007C1679"/>
    <w:pPr>
      <w:spacing w:before="240" w:after="60"/>
    </w:pPr>
    <w:rPr>
      <w:rFonts w:ascii="Times New Roman" w:hAnsi="Times New Roman"/>
      <w:b/>
      <w:sz w:val="28"/>
    </w:rPr>
  </w:style>
  <w:style w:type="character" w:customStyle="1" w:styleId="Underline">
    <w:name w:val="Underline"/>
    <w:basedOn w:val="DefaultParagraphFont"/>
    <w:qFormat/>
    <w:rsid w:val="007C1679"/>
    <w:rPr>
      <w:u w:val="single"/>
    </w:rPr>
  </w:style>
  <w:style w:type="character" w:customStyle="1" w:styleId="BoldandItalics">
    <w:name w:val="Bold and Italics"/>
    <w:qFormat/>
    <w:rsid w:val="007C1679"/>
    <w:rPr>
      <w:b/>
      <w:i/>
      <w:u w:val="none"/>
    </w:rPr>
  </w:style>
  <w:style w:type="paragraph" w:styleId="BalloonText">
    <w:name w:val="Balloon Text"/>
    <w:basedOn w:val="Normal"/>
    <w:link w:val="BalloonTextChar"/>
    <w:rsid w:val="007C1679"/>
    <w:rPr>
      <w:rFonts w:ascii="Tahoma" w:hAnsi="Tahoma" w:cs="Tahoma"/>
      <w:sz w:val="16"/>
      <w:szCs w:val="16"/>
    </w:rPr>
  </w:style>
  <w:style w:type="character" w:customStyle="1" w:styleId="BalloonTextChar">
    <w:name w:val="Balloon Text Char"/>
    <w:basedOn w:val="DefaultParagraphFont"/>
    <w:link w:val="BalloonText"/>
    <w:rsid w:val="007C16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6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16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679"/>
    <w:rPr>
      <w:b/>
      <w:color w:val="660033"/>
      <w:spacing w:val="0"/>
    </w:rPr>
  </w:style>
  <w:style w:type="paragraph" w:customStyle="1" w:styleId="Nameditemlist">
    <w:name w:val="Named item list"/>
    <w:basedOn w:val="BodyText"/>
    <w:qFormat/>
    <w:rsid w:val="007C16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2537</Words>
  <Characters>15991</Characters>
  <Application>Microsoft Office Word</Application>
  <DocSecurity>0</DocSecurity>
  <Lines>550</Lines>
  <Paragraphs>237</Paragraphs>
  <ScaleCrop>false</ScaleCrop>
  <Company>Author-it Software Corporation Ltd.</Company>
  <LinksUpToDate>false</LinksUpToDate>
  <CharactersWithSpaces>18350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UEENEEN108A Install and maintain power operated point actuating devices</dc:title>
  <dc:subject>Approved</dc:subject>
  <dc:creator>E-OZ Training Standards</dc:creator>
  <cp:keywords>Release: 2</cp:keywords>
  <dc:description>Review Date: 12 April 2008</dc:description>
  <cp:lastModifiedBy>HSD_TPCMSd.prod</cp:lastModifiedBy>
  <cp:revision>3</cp:revision>
  <dcterms:created xsi:type="dcterms:W3CDTF">2013-08-14T07:10:00Z</dcterms:created>
  <dcterms:modified xsi:type="dcterms:W3CDTF">2013-08-14T07:10:00Z</dcterms:modified>
</cp:coreProperties>
</file>