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04E" w:rsidP="00E6304E">
      <w:pPr>
        <w:pStyle w:val="Title"/>
      </w:pPr>
      <w:r>
        <w:fldChar w:fldCharType="begin"/>
      </w:r>
      <w:r>
        <w:instrText xml:space="preserve"> TITLE   \* MERGEFORMAT </w:instrText>
      </w:r>
      <w:r>
        <w:fldChar w:fldCharType="separate"/>
      </w:r>
      <w:r>
        <w:t>UEENEEN107A Install and maintain active level crossing equipment</w:t>
      </w:r>
      <w:r>
        <w:fldChar w:fldCharType="end"/>
      </w:r>
    </w:p>
    <w:p w:rsidR="00E6304E" w:rsidP="00E6304E">
      <w:pPr>
        <w:pStyle w:val="Version"/>
        <w:sectPr w:rsidSect="003D2A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2AC1" w:rsidP="003D2AC1">
      <w:pPr>
        <w:pStyle w:val="SuperHeading"/>
      </w:pPr>
      <w:r w:rsidRPr="003D2AC1">
        <w:t>UEENEEN107A Install and maintain active level crossing equipment</w:t>
      </w:r>
    </w:p>
    <w:p w:rsidR="00000000" w:rsidRPr="003D2AC1" w:rsidP="003D2AC1">
      <w:pPr>
        <w:pStyle w:val="Heading1"/>
      </w:pPr>
      <w:bookmarkStart w:id="1" w:name="O_585710"/>
      <w:bookmarkEnd w:id="1"/>
      <w:r w:rsidRPr="003D2AC1">
        <w:t>Modification History</w:t>
      </w:r>
    </w:p>
    <w:p w:rsidR="00000000" w:rsidRPr="003D2AC1" w:rsidP="003D2AC1">
      <w:pPr>
        <w:pStyle w:val="BodyText"/>
      </w:pPr>
      <w:r w:rsidRPr="003D2AC1">
        <w:t>Not applicable.</w:t>
      </w:r>
    </w:p>
    <w:p w:rsidR="00000000" w:rsidRPr="003D2AC1" w:rsidP="003D2AC1">
      <w:pPr>
        <w:pStyle w:val="AllowPageBreak"/>
      </w:pPr>
    </w:p>
    <w:p w:rsidR="00000000" w:rsidRPr="003D2AC1" w:rsidP="003D2AC1">
      <w:pPr>
        <w:pStyle w:val="Heading1"/>
      </w:pPr>
      <w:bookmarkStart w:id="2" w:name="O_585709"/>
      <w:bookmarkEnd w:id="2"/>
      <w:r w:rsidRPr="003D2AC1">
        <w:t>Unit Descriptor</w:t>
      </w:r>
    </w:p>
    <w:tbl>
      <w:tblPr>
        <w:tblW w:w="0" w:type="auto"/>
        <w:tblLayout w:type="fixed"/>
        <w:tblCellMar>
          <w:left w:w="62" w:type="dxa"/>
          <w:right w:w="62" w:type="dxa"/>
        </w:tblCellMar>
        <w:tblLook w:val="0000"/>
      </w:tblPr>
      <w:tblGrid>
        <w:gridCol w:w="2700"/>
        <w:gridCol w:w="5760"/>
      </w:tblGrid>
      <w:tr w:rsidTr="00E630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1)</w:t>
            </w:r>
            <w:r w:rsidRPr="003D2AC1">
              <w:t xml:space="preserve"> </w:t>
            </w:r>
            <w:r w:rsidRPr="003D2AC1">
              <w:rPr>
                <w:rStyle w:val="SpecialBold"/>
              </w:rPr>
              <w:t>Scope:</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2AC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1.1) Descriptor</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This unit covers the installation and maintenance of active level crossing equipment on rail networks. It encompasses safe working, regulatory requirements and following work procedures, performing schedules maintenance findings and repairing faults, perfo</w:t>
            </w:r>
            <w:r w:rsidRPr="003D2AC1">
              <w:t>rming operational tests and reporting.</w:t>
            </w:r>
          </w:p>
        </w:tc>
      </w:tr>
    </w:tbl>
    <w:p w:rsidR="00000000" w:rsidRPr="003D2AC1" w:rsidP="003D2AC1">
      <w:pPr>
        <w:pStyle w:val="BodyText"/>
      </w:pPr>
    </w:p>
    <w:p w:rsidR="00000000" w:rsidRPr="003D2AC1" w:rsidP="003D2AC1">
      <w:pPr>
        <w:pStyle w:val="AllowPageBreak"/>
      </w:pPr>
    </w:p>
    <w:p w:rsidR="00000000" w:rsidRPr="003D2AC1" w:rsidP="003D2AC1">
      <w:pPr>
        <w:pStyle w:val="Heading1"/>
      </w:pPr>
      <w:bookmarkStart w:id="3" w:name="O_585708"/>
      <w:bookmarkEnd w:id="3"/>
      <w:r w:rsidRPr="003D2AC1">
        <w:t>Application of the Unit</w:t>
      </w:r>
    </w:p>
    <w:tbl>
      <w:tblPr>
        <w:tblW w:w="0" w:type="auto"/>
        <w:tblLayout w:type="fixed"/>
        <w:tblCellMar>
          <w:left w:w="62" w:type="dxa"/>
          <w:right w:w="62" w:type="dxa"/>
        </w:tblCellMar>
        <w:tblLook w:val="0000"/>
      </w:tblPr>
      <w:tblGrid>
        <w:gridCol w:w="2672"/>
        <w:gridCol w:w="5699"/>
      </w:tblGrid>
      <w:tr w:rsidTr="00E630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2)</w:t>
            </w:r>
          </w:p>
        </w:tc>
      </w:tr>
      <w:tr w:rsidTr="00E630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This unit shall apply to qualifications in installation and maintenance of rail signalling electrical power and control systems.</w:t>
            </w:r>
          </w:p>
        </w:tc>
      </w:tr>
    </w:tbl>
    <w:p w:rsidR="00000000" w:rsidRPr="003D2AC1" w:rsidP="003D2AC1">
      <w:pPr>
        <w:pStyle w:val="BodyText"/>
      </w:pPr>
    </w:p>
    <w:p w:rsidR="00000000" w:rsidRPr="003D2AC1" w:rsidP="003D2AC1">
      <w:pPr>
        <w:pStyle w:val="AllowPageBreak"/>
      </w:pPr>
    </w:p>
    <w:p w:rsidR="00000000" w:rsidRPr="003D2AC1" w:rsidP="003D2AC1">
      <w:pPr>
        <w:pStyle w:val="Heading1"/>
      </w:pPr>
      <w:bookmarkStart w:id="4" w:name="O_585707"/>
      <w:bookmarkEnd w:id="4"/>
      <w:r w:rsidRPr="003D2AC1">
        <w:t>Licensing/Regulatory Information</w:t>
      </w:r>
    </w:p>
    <w:tbl>
      <w:tblPr>
        <w:tblW w:w="0" w:type="auto"/>
        <w:tblLayout w:type="fixed"/>
        <w:tblCellMar>
          <w:left w:w="62" w:type="dxa"/>
          <w:right w:w="62" w:type="dxa"/>
        </w:tblCellMar>
        <w:tblLook w:val="0000"/>
      </w:tblPr>
      <w:tblGrid>
        <w:gridCol w:w="2700"/>
        <w:gridCol w:w="5760"/>
      </w:tblGrid>
      <w:tr w:rsidTr="00E630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 xml:space="preserve">3) </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The skills and knowledge described in this unit may only be practised in the workplace under regulations related to electrical work, the codes of practice and regulations of the State/Terri</w:t>
            </w:r>
            <w:r w:rsidRPr="003D2AC1">
              <w:t>tory in which the work is carried out. This includes codes of practice such as the ‘Code Of Practice for the Defined Interstate Rail Network’ for work carried out on that network.</w:t>
            </w:r>
          </w:p>
        </w:tc>
      </w:tr>
    </w:tbl>
    <w:p w:rsidR="00000000" w:rsidRPr="003D2AC1" w:rsidP="003D2AC1">
      <w:pPr>
        <w:pStyle w:val="BodyText"/>
      </w:pPr>
    </w:p>
    <w:p w:rsidR="00000000" w:rsidRPr="003D2AC1" w:rsidP="003D2AC1">
      <w:pPr>
        <w:pStyle w:val="AllowPageBreak"/>
      </w:pPr>
    </w:p>
    <w:p w:rsidR="00000000" w:rsidRPr="003D2AC1" w:rsidP="003D2AC1">
      <w:pPr>
        <w:pStyle w:val="Heading1"/>
      </w:pPr>
      <w:bookmarkStart w:id="5" w:name="O_585706"/>
      <w:bookmarkEnd w:id="5"/>
      <w:r w:rsidRPr="003D2AC1">
        <w:t>Pre-Requisites</w:t>
      </w:r>
    </w:p>
    <w:tbl>
      <w:tblPr>
        <w:tblW w:w="0" w:type="auto"/>
        <w:tblLayout w:type="fixed"/>
        <w:tblCellMar>
          <w:left w:w="62" w:type="dxa"/>
          <w:right w:w="62" w:type="dxa"/>
        </w:tblCellMar>
        <w:tblLook w:val="0000"/>
      </w:tblPr>
      <w:tblGrid>
        <w:gridCol w:w="2700"/>
        <w:gridCol w:w="1350"/>
        <w:gridCol w:w="4410"/>
      </w:tblGrid>
      <w:tr w:rsidTr="00E630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 xml:space="preserve">4) </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4.1)</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Granting competency in this unit shall be made only after competency in the following unit(s) has/have been confirmed.</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UEENEEN109A</w:t>
            </w:r>
          </w:p>
        </w:tc>
        <w:tc>
          <w:tcPr>
            <w:tcW w:w="441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Install and maintain train detection equipment</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AND</w:t>
            </w:r>
          </w:p>
        </w:tc>
        <w:tc>
          <w:tcPr>
            <w:tcW w:w="441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Relevant work place requirements in ‘Work site protection’</w:t>
            </w:r>
            <w:r w:rsidRPr="003D2AC1">
              <w:t xml:space="preserve"> have been acquired.</w:t>
            </w:r>
          </w:p>
        </w:tc>
      </w:tr>
    </w:tbl>
    <w:p w:rsidR="00000000" w:rsidRPr="003D2AC1" w:rsidP="003D2AC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6304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 xml:space="preserve">4.2) </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 xml:space="preserve">Participants are best equipped to achieve competency in this unit if they have reading, writing and numeracy skills indicated by the following </w:t>
            </w:r>
            <w:r w:rsidRPr="003D2AC1">
              <w:t>scales. Description of each scale is given in Volume 2, Part 3 ‘Literacy and Numeracy’</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Reading</w:t>
            </w:r>
          </w:p>
        </w:tc>
        <w:tc>
          <w:tcPr>
            <w:tcW w:w="81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4</w:t>
            </w:r>
          </w:p>
        </w:tc>
        <w:tc>
          <w:tcPr>
            <w:tcW w:w="99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Writing</w:t>
            </w: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4</w:t>
            </w:r>
          </w:p>
        </w:tc>
        <w:tc>
          <w:tcPr>
            <w:tcW w:w="12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Numeracy</w:t>
            </w:r>
          </w:p>
        </w:tc>
        <w:tc>
          <w:tcPr>
            <w:tcW w:w="72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4</w:t>
            </w:r>
          </w:p>
        </w:tc>
      </w:tr>
    </w:tbl>
    <w:p w:rsidR="00000000" w:rsidRPr="003D2AC1" w:rsidP="003D2AC1">
      <w:pPr>
        <w:pStyle w:val="BodyText"/>
      </w:pPr>
    </w:p>
    <w:p w:rsidR="00000000" w:rsidRPr="003D2AC1" w:rsidP="003D2AC1">
      <w:pPr>
        <w:pStyle w:val="AllowPageBreak"/>
      </w:pPr>
    </w:p>
    <w:p w:rsidR="00000000" w:rsidRPr="003D2AC1" w:rsidP="003D2AC1">
      <w:pPr>
        <w:pStyle w:val="Heading1"/>
      </w:pPr>
      <w:bookmarkStart w:id="6" w:name="O_585705"/>
      <w:bookmarkEnd w:id="6"/>
      <w:r w:rsidRPr="003D2AC1">
        <w:t>Employability Skills Information</w:t>
      </w:r>
    </w:p>
    <w:tbl>
      <w:tblPr>
        <w:tblW w:w="0" w:type="auto"/>
        <w:tblLayout w:type="fixed"/>
        <w:tblCellMar>
          <w:left w:w="62" w:type="dxa"/>
          <w:right w:w="62" w:type="dxa"/>
        </w:tblCellMar>
        <w:tblLook w:val="0000"/>
      </w:tblPr>
      <w:tblGrid>
        <w:gridCol w:w="2700"/>
        <w:gridCol w:w="5760"/>
      </w:tblGrid>
      <w:tr w:rsidTr="00E630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 xml:space="preserve">5) </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This unit contains Employability Skills</w:t>
            </w:r>
          </w:p>
          <w:p w:rsidR="00000000" w:rsidRPr="003D2AC1" w:rsidP="003D2AC1">
            <w:pPr>
              <w:pStyle w:val="BodyText"/>
            </w:pPr>
            <w:r w:rsidRPr="003D2AC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D2AC1">
              <w:t>requirements.</w:t>
            </w:r>
          </w:p>
        </w:tc>
      </w:tr>
    </w:tbl>
    <w:p w:rsidR="00000000" w:rsidRPr="003D2AC1" w:rsidP="003D2AC1">
      <w:pPr>
        <w:pStyle w:val="BodyText"/>
      </w:pPr>
    </w:p>
    <w:p w:rsidR="00000000" w:rsidRPr="003D2AC1" w:rsidP="003D2AC1">
      <w:pPr>
        <w:pStyle w:val="AllowPageBreak"/>
      </w:pPr>
    </w:p>
    <w:p w:rsidR="00000000" w:rsidRPr="003D2AC1" w:rsidP="003D2AC1">
      <w:pPr>
        <w:pStyle w:val="Heading1"/>
      </w:pPr>
      <w:bookmarkStart w:id="7" w:name="O_585704"/>
      <w:bookmarkEnd w:id="7"/>
      <w:r w:rsidRPr="003D2AC1">
        <w:t>Elements and Performance Criteria Pre-Content</w:t>
      </w:r>
    </w:p>
    <w:tbl>
      <w:tblPr>
        <w:tblW w:w="0" w:type="auto"/>
        <w:tblLayout w:type="fixed"/>
        <w:tblCellMar>
          <w:left w:w="62" w:type="dxa"/>
          <w:right w:w="62" w:type="dxa"/>
        </w:tblCellMar>
        <w:tblLook w:val="0000"/>
      </w:tblPr>
      <w:tblGrid>
        <w:gridCol w:w="2700"/>
        <w:gridCol w:w="5760"/>
      </w:tblGrid>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6)</w:t>
            </w:r>
            <w:r w:rsidRPr="003D2AC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Performance Criteria describe the required performance needed to demonstrate achievement of the element</w:t>
            </w:r>
            <w:r w:rsidRPr="003D2AC1">
              <w:t>. Assessment of performance is to be consistent with the Evidence Guide.</w:t>
            </w:r>
          </w:p>
        </w:tc>
      </w:tr>
    </w:tbl>
    <w:p w:rsidR="00000000" w:rsidRPr="003D2AC1" w:rsidP="003D2AC1">
      <w:pPr>
        <w:pStyle w:val="BodyText"/>
      </w:pPr>
    </w:p>
    <w:p w:rsidR="00000000" w:rsidRPr="003D2AC1" w:rsidP="003D2AC1">
      <w:pPr>
        <w:pStyle w:val="AllowPageBreak"/>
      </w:pPr>
    </w:p>
    <w:p w:rsidR="00000000" w:rsidRPr="003D2AC1" w:rsidP="003D2AC1">
      <w:pPr>
        <w:pStyle w:val="Heading1"/>
      </w:pPr>
      <w:bookmarkStart w:id="8" w:name="O_585703"/>
      <w:bookmarkEnd w:id="8"/>
      <w:r w:rsidRPr="003D2AC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630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PERFORMANCE CRITERIA</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1</w:t>
            </w:r>
          </w:p>
        </w:tc>
        <w:tc>
          <w:tcPr>
            <w:tcW w:w="2296"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Prepare to install and maintain active level crossing equipment</w:t>
            </w: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1.1</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OHS procedures for a given work area are identified, obtained and understood.</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1.2</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Established OHS risk control measures and procedures are followed in preparation for the work.</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1.3</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The extent of installation and/or maintenance is determined from maintenance schedules, job specifications, drawings and regulatory requirements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1.4</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Appropriate personnel are consulted to ensure the work is coordinated effectively with others to minimis</w:t>
            </w:r>
            <w:r w:rsidRPr="003D2AC1">
              <w:t>e traffic disruption</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1.5</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Materials needed for the installation and/or maintenance work are obtained in accordance with established procedures and checked against job requirements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1.6</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Tools, equipment and testing devices needed for the installation an</w:t>
            </w:r>
            <w:r w:rsidRPr="003D2AC1">
              <w:t>d/or maintenance work are obtained in accordance with established procedures and checked for correct operation and safety.</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w:t>
            </w:r>
          </w:p>
        </w:tc>
        <w:tc>
          <w:tcPr>
            <w:tcW w:w="2296"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Install and maintain active level crossing equipment</w:t>
            </w: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2.1</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OHS risk control measures and procedures for carrying out the work are followed.</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2.2</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The correct functioning of equipment is established from relevant technical manuals and operating instructions to identify accessible operating requirements.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2.3</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Equ</w:t>
            </w:r>
            <w:r w:rsidRPr="003D2AC1">
              <w:t>ipment and components are cleaned, lubricated and adjusted to specified standards.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2.4</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Equipment/component abnormalities are identified and appropriate remedial action is taken to ensure equipment conforms and performs to technical specifications.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2.5</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Installation and maintenance is performed efficiently without waste of materials or damage to apparatus and the surrounding environment or services and using sustainable energy practices.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2.6</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Equipment faults and/or damage to equipment are identifie</w:t>
            </w:r>
            <w:r w:rsidRPr="003D2AC1">
              <w:t>d using efficient fault finding and diagnostic techniques, including fault indicators, error codes and maintenance records.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2.7</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Equipment faults and/or damage to equipment are identified using efficient fault finding and diagnostic techniques, including</w:t>
            </w:r>
            <w:r w:rsidRPr="003D2AC1">
              <w:t xml:space="preserve"> fault indicators, error codes and maintenance records.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2.8</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Installation and maintenance are performed using appropriate tools and test equipment to ensure signalling equipment operates to required technical and operational standards.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2.9</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Faulty, worn, damaged or insecure components are replaced, repaired or secured to conform to manufacturers and workplace requirements.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2.10</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Methods for dealing with unexpected situations are selected on the basis of safety and specified work outcomes.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2.11</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Fault finding and repairs are carried out efficiently without waste of materials or damage to apparatus and the surrounding environment or services and using sustainable energy practices.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2.12</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Equipment is tested and adjusted using appropriate te</w:t>
            </w:r>
            <w:r w:rsidRPr="003D2AC1">
              <w:t>st equipment and procedures to ensure it operates within the specified technical parameters.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2.13</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Level crossing lamp alignments are carried out as part of the testing and adjusting procedures where appropriate.</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3</w:t>
            </w:r>
          </w:p>
        </w:tc>
        <w:tc>
          <w:tcPr>
            <w:tcW w:w="2296"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Complete the installation and maintenance of active level crossing equipment</w:t>
            </w: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3.1</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OHS work completion risk control measures and procedures are followed.</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3.2</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Equipment is taken out of service/brought back into use as appropriate, and required documentatio</w:t>
            </w:r>
            <w:r w:rsidRPr="003D2AC1">
              <w:t>n is completed to conform to workplace requirements.</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3.3</w:t>
            </w:r>
          </w:p>
        </w:tc>
        <w:tc>
          <w:tcPr>
            <w:tcW w:w="48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Documentation required by the organisation is completed to ensure accurate maintenance records are maintained, and relevant reports produced.</w:t>
            </w:r>
          </w:p>
        </w:tc>
      </w:tr>
      <w:tr w:rsidTr="00E630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t>3.4</w:t>
            </w:r>
          </w:p>
        </w:tc>
        <w:tc>
          <w:tcPr>
            <w:tcW w:w="486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Work site/equipment is reinstated to organisati</w:t>
            </w:r>
            <w:r w:rsidRPr="003D2AC1">
              <w:t>on requirements and faulty components are tagged, recorded and despatched for repair/replacement.</w:t>
            </w:r>
          </w:p>
        </w:tc>
      </w:tr>
    </w:tbl>
    <w:p w:rsidR="00000000" w:rsidRPr="003D2AC1" w:rsidP="003D2AC1">
      <w:pPr>
        <w:pStyle w:val="BodyText"/>
      </w:pPr>
    </w:p>
    <w:p w:rsidR="00000000" w:rsidRPr="003D2AC1" w:rsidP="003D2AC1">
      <w:pPr>
        <w:pStyle w:val="AllowPageBreak"/>
      </w:pPr>
    </w:p>
    <w:p w:rsidR="00000000" w:rsidRPr="003D2AC1" w:rsidP="003D2AC1">
      <w:pPr>
        <w:pStyle w:val="Heading1"/>
      </w:pPr>
      <w:bookmarkStart w:id="9" w:name="O_585702"/>
      <w:bookmarkEnd w:id="9"/>
      <w:r w:rsidRPr="003D2AC1">
        <w:t>Required Skills and Knowledge</w:t>
      </w:r>
    </w:p>
    <w:tbl>
      <w:tblPr>
        <w:tblW w:w="0" w:type="auto"/>
        <w:tblLayout w:type="fixed"/>
        <w:tblCellMar>
          <w:left w:w="62" w:type="dxa"/>
          <w:right w:w="62" w:type="dxa"/>
        </w:tblCellMar>
        <w:tblLook w:val="0000"/>
      </w:tblPr>
      <w:tblGrid>
        <w:gridCol w:w="8460"/>
      </w:tblGrid>
      <w:tr w:rsidTr="00E630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REQUIRED SKILLS AND KNOWLEDGE</w:t>
            </w:r>
          </w:p>
        </w:tc>
      </w:tr>
      <w:tr w:rsidTr="00E6304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8)</w:t>
            </w:r>
            <w:r w:rsidRPr="003D2AC1">
              <w:t xml:space="preserve">  This describes the essential skills and knowledge and their level, required for this unit.</w:t>
            </w:r>
          </w:p>
          <w:p w:rsidR="00000000" w:rsidRPr="003D2AC1" w:rsidP="003D2AC1">
            <w:pPr>
              <w:pStyle w:val="BodyText"/>
            </w:pPr>
            <w:r w:rsidRPr="003D2AC1">
              <w:t>Evidence shall show that knowledge has been acquired of safe working practices and maintaining active level crossing equipment.</w:t>
            </w:r>
          </w:p>
          <w:p w:rsidR="00000000" w:rsidRPr="003D2AC1" w:rsidP="003D2AC1">
            <w:pPr>
              <w:pStyle w:val="BodyText"/>
            </w:pPr>
            <w:r w:rsidRPr="003D2AC1">
              <w:t>All knowledge and skills detailed i</w:t>
            </w:r>
            <w:r w:rsidRPr="003D2AC1">
              <w:t>n this unit should be contextualised to current industry practices and technologies.</w:t>
            </w:r>
          </w:p>
          <w:p w:rsidR="00000000" w:rsidRPr="003D2AC1" w:rsidP="003D2AC1">
            <w:pPr>
              <w:pStyle w:val="BodyText"/>
            </w:pPr>
            <w:r w:rsidRPr="003D2AC1">
              <w:rPr>
                <w:rStyle w:val="SpecialBold"/>
              </w:rPr>
              <w:t>KS01-EN107A                       Active level crossing equipment installation and maintenance</w:t>
            </w:r>
          </w:p>
          <w:p w:rsidR="00000000" w:rsidRPr="003D2AC1" w:rsidP="003D2AC1">
            <w:pPr>
              <w:pStyle w:val="BodyText"/>
            </w:pPr>
            <w:r w:rsidRPr="003D2AC1">
              <w:t>Evidence shall show an understanding of active level crossing equipment inst</w:t>
            </w:r>
            <w:r w:rsidRPr="003D2AC1">
              <w:t>allation and maintenance, applying safe working practices and relevant Standards, Codes and Regulations to an extent indicated by the following aspects:</w:t>
            </w:r>
          </w:p>
          <w:p w:rsidR="00000000" w:rsidRPr="003D2AC1" w:rsidP="003D2AC1">
            <w:pPr>
              <w:pStyle w:val="BodyText"/>
            </w:pPr>
            <w:r w:rsidRPr="003D2AC1">
              <w:t>Rail signalling, active level crossing equipment</w:t>
            </w:r>
          </w:p>
          <w:p w:rsidR="00000000" w:rsidRPr="003D2AC1" w:rsidP="003D2AC1">
            <w:pPr>
              <w:pStyle w:val="BodyText"/>
            </w:pPr>
            <w:r w:rsidRPr="003D2AC1">
              <w:t>Servicing procedures encompassing:</w:t>
            </w:r>
          </w:p>
          <w:p w:rsidR="00000000" w:rsidRPr="003D2AC1" w:rsidP="003D2AC1">
            <w:pPr>
              <w:pStyle w:val="BodyText"/>
            </w:pPr>
            <w:r w:rsidRPr="003D2AC1">
              <w:t>Maintenance documen</w:t>
            </w:r>
            <w:r w:rsidRPr="003D2AC1">
              <w:t>tation</w:t>
            </w:r>
          </w:p>
          <w:p w:rsidR="00000000" w:rsidRPr="003D2AC1" w:rsidP="003D2AC1">
            <w:pPr>
              <w:pStyle w:val="BodyText"/>
            </w:pPr>
            <w:r w:rsidRPr="003D2AC1">
              <w:t>Coordination/planning sequence</w:t>
            </w:r>
          </w:p>
          <w:p w:rsidR="00000000" w:rsidRPr="003D2AC1" w:rsidP="003D2AC1">
            <w:pPr>
              <w:pStyle w:val="BodyText"/>
            </w:pPr>
            <w:r w:rsidRPr="003D2AC1">
              <w:t>Operational test procedures</w:t>
            </w:r>
          </w:p>
          <w:p w:rsidR="00000000" w:rsidRPr="003D2AC1" w:rsidP="003D2AC1">
            <w:pPr>
              <w:pStyle w:val="BodyText"/>
            </w:pPr>
            <w:r w:rsidRPr="003D2AC1">
              <w:t>Scheduled / preventative maintenance</w:t>
            </w:r>
          </w:p>
          <w:p w:rsidR="00000000" w:rsidRPr="003D2AC1" w:rsidP="003D2AC1">
            <w:pPr>
              <w:pStyle w:val="BodyText"/>
            </w:pPr>
            <w:r w:rsidRPr="003D2AC1">
              <w:t>Unscheduled / corrective maintenance</w:t>
            </w:r>
          </w:p>
          <w:p w:rsidR="00000000" w:rsidRPr="003D2AC1" w:rsidP="003D2AC1">
            <w:pPr>
              <w:pStyle w:val="BodyText"/>
            </w:pPr>
            <w:r w:rsidRPr="003D2AC1">
              <w:t>Certifying power supply equipment (commission and de-commission).</w:t>
            </w:r>
          </w:p>
          <w:p w:rsidR="00000000" w:rsidRPr="003D2AC1" w:rsidP="003D2AC1">
            <w:pPr>
              <w:pStyle w:val="BodyText"/>
            </w:pPr>
            <w:r w:rsidRPr="003D2AC1">
              <w:t>Note:</w:t>
            </w:r>
          </w:p>
          <w:p w:rsidR="00000000" w:rsidRPr="003D2AC1" w:rsidP="003D2AC1">
            <w:pPr>
              <w:pStyle w:val="BodyText"/>
            </w:pPr>
            <w:r w:rsidRPr="003D2AC1">
              <w:t>Certifying procedures are only applicable fo</w:t>
            </w:r>
            <w:r w:rsidRPr="003D2AC1">
              <w:t>r compliance with rail operator and/or enterprise standards.</w:t>
            </w:r>
          </w:p>
          <w:p w:rsidR="00000000" w:rsidRPr="003D2AC1" w:rsidP="003D2AC1">
            <w:pPr>
              <w:pStyle w:val="BodyText"/>
            </w:pPr>
          </w:p>
          <w:p w:rsidR="00000000" w:rsidRPr="003D2AC1" w:rsidP="003D2AC1">
            <w:pPr>
              <w:pStyle w:val="BodyText"/>
            </w:pPr>
            <w:r w:rsidRPr="003D2AC1">
              <w:t>Equipment and their components encompassing:</w:t>
            </w:r>
          </w:p>
          <w:p w:rsidR="00000000" w:rsidRPr="003D2AC1" w:rsidP="003D2AC1">
            <w:pPr>
              <w:pStyle w:val="BodyText"/>
            </w:pPr>
            <w:r w:rsidRPr="003D2AC1">
              <w:t>Flashing lights</w:t>
            </w:r>
          </w:p>
          <w:p w:rsidR="00000000" w:rsidRPr="003D2AC1" w:rsidP="003D2AC1">
            <w:pPr>
              <w:pStyle w:val="BodyText"/>
            </w:pPr>
            <w:r w:rsidRPr="003D2AC1">
              <w:t>Audible warning devices</w:t>
            </w:r>
          </w:p>
          <w:p w:rsidR="00000000" w:rsidRPr="003D2AC1" w:rsidP="003D2AC1">
            <w:pPr>
              <w:pStyle w:val="BodyText"/>
            </w:pPr>
            <w:r w:rsidRPr="003D2AC1">
              <w:t>Boom gate/barrier</w:t>
            </w:r>
          </w:p>
          <w:p w:rsidR="00000000" w:rsidRPr="003D2AC1" w:rsidP="003D2AC1">
            <w:pPr>
              <w:pStyle w:val="BodyText"/>
            </w:pPr>
            <w:r w:rsidRPr="003D2AC1">
              <w:t>Pedestrian gate/barrier</w:t>
            </w:r>
          </w:p>
          <w:p w:rsidR="00000000" w:rsidRPr="003D2AC1" w:rsidP="003D2AC1">
            <w:pPr>
              <w:pStyle w:val="BodyText"/>
            </w:pPr>
            <w:r w:rsidRPr="003D2AC1">
              <w:t>Relay operation</w:t>
            </w:r>
          </w:p>
          <w:p w:rsidR="00000000" w:rsidRPr="003D2AC1" w:rsidP="003D2AC1">
            <w:pPr>
              <w:pStyle w:val="BodyText"/>
            </w:pPr>
            <w:r w:rsidRPr="003D2AC1">
              <w:t>Crossing predictor</w:t>
            </w:r>
          </w:p>
          <w:p w:rsidR="00000000" w:rsidRPr="003D2AC1" w:rsidP="003D2AC1">
            <w:pPr>
              <w:pStyle w:val="BodyText"/>
            </w:pPr>
            <w:r w:rsidRPr="003D2AC1">
              <w:t>Operation alarm monitoring</w:t>
            </w:r>
          </w:p>
          <w:p w:rsidR="00000000" w:rsidRPr="003D2AC1" w:rsidP="003D2AC1">
            <w:pPr>
              <w:pStyle w:val="BodyText"/>
            </w:pPr>
            <w:r w:rsidRPr="003D2AC1">
              <w:t>Traffic light interfaces.</w:t>
            </w:r>
          </w:p>
          <w:p w:rsidR="00000000" w:rsidRPr="003D2AC1" w:rsidP="003D2AC1">
            <w:pPr>
              <w:pStyle w:val="BodyText"/>
            </w:pPr>
            <w:r w:rsidRPr="003D2AC1">
              <w:t>Operating principles and parameters encompassing:</w:t>
            </w:r>
          </w:p>
          <w:p w:rsidR="00000000" w:rsidRPr="003D2AC1" w:rsidP="003D2AC1">
            <w:pPr>
              <w:pStyle w:val="BodyText"/>
            </w:pPr>
            <w:r w:rsidRPr="003D2AC1">
              <w:t>Single line control</w:t>
            </w:r>
          </w:p>
          <w:p w:rsidR="00000000" w:rsidRPr="003D2AC1" w:rsidP="003D2AC1">
            <w:pPr>
              <w:pStyle w:val="BodyText"/>
            </w:pPr>
            <w:r w:rsidRPr="003D2AC1">
              <w:t>Double line control</w:t>
            </w:r>
          </w:p>
          <w:p w:rsidR="00000000" w:rsidRPr="003D2AC1" w:rsidP="003D2AC1">
            <w:pPr>
              <w:pStyle w:val="BodyText"/>
            </w:pPr>
            <w:r w:rsidRPr="003D2AC1">
              <w:t>Special controls</w:t>
            </w:r>
          </w:p>
          <w:p w:rsidR="00000000" w:rsidRPr="003D2AC1" w:rsidP="003D2AC1">
            <w:pPr>
              <w:pStyle w:val="BodyText"/>
            </w:pPr>
            <w:r w:rsidRPr="003D2AC1">
              <w:t>Processor controls</w:t>
            </w:r>
          </w:p>
          <w:p w:rsidR="00000000" w:rsidRPr="003D2AC1" w:rsidP="003D2AC1">
            <w:pPr>
              <w:pStyle w:val="BodyText"/>
            </w:pPr>
            <w:r w:rsidRPr="003D2AC1">
              <w:t>Remote alarm monitoring</w:t>
            </w:r>
          </w:p>
          <w:p w:rsidR="00000000" w:rsidRPr="003D2AC1" w:rsidP="003D2AC1">
            <w:pPr>
              <w:pStyle w:val="BodyText"/>
            </w:pPr>
            <w:r w:rsidRPr="003D2AC1">
              <w:t>Failure modes</w:t>
            </w:r>
          </w:p>
          <w:p w:rsidR="00000000" w:rsidRPr="003D2AC1" w:rsidP="003D2AC1">
            <w:pPr>
              <w:pStyle w:val="BodyText"/>
            </w:pPr>
            <w:r w:rsidRPr="003D2AC1">
              <w:t>Emergency operation</w:t>
            </w:r>
          </w:p>
          <w:p w:rsidR="00000000" w:rsidRPr="003D2AC1" w:rsidP="003D2AC1">
            <w:pPr>
              <w:pStyle w:val="BodyText"/>
            </w:pPr>
            <w:r w:rsidRPr="003D2AC1">
              <w:t>Interpreting circuits diagrams to evaluate cor</w:t>
            </w:r>
            <w:r w:rsidRPr="003D2AC1">
              <w:t>rect operation and relationship to other signalling circuits</w:t>
            </w:r>
          </w:p>
          <w:p w:rsidR="00000000" w:rsidRPr="003D2AC1" w:rsidP="003D2AC1">
            <w:pPr>
              <w:pStyle w:val="BodyText"/>
            </w:pPr>
            <w:r w:rsidRPr="003D2AC1">
              <w:t>Correct operation in accordance with control and locking tables.</w:t>
            </w:r>
          </w:p>
          <w:p w:rsidR="00000000" w:rsidRPr="003D2AC1" w:rsidP="003D2AC1">
            <w:pPr>
              <w:pStyle w:val="BodyText"/>
            </w:pPr>
            <w:r w:rsidRPr="003D2AC1">
              <w:t>Servicing procedures encompassing:</w:t>
            </w:r>
          </w:p>
          <w:p w:rsidR="00000000" w:rsidRPr="003D2AC1" w:rsidP="003D2AC1">
            <w:pPr>
              <w:pStyle w:val="BodyText"/>
            </w:pPr>
            <w:r w:rsidRPr="003D2AC1">
              <w:t>Maintenance documentation</w:t>
            </w:r>
          </w:p>
          <w:p w:rsidR="00000000" w:rsidRPr="003D2AC1" w:rsidP="003D2AC1">
            <w:pPr>
              <w:pStyle w:val="BodyText"/>
            </w:pPr>
            <w:r w:rsidRPr="003D2AC1">
              <w:t>Coordination/planning sequence</w:t>
            </w:r>
          </w:p>
          <w:p w:rsidR="00000000" w:rsidRPr="003D2AC1" w:rsidP="003D2AC1">
            <w:pPr>
              <w:pStyle w:val="BodyText"/>
            </w:pPr>
            <w:r w:rsidRPr="003D2AC1">
              <w:t>Operational test procedures</w:t>
            </w:r>
          </w:p>
          <w:p w:rsidR="00000000" w:rsidRPr="003D2AC1" w:rsidP="003D2AC1">
            <w:pPr>
              <w:pStyle w:val="BodyText"/>
            </w:pPr>
            <w:r w:rsidRPr="003D2AC1">
              <w:t>Scheduled/</w:t>
            </w:r>
            <w:r w:rsidRPr="003D2AC1">
              <w:t>preventative maintenance</w:t>
            </w:r>
          </w:p>
          <w:p w:rsidR="00000000" w:rsidRPr="003D2AC1" w:rsidP="003D2AC1">
            <w:pPr>
              <w:pStyle w:val="BodyText"/>
            </w:pPr>
            <w:r w:rsidRPr="003D2AC1">
              <w:t>Unscheduled/corrective maintenance</w:t>
            </w:r>
          </w:p>
          <w:p w:rsidR="00000000" w:rsidRPr="003D2AC1" w:rsidP="003D2AC1">
            <w:pPr>
              <w:pStyle w:val="BodyText"/>
            </w:pPr>
            <w:r w:rsidRPr="003D2AC1">
              <w:t>Certification of active level crossing equipment (commission/ de-commission).</w:t>
            </w:r>
          </w:p>
          <w:p w:rsidR="00000000" w:rsidRPr="003D2AC1" w:rsidP="003D2AC1">
            <w:pPr>
              <w:pStyle w:val="BodyText"/>
            </w:pPr>
            <w:r w:rsidRPr="003D2AC1">
              <w:t>Note:</w:t>
            </w:r>
          </w:p>
          <w:p w:rsidR="00000000" w:rsidRPr="003D2AC1" w:rsidP="003D2AC1">
            <w:pPr>
              <w:pStyle w:val="BodyText"/>
            </w:pPr>
            <w:r w:rsidRPr="003D2AC1">
              <w:t>Certifying procedures are only applicable for compliance with rail operator and/or enterprise standards.</w:t>
            </w:r>
          </w:p>
        </w:tc>
      </w:tr>
    </w:tbl>
    <w:p w:rsidR="00000000" w:rsidRPr="003D2AC1" w:rsidP="003D2AC1">
      <w:pPr>
        <w:pStyle w:val="BodyText"/>
      </w:pPr>
    </w:p>
    <w:p w:rsidR="00000000" w:rsidRPr="003D2AC1" w:rsidP="003D2AC1">
      <w:pPr>
        <w:pStyle w:val="AllowPageBreak"/>
      </w:pPr>
    </w:p>
    <w:p w:rsidR="00000000" w:rsidRPr="003D2AC1" w:rsidP="003D2AC1">
      <w:pPr>
        <w:pStyle w:val="Heading1"/>
      </w:pPr>
      <w:bookmarkStart w:id="10" w:name="O_585701"/>
      <w:bookmarkEnd w:id="10"/>
      <w:r w:rsidRPr="003D2AC1">
        <w:t>Evidence Guide</w:t>
      </w:r>
    </w:p>
    <w:tbl>
      <w:tblPr>
        <w:tblW w:w="0" w:type="auto"/>
        <w:tblLayout w:type="fixed"/>
        <w:tblCellMar>
          <w:left w:w="62" w:type="dxa"/>
          <w:right w:w="62" w:type="dxa"/>
        </w:tblCellMar>
        <w:tblLook w:val="0000"/>
      </w:tblPr>
      <w:tblGrid>
        <w:gridCol w:w="8460"/>
      </w:tblGrid>
      <w:tr w:rsidTr="00E630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EVIDENCE GUIDE</w:t>
            </w:r>
          </w:p>
        </w:tc>
      </w:tr>
      <w:tr w:rsidTr="00E630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9)</w:t>
            </w:r>
            <w:r w:rsidRPr="003D2AC1">
              <w:t xml:space="preserve">  The evidence guide provides advice on assessment and must be read in conjunction with the Performance Criteria, Required Skills and Knowledge, the Range Statement and the Assessment Guidelines for this Tra</w:t>
            </w:r>
            <w:r w:rsidRPr="003D2AC1">
              <w:t>ining Package.</w:t>
            </w:r>
          </w:p>
          <w:p w:rsidR="00000000" w:rsidRPr="003D2AC1" w:rsidP="003D2AC1">
            <w:pPr>
              <w:pStyle w:val="BodyText"/>
            </w:pPr>
            <w:r w:rsidRPr="003D2AC1">
              <w:t>The Evidence Guide forms an integral part of this unit. It must be used in conjunction with all components parts of this unit and performed in accordance with the Assessment Guidelines of this Training Package.</w:t>
            </w:r>
          </w:p>
        </w:tc>
      </w:tr>
    </w:tbl>
    <w:p w:rsidR="00000000" w:rsidRPr="003D2AC1" w:rsidP="003D2AC1">
      <w:pPr>
        <w:pStyle w:val="BodyText"/>
      </w:pPr>
    </w:p>
    <w:tbl>
      <w:tblPr>
        <w:tblW w:w="0" w:type="auto"/>
        <w:tblLayout w:type="fixed"/>
        <w:tblCellMar>
          <w:left w:w="62" w:type="dxa"/>
          <w:right w:w="62" w:type="dxa"/>
        </w:tblCellMar>
        <w:tblLook w:val="0000"/>
      </w:tblPr>
      <w:tblGrid>
        <w:gridCol w:w="1890"/>
        <w:gridCol w:w="6570"/>
      </w:tblGrid>
      <w:tr w:rsidTr="00E63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9.1)</w:t>
            </w:r>
          </w:p>
        </w:tc>
      </w:tr>
      <w:tr w:rsidTr="00E63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Longitudinal competency development approaches to assessment, such as Profiling, require data to be reliably gathered in a form that can be consistently interpreted over time. This approach is best utilised in Apprenticeship programs and reduces assessme</w:t>
            </w:r>
            <w:r w:rsidRPr="003D2AC1">
              <w:t>nt intervention. It is the industry-preferred model for apprenticeships. However, where summative (or final) assessment is used it must include the application of the competency in the normal work environment or, at a minimum, the application of the compet</w:t>
            </w:r>
            <w:r w:rsidRPr="003D2AC1">
              <w:t>ency in a realistically simulated work environment. In some circumstances, assessment in part or full can occur outside the workplace. However, it must be in accordance with industry and regulatory policy.</w:t>
            </w:r>
          </w:p>
          <w:p w:rsidR="00000000" w:rsidRPr="003D2AC1" w:rsidP="003D2AC1">
            <w:pPr>
              <w:pStyle w:val="BodyText"/>
            </w:pPr>
            <w:r w:rsidRPr="003D2AC1">
              <w:t>Methods chosen for a particular assessment will be</w:t>
            </w:r>
            <w:r w:rsidRPr="003D2AC1">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3D2AC1">
              <w:t>he competencies being assessed.</w:t>
            </w:r>
          </w:p>
          <w:p w:rsidR="00000000" w:rsidRPr="003D2AC1" w:rsidP="003D2AC1">
            <w:pPr>
              <w:pStyle w:val="BodyText"/>
            </w:pPr>
            <w:r w:rsidRPr="003D2AC1">
              <w:t>The critical safety issues inherent in working with electricity, electrical equipment, gas or any other hazardous substance/material present a challenge for those determining competence. Sources of evidence need to be ‘rich’</w:t>
            </w:r>
            <w:r w:rsidRPr="003D2AC1">
              <w:t xml:space="preserve"> in nature to minimise error in judgment.</w:t>
            </w:r>
          </w:p>
          <w:p w:rsidR="00000000" w:rsidRPr="003D2AC1" w:rsidP="003D2AC1">
            <w:pPr>
              <w:pStyle w:val="BodyText"/>
            </w:pPr>
            <w:r w:rsidRPr="003D2AC1">
              <w:t>Activities associated with normal everyday work influence decisions about how/how much the data gathered will contribute to its ‘richness’. Some skills are more critical to safety and operational requirements while</w:t>
            </w:r>
            <w:r w:rsidRPr="003D2AC1">
              <w:t xml:space="preserve"> the same skills may be more or less frequently practised. These points are raised for the assessors to consider when choosing an assessment method and developing assessment instruments. Sample assessment instruments are included for Assessors in the Asses</w:t>
            </w:r>
            <w:r w:rsidRPr="003D2AC1">
              <w:t>sment Guidelines of this Training Package.</w:t>
            </w:r>
          </w:p>
        </w:tc>
      </w:tr>
    </w:tbl>
    <w:p w:rsidR="00000000" w:rsidRPr="003D2AC1" w:rsidP="003D2AC1">
      <w:pPr>
        <w:pStyle w:val="BodyText"/>
      </w:pPr>
    </w:p>
    <w:tbl>
      <w:tblPr>
        <w:tblW w:w="0" w:type="auto"/>
        <w:tblLayout w:type="fixed"/>
        <w:tblCellMar>
          <w:left w:w="62" w:type="dxa"/>
          <w:right w:w="62" w:type="dxa"/>
        </w:tblCellMar>
        <w:tblLook w:val="0000"/>
      </w:tblPr>
      <w:tblGrid>
        <w:gridCol w:w="1890"/>
        <w:gridCol w:w="6570"/>
      </w:tblGrid>
      <w:tr w:rsidTr="00E63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9.2)</w:t>
            </w:r>
          </w:p>
        </w:tc>
      </w:tr>
      <w:tr w:rsidTr="00E63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Before the critical aspects of evidence are considered all prerequisites must be met.</w:t>
            </w:r>
          </w:p>
          <w:p w:rsidR="00000000" w:rsidRPr="003D2AC1" w:rsidP="003D2AC1">
            <w:pPr>
              <w:pStyle w:val="BodyText"/>
            </w:pPr>
            <w:r w:rsidRPr="003D2AC1">
              <w:t>Evidence for competence in this unit shal</w:t>
            </w:r>
            <w:r w:rsidRPr="003D2AC1">
              <w:t>l be considered holistically.  Each Element and associated performance criteria shall be demonstrated on at least two occasions in accordance with the ‘Assessment Guidelines – UEE11’.  Evidence shall also comprise:</w:t>
            </w:r>
          </w:p>
          <w:p w:rsidR="00000000" w:rsidRPr="003D2AC1" w:rsidP="003D2AC1">
            <w:pPr>
              <w:pStyle w:val="ListBullet"/>
            </w:pPr>
            <w:r w:rsidRPr="003D2AC1">
              <w:t>A representative body of work performanc</w:t>
            </w:r>
            <w:r w:rsidRPr="003D2AC1">
              <w:t>e demonstrated within the timeframes typically expected of the discipline, work function and industrial environment. In particular this shall incorporate evidence that shows a candidate is able to:</w:t>
            </w:r>
          </w:p>
          <w:p w:rsidR="00000000" w:rsidRPr="003D2AC1" w:rsidP="003D2AC1">
            <w:pPr>
              <w:pStyle w:val="ListBullet2"/>
            </w:pPr>
            <w:r w:rsidRPr="003D2AC1">
              <w:t>Implement Occupational Health and Safety workplace procedures and practices including the use of risk control measures as specified in the performance criteria and range statement</w:t>
            </w:r>
          </w:p>
          <w:p w:rsidR="00000000" w:rsidRPr="003D2AC1" w:rsidP="003D2AC1">
            <w:pPr>
              <w:pStyle w:val="ListBullet2"/>
            </w:pPr>
            <w:r w:rsidRPr="003D2AC1">
              <w:t>Apply sustainable energy principles and practices as specified in the perfor</w:t>
            </w:r>
            <w:r w:rsidRPr="003D2AC1">
              <w:t>mance criteria and range statement</w:t>
            </w:r>
          </w:p>
          <w:p w:rsidR="00000000" w:rsidRPr="003D2AC1" w:rsidP="003D2AC1">
            <w:pPr>
              <w:pStyle w:val="ListBullet2"/>
            </w:pPr>
            <w:r w:rsidRPr="003D2AC1">
              <w:t>Demonstrate an understanding of the essential knowledge and associated skills as described in this unit.  It may be required by some jurisdictions that RTOs provide a percentile graded result for the purpose of regulatory</w:t>
            </w:r>
            <w:r w:rsidRPr="003D2AC1">
              <w:t xml:space="preserve"> or licensing requirements.</w:t>
            </w:r>
          </w:p>
          <w:p w:rsidR="00000000" w:rsidRPr="003D2AC1" w:rsidP="003D2AC1">
            <w:pPr>
              <w:pStyle w:val="ListBullet2"/>
            </w:pPr>
            <w:r w:rsidRPr="003D2AC1">
              <w:t>Demonstrate an appropriate level of skills enabling employment</w:t>
            </w:r>
          </w:p>
          <w:p w:rsidR="00000000" w:rsidRPr="003D2AC1" w:rsidP="003D2AC1">
            <w:pPr>
              <w:pStyle w:val="ListBullet2"/>
            </w:pPr>
            <w:r w:rsidRPr="003D2AC1">
              <w:t>Conduct work observing the relevant Anti Discrimination legislation, regulations, polices and workplace procedures</w:t>
            </w:r>
          </w:p>
          <w:p w:rsidR="00000000" w:rsidRPr="003D2AC1" w:rsidP="003D2AC1">
            <w:pPr>
              <w:pStyle w:val="ListBullet"/>
            </w:pPr>
            <w:r w:rsidRPr="003D2AC1">
              <w:t>Demonstrated consistent performance across a repr</w:t>
            </w:r>
            <w:r w:rsidRPr="003D2AC1">
              <w:t>esentative range of contexts from the prescribed items below:</w:t>
            </w:r>
          </w:p>
          <w:p w:rsidR="00000000" w:rsidRPr="003D2AC1" w:rsidP="003D2AC1">
            <w:pPr>
              <w:pStyle w:val="ListBullet2"/>
            </w:pPr>
            <w:r w:rsidRPr="003D2AC1">
              <w:t>Install and maintain active level crossing equipment as described in 8) and including:</w:t>
            </w:r>
          </w:p>
          <w:p w:rsidR="00000000" w:rsidRPr="003D2AC1" w:rsidP="003D2AC1">
            <w:pPr>
              <w:pStyle w:val="ListAlpha2"/>
            </w:pPr>
            <w:r w:rsidRPr="003D2AC1">
              <w:t>Interpreting specifications correctly</w:t>
            </w:r>
          </w:p>
          <w:p w:rsidR="00000000" w:rsidRPr="003D2AC1" w:rsidP="003D2AC1">
            <w:pPr>
              <w:pStyle w:val="ListAlpha2"/>
            </w:pPr>
            <w:r w:rsidRPr="003D2AC1">
              <w:t>Using appropriate fault finding techniques</w:t>
            </w:r>
          </w:p>
          <w:p w:rsidR="00000000" w:rsidRPr="003D2AC1" w:rsidP="003D2AC1">
            <w:pPr>
              <w:pStyle w:val="ListAlpha2"/>
            </w:pPr>
            <w:r w:rsidRPr="003D2AC1">
              <w:t>Maintaining electrically-operated level crossing equipment to operational requirements</w:t>
            </w:r>
          </w:p>
          <w:p w:rsidR="00000000" w:rsidRPr="003D2AC1" w:rsidP="003D2AC1">
            <w:pPr>
              <w:pStyle w:val="ListAlpha2"/>
            </w:pPr>
            <w:r w:rsidRPr="003D2AC1">
              <w:t>Organising work to minimise road and rail traffic disruptions</w:t>
            </w:r>
          </w:p>
          <w:p w:rsidR="00000000" w:rsidRPr="003D2AC1" w:rsidP="003D2AC1">
            <w:pPr>
              <w:pStyle w:val="ListAlpha2"/>
            </w:pPr>
            <w:r w:rsidRPr="003D2AC1">
              <w:t>Using tools correctly</w:t>
            </w:r>
          </w:p>
          <w:p w:rsidR="00000000" w:rsidRPr="003D2AC1" w:rsidP="003D2AC1">
            <w:pPr>
              <w:pStyle w:val="ListAlpha2"/>
            </w:pPr>
            <w:r w:rsidRPr="003D2AC1">
              <w:t>Following relevant codes of practice, OHS and environmental protection procedures and</w:t>
            </w:r>
            <w:r w:rsidRPr="003D2AC1">
              <w:t xml:space="preserve"> requirements</w:t>
            </w:r>
          </w:p>
          <w:p w:rsidR="00000000" w:rsidRPr="003D2AC1" w:rsidP="003D2AC1">
            <w:pPr>
              <w:pStyle w:val="ListAlpha2"/>
            </w:pPr>
            <w:r w:rsidRPr="003D2AC1">
              <w:t>Completing relevant technical reports, records and documentation, and</w:t>
            </w:r>
          </w:p>
          <w:p w:rsidR="00000000" w:rsidRPr="003D2AC1" w:rsidP="003D2AC1">
            <w:pPr>
              <w:pStyle w:val="ListAlpha2"/>
            </w:pPr>
            <w:r w:rsidRPr="003D2AC1">
              <w:t>Dealing with unplanned events by drawing on essential knowledge and skills to provide appropriate solutions incorporated in the holistic assessment with the above listed it</w:t>
            </w:r>
            <w:r w:rsidRPr="003D2AC1">
              <w:t>ems</w:t>
            </w:r>
          </w:p>
          <w:p w:rsidR="00000000" w:rsidRPr="003D2AC1" w:rsidP="003D2AC1">
            <w:pPr>
              <w:pStyle w:val="BodyText"/>
            </w:pPr>
            <w:r w:rsidRPr="003D2AC1">
              <w:t xml:space="preserve">Note: </w:t>
            </w:r>
          </w:p>
          <w:p w:rsidR="00000000" w:rsidRPr="003D2AC1" w:rsidP="003D2AC1">
            <w:pPr>
              <w:pStyle w:val="BodyText"/>
            </w:pPr>
            <w:r w:rsidRPr="003D2AC1">
              <w:t>Successful completion of relevant vendor training may be used to contribute to evidence on which competency is deemed. In these cases the alignment of outcomes of vendor training with performance criteria and critical aspects of evidence shall b</w:t>
            </w:r>
            <w:r w:rsidRPr="003D2AC1">
              <w:t>e clearly identified.</w:t>
            </w:r>
          </w:p>
        </w:tc>
      </w:tr>
    </w:tbl>
    <w:p w:rsidR="00000000" w:rsidRPr="003D2AC1" w:rsidP="003D2AC1">
      <w:pPr>
        <w:pStyle w:val="BodyText"/>
      </w:pPr>
    </w:p>
    <w:tbl>
      <w:tblPr>
        <w:tblW w:w="0" w:type="auto"/>
        <w:tblLayout w:type="fixed"/>
        <w:tblCellMar>
          <w:left w:w="62" w:type="dxa"/>
          <w:right w:w="62" w:type="dxa"/>
        </w:tblCellMar>
        <w:tblLook w:val="0000"/>
      </w:tblPr>
      <w:tblGrid>
        <w:gridCol w:w="1890"/>
        <w:gridCol w:w="6570"/>
      </w:tblGrid>
      <w:tr w:rsidTr="00E6304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9.3)</w:t>
            </w:r>
          </w:p>
        </w:tc>
      </w:tr>
      <w:tr w:rsidTr="00E6304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This unit should be assessed as it relates to normal work practice using procedures, information and resources typical of a workplace. This should include:</w:t>
            </w:r>
          </w:p>
          <w:p w:rsidR="00000000" w:rsidRPr="003D2AC1" w:rsidP="003D2AC1">
            <w:pPr>
              <w:pStyle w:val="ListBullet"/>
            </w:pPr>
            <w:r w:rsidRPr="003D2AC1">
              <w:t>OHS policy and work procedures and instructions.</w:t>
            </w:r>
          </w:p>
          <w:p w:rsidR="00000000" w:rsidRPr="003D2AC1" w:rsidP="003D2AC1">
            <w:pPr>
              <w:pStyle w:val="ListBullet"/>
            </w:pPr>
            <w:r w:rsidRPr="003D2AC1">
              <w:t>Suitable work environment, facilities, equipment and materials to undertake actual work as prescribed by this unit.</w:t>
            </w:r>
          </w:p>
          <w:p w:rsidR="00000000" w:rsidRPr="003D2AC1" w:rsidP="003D2AC1">
            <w:pPr>
              <w:pStyle w:val="BodyText"/>
            </w:pPr>
            <w:r w:rsidRPr="003D2AC1">
              <w:t>These should be used in the formal learning/assessment environment.</w:t>
            </w:r>
          </w:p>
          <w:p w:rsidR="00000000" w:rsidRPr="003D2AC1" w:rsidP="003D2AC1">
            <w:pPr>
              <w:pStyle w:val="BodyText"/>
            </w:pPr>
            <w:r w:rsidRPr="003D2AC1">
              <w:t>Note:</w:t>
            </w:r>
          </w:p>
          <w:p w:rsidR="00000000" w:rsidRPr="003D2AC1" w:rsidP="003D2AC1">
            <w:pPr>
              <w:pStyle w:val="BodyText"/>
            </w:pPr>
            <w:r w:rsidRPr="003D2AC1">
              <w:t xml:space="preserve">Where simulation </w:t>
            </w:r>
            <w:r w:rsidRPr="003D2AC1">
              <w:t>is considered a suitable strategy for assessment, conditions must be authentic and as far as possible reproduce and replicate the workplace and be consistent with the approved industry simulation policy.</w:t>
            </w:r>
          </w:p>
          <w:p w:rsidR="00000000" w:rsidRPr="003D2AC1" w:rsidP="003D2AC1">
            <w:pPr>
              <w:pStyle w:val="BodyText"/>
            </w:pPr>
            <w:r w:rsidRPr="003D2AC1">
              <w:t>The resources used for assessment should reflect cur</w:t>
            </w:r>
            <w:r w:rsidRPr="003D2AC1">
              <w:t>rent industry practices in relation to maintaining power signalling and protected level crossing equipment and repairing faults.</w:t>
            </w:r>
          </w:p>
        </w:tc>
      </w:tr>
    </w:tbl>
    <w:p w:rsidR="00000000" w:rsidRPr="003D2AC1" w:rsidP="003D2AC1">
      <w:pPr>
        <w:pStyle w:val="BodyText"/>
      </w:pPr>
    </w:p>
    <w:tbl>
      <w:tblPr>
        <w:tblW w:w="0" w:type="auto"/>
        <w:tblLayout w:type="fixed"/>
        <w:tblCellMar>
          <w:left w:w="62" w:type="dxa"/>
          <w:right w:w="62" w:type="dxa"/>
        </w:tblCellMar>
        <w:tblLook w:val="0000"/>
      </w:tblPr>
      <w:tblGrid>
        <w:gridCol w:w="1890"/>
        <w:gridCol w:w="6570"/>
      </w:tblGrid>
      <w:tr w:rsidTr="00E63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9.4)</w:t>
            </w:r>
          </w:p>
        </w:tc>
      </w:tr>
      <w:tr w:rsidTr="00E63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This unit shall be assessed by methods given in Volume 1, Part 3 ‘Assessment Guidelines’.</w:t>
            </w:r>
          </w:p>
          <w:p w:rsidR="00000000" w:rsidRPr="003D2AC1" w:rsidP="003D2AC1">
            <w:pPr>
              <w:pStyle w:val="BodyText"/>
            </w:pPr>
            <w:r w:rsidRPr="003D2AC1">
              <w:t xml:space="preserve">Note: </w:t>
            </w:r>
          </w:p>
          <w:p w:rsidR="00000000" w:rsidRPr="003D2AC1" w:rsidP="003D2AC1">
            <w:pPr>
              <w:pStyle w:val="BodyText"/>
            </w:pPr>
            <w:r w:rsidRPr="003D2AC1">
              <w:t>Competent performance with inherent safe working practices is expected in the Industry to which this unit applies. This requires assessment in a structured environment which is intended primarily for learning/assessment and incorporates all necessary equip</w:t>
            </w:r>
            <w:r w:rsidRPr="003D2AC1">
              <w:t>ment and facilities for learners to develop and demonstrate the essential knowledge and skills described in this unit.</w:t>
            </w:r>
          </w:p>
        </w:tc>
      </w:tr>
    </w:tbl>
    <w:p w:rsidR="00000000" w:rsidRPr="003D2AC1" w:rsidP="003D2AC1">
      <w:pPr>
        <w:pStyle w:val="BodyText"/>
      </w:pPr>
    </w:p>
    <w:tbl>
      <w:tblPr>
        <w:tblW w:w="0" w:type="auto"/>
        <w:tblLayout w:type="fixed"/>
        <w:tblCellMar>
          <w:left w:w="62" w:type="dxa"/>
          <w:right w:w="62" w:type="dxa"/>
        </w:tblCellMar>
        <w:tblLook w:val="0000"/>
      </w:tblPr>
      <w:tblGrid>
        <w:gridCol w:w="1890"/>
        <w:gridCol w:w="6570"/>
      </w:tblGrid>
      <w:tr w:rsidTr="00E63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9.5)</w:t>
            </w:r>
          </w:p>
        </w:tc>
      </w:tr>
      <w:tr w:rsidTr="00E630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For optimisation of training and assessment effort, competency developme</w:t>
            </w:r>
            <w:r w:rsidRPr="003D2AC1">
              <w:t>nt in this unit may be arranged in combination with other competencies required by a given enterprise installation, maintenance and repair functions.</w:t>
            </w:r>
          </w:p>
          <w:p w:rsidR="00000000" w:rsidRPr="003D2AC1" w:rsidP="003D2AC1">
            <w:pPr>
              <w:pStyle w:val="BodyText"/>
            </w:pPr>
            <w:r w:rsidRPr="003D2AC1">
              <w:t>Concurrent assessment may include:</w:t>
            </w:r>
          </w:p>
          <w:p w:rsidR="00000000" w:rsidRPr="003D2AC1" w:rsidP="003D2AC1">
            <w:pPr>
              <w:pStyle w:val="BodyText"/>
            </w:pPr>
            <w:r w:rsidRPr="003D2AC1">
              <w:t>UEENEEN109A Install and maintain train detection equipment</w:t>
            </w:r>
          </w:p>
          <w:p w:rsidR="00000000" w:rsidRPr="003D2AC1" w:rsidP="003D2AC1">
            <w:pPr>
              <w:pStyle w:val="BodyText"/>
            </w:pPr>
            <w:r w:rsidRPr="003D2AC1">
              <w:t>UEENEEN105A Install and maintain rail signalling power supplies</w:t>
            </w:r>
          </w:p>
          <w:p w:rsidR="00000000" w:rsidRPr="003D2AC1" w:rsidP="003D2AC1">
            <w:pPr>
              <w:pStyle w:val="BodyText"/>
            </w:pPr>
            <w:r w:rsidRPr="003D2AC1">
              <w:t>UEENEEN118A Find and repair rail signal system faults</w:t>
            </w:r>
          </w:p>
        </w:tc>
      </w:tr>
    </w:tbl>
    <w:p w:rsidR="00000000" w:rsidRPr="003D2AC1" w:rsidP="003D2AC1">
      <w:pPr>
        <w:pStyle w:val="BodyText"/>
      </w:pPr>
    </w:p>
    <w:p w:rsidR="00000000" w:rsidRPr="003D2AC1" w:rsidP="003D2AC1">
      <w:pPr>
        <w:pStyle w:val="AllowPageBreak"/>
      </w:pPr>
    </w:p>
    <w:p w:rsidR="00000000" w:rsidRPr="003D2AC1" w:rsidP="003D2AC1">
      <w:pPr>
        <w:pStyle w:val="Heading1"/>
      </w:pPr>
      <w:bookmarkStart w:id="11" w:name="O_585700"/>
      <w:bookmarkEnd w:id="11"/>
      <w:r w:rsidRPr="003D2AC1">
        <w:t>Range Statement</w:t>
      </w:r>
    </w:p>
    <w:tbl>
      <w:tblPr>
        <w:tblW w:w="0" w:type="auto"/>
        <w:tblLayout w:type="fixed"/>
        <w:tblCellMar>
          <w:left w:w="62" w:type="dxa"/>
          <w:right w:w="62" w:type="dxa"/>
        </w:tblCellMar>
        <w:tblLook w:val="0000"/>
      </w:tblPr>
      <w:tblGrid>
        <w:gridCol w:w="8460"/>
      </w:tblGrid>
      <w:tr w:rsidTr="00E630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RANGE STATEMENT</w:t>
            </w:r>
          </w:p>
        </w:tc>
      </w:tr>
      <w:tr w:rsidTr="00E630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10)</w:t>
            </w:r>
            <w:r w:rsidRPr="003D2AC1">
              <w:t xml:space="preserve">   This relates to the unit as a whole providing the range of contexts and conditio</w:t>
            </w:r>
            <w:r w:rsidRPr="003D2AC1">
              <w:t>ns to which the performance criteria apply. It allows for different work environments and situations that will affect performance.</w:t>
            </w:r>
          </w:p>
          <w:p w:rsidR="00000000" w:rsidRPr="003D2AC1" w:rsidP="003D2AC1">
            <w:pPr>
              <w:pStyle w:val="BodyText"/>
            </w:pPr>
            <w:r w:rsidRPr="003D2AC1">
              <w:t>This unit shall be demonstrated in relation to:</w:t>
            </w:r>
          </w:p>
          <w:p w:rsidR="00000000" w:rsidRPr="003D2AC1" w:rsidP="003D2AC1">
            <w:pPr>
              <w:pStyle w:val="ListBullet"/>
            </w:pPr>
            <w:r w:rsidRPr="003D2AC1">
              <w:t>The relevant State/Territory codes of practice and safe working requirements</w:t>
            </w:r>
            <w:r w:rsidRPr="003D2AC1">
              <w:t>.</w:t>
            </w:r>
          </w:p>
          <w:p w:rsidR="00000000" w:rsidRPr="003D2AC1" w:rsidP="003D2AC1">
            <w:pPr>
              <w:pStyle w:val="ListBullet"/>
            </w:pPr>
            <w:r w:rsidRPr="003D2AC1">
              <w:t>Equipment relevant to a particular rail network.</w:t>
            </w:r>
          </w:p>
          <w:p w:rsidR="00000000" w:rsidRPr="003D2AC1" w:rsidP="003D2AC1">
            <w:pPr>
              <w:pStyle w:val="ListBullet"/>
            </w:pPr>
            <w:r w:rsidRPr="003D2AC1">
              <w:t>Code of practice for the defined interstate rail network.</w:t>
            </w:r>
          </w:p>
          <w:p w:rsidR="00000000" w:rsidRPr="003D2AC1" w:rsidP="003D2AC1">
            <w:pPr>
              <w:pStyle w:val="BodyText"/>
            </w:pPr>
            <w:r w:rsidRPr="003D2AC1">
              <w:t>Activities may include: procedures for maintenance and repair of protected level crossing equipment on rail networks and may also include’</w:t>
            </w:r>
            <w:r w:rsidRPr="003D2AC1">
              <w:t xml:space="preserve"> safe working, the use of plans and drawings, manufacturer’s / enterprise specifications and manuals.</w:t>
            </w:r>
          </w:p>
          <w:p w:rsidR="00000000" w:rsidRPr="003D2AC1" w:rsidP="003D2AC1">
            <w:pPr>
              <w:pStyle w:val="BodyText"/>
            </w:pPr>
            <w:r w:rsidRPr="003D2AC1">
              <w:t>Maintenance activities may also incorporate safe working, working according to regulatory requirements and following work procedures, performing scheduled</w:t>
            </w:r>
            <w:r w:rsidRPr="003D2AC1">
              <w:t xml:space="preserve"> maintenance, finding and repairing faults, performing operational tests and completing reporting documentation.</w:t>
            </w:r>
          </w:p>
          <w:p w:rsidR="00000000" w:rsidRPr="003D2AC1" w:rsidP="003D2AC1">
            <w:pPr>
              <w:pStyle w:val="BodyText"/>
            </w:pPr>
            <w:r w:rsidRPr="003D2AC1">
              <w:t>Plant may include; elevated Work Platforms, portable generators and or crane truck</w:t>
            </w:r>
          </w:p>
          <w:p w:rsidR="00000000" w:rsidRPr="003D2AC1" w:rsidP="003D2AC1">
            <w:pPr>
              <w:pStyle w:val="BodyText"/>
            </w:pPr>
            <w:r w:rsidRPr="003D2AC1">
              <w:t>Electrical equipment may include; cross arms, bells, control</w:t>
            </w:r>
            <w:r w:rsidRPr="003D2AC1">
              <w:t xml:space="preserve"> and protection equipment, remote monitoring equipment, relay control, static flashers, electro-mechanical boom equipment, electro-mechanical pedestrian equipment, audible warning devices, power off indicators, flashing lights, current sensing devices, gra</w:t>
            </w:r>
            <w:r w:rsidRPr="003D2AC1">
              <w:t>de crossing predictors, solid state crossing controllers and road traffic control</w:t>
            </w:r>
          </w:p>
          <w:p w:rsidR="00000000" w:rsidRPr="003D2AC1" w:rsidP="003D2AC1">
            <w:pPr>
              <w:pStyle w:val="BodyText"/>
            </w:pPr>
            <w:r w:rsidRPr="003D2AC1">
              <w:t>Mechanical equipment may include; boom and flashing light mast, boom arm and counter weights and or pedestrian gates/booms.</w:t>
            </w:r>
          </w:p>
          <w:p w:rsidR="00000000" w:rsidRPr="003D2AC1" w:rsidP="003D2AC1">
            <w:pPr>
              <w:pStyle w:val="BodyText"/>
            </w:pPr>
            <w:r w:rsidRPr="003D2AC1">
              <w:t>Technical report may include: level crossing incid</w:t>
            </w:r>
            <w:r w:rsidRPr="003D2AC1">
              <w:t>ent report, level crossing accident report, site survey and log report.</w:t>
            </w:r>
          </w:p>
          <w:p w:rsidR="00000000" w:rsidRPr="003D2AC1" w:rsidP="003D2AC1">
            <w:pPr>
              <w:pStyle w:val="BodyText"/>
            </w:pPr>
            <w:r w:rsidRPr="003D2AC1">
              <w:t>Test equipment may include; multimeters, laptop computer and peripherals, audio test meters</w:t>
            </w:r>
          </w:p>
          <w:p w:rsidR="00000000" w:rsidRPr="003D2AC1" w:rsidP="003D2AC1">
            <w:pPr>
              <w:pStyle w:val="BodyText"/>
            </w:pPr>
            <w:r w:rsidRPr="003D2AC1">
              <w:t>Generic terms used throughout this Vocational Standard shall be regarded as part of the Rang</w:t>
            </w:r>
            <w:r w:rsidRPr="003D2AC1">
              <w:t>e Statement in which competency is demonstrated. The definition of these and other terms that apply are given in Volume 2, Section 2.1.</w:t>
            </w:r>
          </w:p>
        </w:tc>
      </w:tr>
    </w:tbl>
    <w:p w:rsidR="00000000" w:rsidRPr="003D2AC1" w:rsidP="003D2AC1">
      <w:pPr>
        <w:pStyle w:val="BodyText"/>
      </w:pPr>
    </w:p>
    <w:p w:rsidR="00000000" w:rsidRPr="003D2AC1" w:rsidP="003D2AC1">
      <w:pPr>
        <w:pStyle w:val="AllowPageBreak"/>
      </w:pPr>
    </w:p>
    <w:p w:rsidR="00000000" w:rsidRPr="003D2AC1" w:rsidP="003D2AC1">
      <w:pPr>
        <w:pStyle w:val="Heading1"/>
      </w:pPr>
      <w:bookmarkStart w:id="12" w:name="O_585699"/>
      <w:bookmarkEnd w:id="12"/>
      <w:r w:rsidRPr="003D2AC1">
        <w:t>Unit Sector(s)</w:t>
      </w:r>
    </w:p>
    <w:p w:rsidR="00000000" w:rsidRPr="003D2AC1" w:rsidP="003D2AC1">
      <w:pPr>
        <w:pStyle w:val="BodyText"/>
      </w:pPr>
      <w:r w:rsidRPr="003D2AC1">
        <w:t>Not applicable.</w:t>
      </w:r>
    </w:p>
    <w:p w:rsidR="00000000" w:rsidRPr="003D2AC1" w:rsidP="003D2AC1">
      <w:pPr>
        <w:pStyle w:val="AllowPageBreak"/>
      </w:pPr>
    </w:p>
    <w:p w:rsidR="00000000" w:rsidRPr="003D2AC1" w:rsidP="003D2AC1">
      <w:pPr>
        <w:pStyle w:val="Heading1"/>
      </w:pPr>
      <w:bookmarkStart w:id="13" w:name="O_585698"/>
      <w:bookmarkEnd w:id="13"/>
      <w:r w:rsidRPr="003D2AC1">
        <w:t>Competency Field</w:t>
      </w:r>
    </w:p>
    <w:tbl>
      <w:tblPr>
        <w:tblW w:w="0" w:type="auto"/>
        <w:tblLayout w:type="fixed"/>
        <w:tblCellMar>
          <w:left w:w="62" w:type="dxa"/>
          <w:right w:w="62" w:type="dxa"/>
        </w:tblCellMar>
        <w:tblLook w:val="0000"/>
      </w:tblPr>
      <w:tblGrid>
        <w:gridCol w:w="2700"/>
        <w:gridCol w:w="5760"/>
      </w:tblGrid>
      <w:tr w:rsidTr="00E630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D2AC1">
            <w:pPr>
              <w:pStyle w:val="BodyText"/>
              <w:rPr>
                <w:lang w:val="en-NZ"/>
              </w:rPr>
            </w:pPr>
            <w:r w:rsidRPr="003D2AC1">
              <w:rPr>
                <w:rStyle w:val="SpecialBold"/>
              </w:rPr>
              <w:t xml:space="preserve">11) </w:t>
            </w:r>
          </w:p>
        </w:tc>
      </w:tr>
      <w:tr w:rsidTr="00E630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2AC1" w:rsidP="003D2AC1">
            <w:pPr>
              <w:pStyle w:val="BodyText"/>
            </w:pPr>
            <w:r w:rsidRPr="003D2AC1">
              <w:t>Rail Signalling</w:t>
            </w:r>
          </w:p>
        </w:tc>
      </w:tr>
    </w:tbl>
    <w:p w:rsidR="00000000" w:rsidRPr="003D2AC1" w:rsidP="003D2AC1">
      <w:pPr>
        <w:pStyle w:val="BodyText"/>
      </w:pPr>
    </w:p>
    <w:p w:rsidR="00000000" w:rsidRPr="003D2AC1" w:rsidP="003D2AC1"/>
    <w:sectPr w:rsidSect="003D2A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C1" w:rsidRPr="00E6304E" w:rsidP="00E63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4E" w:rsidP="003D2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6304E" w:rsidP="003D2A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6304E" w:rsidP="003D2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C1" w:rsidRPr="00E6304E" w:rsidP="00E630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04E" w:rsidRPr="002D2AF8" w:rsidP="003D2AC1">
    <w:pPr>
      <w:pStyle w:val="Header"/>
      <w:framePr w:wrap="around"/>
    </w:pPr>
    <w:r>
      <w:fldChar w:fldCharType="begin"/>
    </w:r>
    <w:r>
      <w:instrText xml:space="preserve"> TITLE   \* MERGEFORMAT </w:instrText>
    </w:r>
    <w:r>
      <w:fldChar w:fldCharType="separate"/>
    </w:r>
    <w:r>
      <w:t>UEENEEN107A Install and maintain active level crossing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6304E" w:rsidP="003D2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64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EF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AF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F48458F"/>
    <w:multiLevelType w:val="multilevel"/>
    <w:tmpl w:val="69B4900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AC1"/>
    <w:pPr>
      <w:spacing w:before="360" w:after="60"/>
      <w:outlineLvl w:val="0"/>
    </w:pPr>
    <w:rPr>
      <w:sz w:val="32"/>
    </w:rPr>
  </w:style>
  <w:style w:type="paragraph" w:styleId="Heading2">
    <w:name w:val="heading 2"/>
    <w:basedOn w:val="HeadingBase"/>
    <w:next w:val="BodyText"/>
    <w:link w:val="Heading2Char"/>
    <w:qFormat/>
    <w:rsid w:val="003D2AC1"/>
    <w:pPr>
      <w:keepLines/>
      <w:spacing w:before="240" w:after="120"/>
      <w:outlineLvl w:val="1"/>
    </w:pPr>
    <w:rPr>
      <w:sz w:val="28"/>
      <w:szCs w:val="40"/>
    </w:rPr>
  </w:style>
  <w:style w:type="paragraph" w:styleId="Heading3">
    <w:name w:val="heading 3"/>
    <w:basedOn w:val="HeadingBase"/>
    <w:next w:val="BodyText"/>
    <w:link w:val="Heading3Char"/>
    <w:qFormat/>
    <w:rsid w:val="003D2AC1"/>
    <w:pPr>
      <w:spacing w:before="180" w:after="120"/>
      <w:outlineLvl w:val="2"/>
    </w:pPr>
    <w:rPr>
      <w:spacing w:val="-10"/>
      <w:kern w:val="32"/>
    </w:rPr>
  </w:style>
  <w:style w:type="paragraph" w:styleId="Heading4">
    <w:name w:val="heading 4"/>
    <w:basedOn w:val="HeadingBase"/>
    <w:next w:val="BodyText"/>
    <w:link w:val="Heading4Char"/>
    <w:qFormat/>
    <w:rsid w:val="003D2AC1"/>
    <w:pPr>
      <w:spacing w:before="160" w:after="120"/>
      <w:outlineLvl w:val="3"/>
    </w:pPr>
    <w:rPr>
      <w:sz w:val="22"/>
    </w:rPr>
  </w:style>
  <w:style w:type="paragraph" w:styleId="Heading5">
    <w:name w:val="heading 5"/>
    <w:basedOn w:val="HeadingBase"/>
    <w:next w:val="Normal"/>
    <w:link w:val="Heading5Char"/>
    <w:qFormat/>
    <w:rsid w:val="003D2AC1"/>
    <w:pPr>
      <w:spacing w:before="80"/>
      <w:outlineLvl w:val="4"/>
    </w:pPr>
    <w:rPr>
      <w:color w:val="918585"/>
      <w:sz w:val="20"/>
    </w:rPr>
  </w:style>
  <w:style w:type="paragraph" w:styleId="Heading6">
    <w:name w:val="heading 6"/>
    <w:basedOn w:val="HeadingBase"/>
    <w:next w:val="Normal"/>
    <w:link w:val="Heading6Char"/>
    <w:qFormat/>
    <w:rsid w:val="003D2AC1"/>
    <w:pPr>
      <w:spacing w:before="60"/>
      <w:outlineLvl w:val="5"/>
    </w:pPr>
    <w:rPr>
      <w:color w:val="918585"/>
      <w:sz w:val="20"/>
    </w:rPr>
  </w:style>
  <w:style w:type="paragraph" w:styleId="Heading7">
    <w:name w:val="heading 7"/>
    <w:basedOn w:val="Normal"/>
    <w:next w:val="Normal"/>
    <w:link w:val="Heading7Char"/>
    <w:qFormat/>
    <w:rsid w:val="003D2AC1"/>
    <w:pPr>
      <w:ind w:left="720"/>
      <w:outlineLvl w:val="6"/>
    </w:pPr>
    <w:rPr>
      <w:i/>
    </w:rPr>
  </w:style>
  <w:style w:type="paragraph" w:styleId="Heading8">
    <w:name w:val="heading 8"/>
    <w:basedOn w:val="Normal"/>
    <w:next w:val="Normal"/>
    <w:link w:val="Heading8Char"/>
    <w:qFormat/>
    <w:rsid w:val="003D2AC1"/>
    <w:pPr>
      <w:ind w:left="720"/>
      <w:outlineLvl w:val="7"/>
    </w:pPr>
    <w:rPr>
      <w:i/>
    </w:rPr>
  </w:style>
  <w:style w:type="paragraph" w:styleId="Heading9">
    <w:name w:val="heading 9"/>
    <w:basedOn w:val="Normal"/>
    <w:next w:val="Normal"/>
    <w:link w:val="Heading9Char"/>
    <w:qFormat/>
    <w:rsid w:val="003D2AC1"/>
    <w:pPr>
      <w:ind w:left="720"/>
      <w:outlineLvl w:val="8"/>
    </w:pPr>
    <w:rPr>
      <w:i/>
    </w:rPr>
  </w:style>
  <w:style w:type="character" w:default="1" w:styleId="DefaultParagraphFont">
    <w:name w:val="Default Paragraph Font"/>
    <w:uiPriority w:val="1"/>
    <w:unhideWhenUsed/>
    <w:rsid w:val="003D2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AC1"/>
  </w:style>
  <w:style w:type="character" w:customStyle="1" w:styleId="Heading1Char">
    <w:name w:val="Heading 1 Char"/>
    <w:basedOn w:val="DefaultParagraphFont"/>
    <w:link w:val="Heading1"/>
    <w:rsid w:val="003D2AC1"/>
    <w:rPr>
      <w:rFonts w:ascii="Times New Roman" w:eastAsia="Times New Roman" w:hAnsi="Times New Roman" w:cs="Times New Roman"/>
      <w:b/>
      <w:sz w:val="32"/>
      <w:szCs w:val="20"/>
      <w:lang w:eastAsia="en-US"/>
    </w:rPr>
  </w:style>
  <w:style w:type="paragraph" w:styleId="BodyText">
    <w:name w:val="Body Text"/>
    <w:basedOn w:val="Normal"/>
    <w:link w:val="BodyTextChar"/>
    <w:rsid w:val="003D2A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2AC1"/>
    <w:rPr>
      <w:rFonts w:ascii="Times New Roman" w:eastAsia="Times New Roman" w:hAnsi="Times New Roman" w:cs="Times New Roman"/>
      <w:sz w:val="24"/>
      <w:lang w:eastAsia="en-US"/>
    </w:rPr>
  </w:style>
  <w:style w:type="paragraph" w:styleId="ListBullet">
    <w:name w:val="List Bullet"/>
    <w:basedOn w:val="List"/>
    <w:rsid w:val="003D2AC1"/>
    <w:pPr>
      <w:numPr>
        <w:numId w:val="13"/>
      </w:numPr>
      <w:tabs>
        <w:tab w:val="clear" w:pos="340"/>
      </w:tabs>
      <w:spacing w:before="40" w:after="40"/>
    </w:pPr>
  </w:style>
  <w:style w:type="character" w:customStyle="1" w:styleId="SpecialBold">
    <w:name w:val="Special Bold"/>
    <w:basedOn w:val="DefaultParagraphFont"/>
    <w:rsid w:val="003D2AC1"/>
    <w:rPr>
      <w:b/>
      <w:spacing w:val="0"/>
    </w:rPr>
  </w:style>
  <w:style w:type="paragraph" w:styleId="ListBullet2">
    <w:name w:val="List Bullet 2"/>
    <w:basedOn w:val="List2"/>
    <w:rsid w:val="003D2AC1"/>
    <w:pPr>
      <w:numPr>
        <w:numId w:val="14"/>
      </w:numPr>
      <w:tabs>
        <w:tab w:val="clear" w:pos="680"/>
      </w:tabs>
    </w:pPr>
  </w:style>
  <w:style w:type="paragraph" w:customStyle="1" w:styleId="SuperHeading">
    <w:name w:val="SuperHeading"/>
    <w:basedOn w:val="Normal"/>
    <w:rsid w:val="003D2AC1"/>
    <w:pPr>
      <w:spacing w:before="240" w:after="120"/>
      <w:outlineLvl w:val="0"/>
    </w:pPr>
    <w:rPr>
      <w:rFonts w:ascii="Times New Roman" w:hAnsi="Times New Roman"/>
      <w:b/>
      <w:sz w:val="32"/>
    </w:rPr>
  </w:style>
  <w:style w:type="paragraph" w:customStyle="1" w:styleId="AllowPageBreak">
    <w:name w:val="AllowPageBreak"/>
    <w:rsid w:val="003D2A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3D2AC1"/>
    <w:pPr>
      <w:numPr>
        <w:numId w:val="8"/>
      </w:numPr>
    </w:pPr>
  </w:style>
  <w:style w:type="character" w:customStyle="1" w:styleId="Heading2Char">
    <w:name w:val="Heading 2 Char"/>
    <w:basedOn w:val="DefaultParagraphFont"/>
    <w:link w:val="Heading2"/>
    <w:rsid w:val="003D2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AC1"/>
    <w:rPr>
      <w:rFonts w:ascii="Courier New" w:eastAsia="Times New Roman" w:hAnsi="Courier New" w:cs="Times New Roman"/>
      <w:i/>
      <w:szCs w:val="20"/>
      <w:lang w:eastAsia="en-US"/>
    </w:rPr>
  </w:style>
  <w:style w:type="paragraph" w:customStyle="1" w:styleId="HeadingBase">
    <w:name w:val="Heading Base"/>
    <w:rsid w:val="003D2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AC1"/>
    <w:pPr>
      <w:tabs>
        <w:tab w:val="right" w:leader="dot" w:pos="9072"/>
      </w:tabs>
      <w:ind w:left="567"/>
    </w:pPr>
    <w:rPr>
      <w:szCs w:val="22"/>
    </w:rPr>
  </w:style>
  <w:style w:type="paragraph" w:customStyle="1" w:styleId="TOCBase">
    <w:name w:val="TOC Base"/>
    <w:rsid w:val="003D2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AC1"/>
    <w:pPr>
      <w:tabs>
        <w:tab w:val="right" w:leader="dot" w:pos="9072"/>
      </w:tabs>
      <w:spacing w:before="40" w:after="40"/>
      <w:ind w:left="284"/>
    </w:pPr>
    <w:rPr>
      <w:rFonts w:ascii="Times New Roman" w:hAnsi="Times New Roman"/>
    </w:rPr>
  </w:style>
  <w:style w:type="paragraph" w:styleId="TOC1">
    <w:name w:val="toc 1"/>
    <w:basedOn w:val="TOCBase"/>
    <w:next w:val="Normal"/>
    <w:rsid w:val="003D2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AC1"/>
    <w:rPr>
      <w:rFonts w:ascii="Times New Roman" w:eastAsia="Times New Roman" w:hAnsi="Times New Roman" w:cs="Times New Roman"/>
      <w:sz w:val="16"/>
      <w:lang w:eastAsia="en-US"/>
    </w:rPr>
  </w:style>
  <w:style w:type="paragraph" w:styleId="Title">
    <w:name w:val="Title"/>
    <w:basedOn w:val="HeadingBase"/>
    <w:link w:val="TitleChar"/>
    <w:qFormat/>
    <w:rsid w:val="003D2AC1"/>
    <w:pPr>
      <w:spacing w:before="5040"/>
      <w:jc w:val="center"/>
    </w:pPr>
    <w:rPr>
      <w:sz w:val="48"/>
      <w:szCs w:val="72"/>
      <w:lang w:val="en-US"/>
    </w:rPr>
  </w:style>
  <w:style w:type="character" w:customStyle="1" w:styleId="TitleChar">
    <w:name w:val="Title Char"/>
    <w:basedOn w:val="DefaultParagraphFont"/>
    <w:link w:val="Title"/>
    <w:rsid w:val="003D2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AC1"/>
    <w:pPr>
      <w:tabs>
        <w:tab w:val="left" w:pos="3600"/>
        <w:tab w:val="left" w:pos="3958"/>
      </w:tabs>
    </w:pPr>
  </w:style>
  <w:style w:type="paragraph" w:styleId="List">
    <w:name w:val="List"/>
    <w:basedOn w:val="BodyText"/>
    <w:next w:val="BodyText"/>
    <w:rsid w:val="003D2AC1"/>
    <w:pPr>
      <w:tabs>
        <w:tab w:val="left" w:pos="340"/>
      </w:tabs>
      <w:spacing w:before="60" w:after="60"/>
      <w:ind w:left="340" w:hanging="340"/>
    </w:pPr>
  </w:style>
  <w:style w:type="paragraph" w:customStyle="1" w:styleId="Note">
    <w:name w:val="Note"/>
    <w:basedOn w:val="BodyText"/>
    <w:rsid w:val="003D2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AC1"/>
    <w:pPr>
      <w:framePr w:wrap="auto" w:hAnchor="text" w:y="6049"/>
    </w:pPr>
    <w:rPr>
      <w:color w:val="000000"/>
      <w:sz w:val="40"/>
    </w:rPr>
  </w:style>
  <w:style w:type="paragraph" w:customStyle="1" w:styleId="TOCTitle">
    <w:name w:val="TOCTitle"/>
    <w:basedOn w:val="Heading1"/>
    <w:rsid w:val="003D2AC1"/>
    <w:pPr>
      <w:spacing w:after="240"/>
      <w:jc w:val="center"/>
      <w:outlineLvl w:val="9"/>
    </w:pPr>
    <w:rPr>
      <w:caps/>
    </w:rPr>
  </w:style>
  <w:style w:type="paragraph" w:customStyle="1" w:styleId="Version">
    <w:name w:val="Version"/>
    <w:rsid w:val="003D2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AC1"/>
    <w:pPr>
      <w:keepNext w:val="0"/>
      <w:tabs>
        <w:tab w:val="right" w:pos="4176"/>
      </w:tabs>
      <w:ind w:left="198" w:hanging="198"/>
    </w:pPr>
    <w:rPr>
      <w:rFonts w:ascii="Garamond" w:hAnsi="Garamond"/>
    </w:rPr>
  </w:style>
  <w:style w:type="paragraph" w:styleId="IndexHeading">
    <w:name w:val="index heading"/>
    <w:basedOn w:val="Normal"/>
    <w:next w:val="Index1"/>
    <w:semiHidden/>
    <w:rsid w:val="003D2AC1"/>
    <w:pPr>
      <w:spacing w:before="120" w:after="120"/>
    </w:pPr>
    <w:rPr>
      <w:rFonts w:ascii="Arial" w:hAnsi="Arial"/>
      <w:b/>
      <w:color w:val="918585"/>
      <w:sz w:val="24"/>
    </w:rPr>
  </w:style>
  <w:style w:type="paragraph" w:styleId="Header">
    <w:name w:val="header"/>
    <w:basedOn w:val="Normal"/>
    <w:link w:val="HeaderChar"/>
    <w:rsid w:val="003D2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AC1"/>
    <w:rPr>
      <w:rFonts w:ascii="Times New Roman" w:eastAsia="Times New Roman" w:hAnsi="Times New Roman" w:cs="Times New Roman"/>
      <w:sz w:val="16"/>
      <w:szCs w:val="20"/>
      <w:lang w:val="en-GB" w:eastAsia="en-US"/>
    </w:rPr>
  </w:style>
  <w:style w:type="paragraph" w:customStyle="1" w:styleId="Chapter">
    <w:name w:val="Chapter"/>
    <w:basedOn w:val="Normal"/>
    <w:rsid w:val="003D2AC1"/>
    <w:pPr>
      <w:spacing w:before="240"/>
    </w:pPr>
    <w:rPr>
      <w:rFonts w:ascii="Times New Roman" w:hAnsi="Times New Roman"/>
      <w:smallCaps/>
      <w:spacing w:val="80"/>
      <w:sz w:val="28"/>
    </w:rPr>
  </w:style>
  <w:style w:type="paragraph" w:customStyle="1" w:styleId="InChapter">
    <w:name w:val="InChapter"/>
    <w:basedOn w:val="Heading3"/>
    <w:rsid w:val="003D2AC1"/>
    <w:pPr>
      <w:spacing w:after="240"/>
      <w:outlineLvl w:val="9"/>
    </w:pPr>
    <w:rPr>
      <w:noProof/>
    </w:rPr>
  </w:style>
  <w:style w:type="paragraph" w:styleId="Index2">
    <w:name w:val="index 2"/>
    <w:basedOn w:val="Normal"/>
    <w:next w:val="Normal"/>
    <w:semiHidden/>
    <w:rsid w:val="003D2AC1"/>
    <w:pPr>
      <w:tabs>
        <w:tab w:val="right" w:pos="4176"/>
      </w:tabs>
      <w:ind w:left="568" w:hanging="284"/>
    </w:pPr>
    <w:rPr>
      <w:rFonts w:ascii="Garamond" w:hAnsi="Garamond"/>
    </w:rPr>
  </w:style>
  <w:style w:type="paragraph" w:customStyle="1" w:styleId="Byline">
    <w:name w:val="Byline"/>
    <w:rsid w:val="003D2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AC1"/>
    <w:pPr>
      <w:tabs>
        <w:tab w:val="clear" w:pos="3600"/>
        <w:tab w:val="clear" w:pos="3958"/>
      </w:tabs>
      <w:jc w:val="right"/>
    </w:pPr>
  </w:style>
  <w:style w:type="character" w:styleId="Emphasis">
    <w:name w:val="Emphasis"/>
    <w:basedOn w:val="DefaultParagraphFont"/>
    <w:qFormat/>
    <w:rsid w:val="003D2AC1"/>
    <w:rPr>
      <w:i/>
    </w:rPr>
  </w:style>
  <w:style w:type="paragraph" w:styleId="Caption">
    <w:name w:val="caption"/>
    <w:basedOn w:val="BodyText"/>
    <w:next w:val="Normal"/>
    <w:qFormat/>
    <w:rsid w:val="003D2AC1"/>
    <w:pPr>
      <w:framePr w:w="2268" w:hSpace="181" w:vSpace="181" w:wrap="around" w:vAnchor="text" w:hAnchor="page" w:x="1135" w:y="285" w:anchorLock="1"/>
    </w:pPr>
    <w:rPr>
      <w:i/>
    </w:rPr>
  </w:style>
  <w:style w:type="paragraph" w:customStyle="1" w:styleId="MiniTOCTitle">
    <w:name w:val="MiniTOCTitle"/>
    <w:basedOn w:val="Heading4"/>
    <w:rsid w:val="003D2AC1"/>
    <w:pPr>
      <w:spacing w:before="240"/>
      <w:outlineLvl w:val="9"/>
    </w:pPr>
    <w:rPr>
      <w:noProof/>
      <w:sz w:val="24"/>
    </w:rPr>
  </w:style>
  <w:style w:type="paragraph" w:customStyle="1" w:styleId="MiniTOCItem">
    <w:name w:val="MiniTOCItem"/>
    <w:basedOn w:val="ListBullet"/>
    <w:rsid w:val="003D2AC1"/>
    <w:pPr>
      <w:numPr>
        <w:numId w:val="0"/>
      </w:numPr>
      <w:tabs>
        <w:tab w:val="right" w:leader="dot" w:pos="6521"/>
      </w:tabs>
      <w:spacing w:before="0" w:after="0"/>
    </w:pPr>
  </w:style>
  <w:style w:type="paragraph" w:customStyle="1" w:styleId="TOFTitle">
    <w:name w:val="TOFTitle"/>
    <w:basedOn w:val="TOCTitle"/>
    <w:rsid w:val="003D2AC1"/>
  </w:style>
  <w:style w:type="paragraph" w:styleId="TableofFigures">
    <w:name w:val="table of figures"/>
    <w:basedOn w:val="Normal"/>
    <w:next w:val="Normal"/>
    <w:semiHidden/>
    <w:rsid w:val="003D2AC1"/>
    <w:pPr>
      <w:tabs>
        <w:tab w:val="right" w:leader="dot" w:pos="9072"/>
      </w:tabs>
      <w:ind w:left="970" w:hanging="403"/>
    </w:pPr>
    <w:rPr>
      <w:rFonts w:ascii="Times New Roman" w:hAnsi="Times New Roman"/>
      <w:b/>
    </w:rPr>
  </w:style>
  <w:style w:type="paragraph" w:styleId="ListNumber">
    <w:name w:val="List Number"/>
    <w:basedOn w:val="List"/>
    <w:rsid w:val="003D2AC1"/>
    <w:pPr>
      <w:numPr>
        <w:numId w:val="11"/>
      </w:numPr>
    </w:pPr>
  </w:style>
  <w:style w:type="character" w:customStyle="1" w:styleId="WingdingSymbols">
    <w:name w:val="Wingding Symbols"/>
    <w:rsid w:val="003D2AC1"/>
    <w:rPr>
      <w:rFonts w:ascii="Wingdings" w:hAnsi="Wingdings"/>
    </w:rPr>
  </w:style>
  <w:style w:type="paragraph" w:customStyle="1" w:styleId="TableHeading">
    <w:name w:val="Table Heading"/>
    <w:basedOn w:val="HeadingBase"/>
    <w:rsid w:val="003D2AC1"/>
    <w:pPr>
      <w:keepLines/>
      <w:pBdr>
        <w:bottom w:val="single" w:sz="6" w:space="1" w:color="918585"/>
      </w:pBdr>
      <w:spacing w:before="240"/>
    </w:pPr>
  </w:style>
  <w:style w:type="character" w:customStyle="1" w:styleId="HotSpot">
    <w:name w:val="HotSpot"/>
    <w:rsid w:val="003D2AC1"/>
    <w:rPr>
      <w:color w:val="0033CC"/>
      <w:u w:val="none"/>
    </w:rPr>
  </w:style>
  <w:style w:type="paragraph" w:customStyle="1" w:styleId="BodyTextRight">
    <w:name w:val="Body Text Right"/>
    <w:basedOn w:val="BodyText"/>
    <w:rsid w:val="003D2AC1"/>
    <w:pPr>
      <w:spacing w:before="0" w:after="0"/>
      <w:jc w:val="right"/>
    </w:pPr>
  </w:style>
  <w:style w:type="paragraph" w:styleId="Index3">
    <w:name w:val="index 3"/>
    <w:basedOn w:val="ListNumber2"/>
    <w:next w:val="Normal"/>
    <w:semiHidden/>
    <w:rsid w:val="003D2AC1"/>
    <w:pPr>
      <w:numPr>
        <w:numId w:val="0"/>
      </w:numPr>
      <w:tabs>
        <w:tab w:val="right" w:leader="dot" w:pos="4176"/>
      </w:tabs>
    </w:pPr>
  </w:style>
  <w:style w:type="paragraph" w:styleId="ListNumber2">
    <w:name w:val="List Number 2"/>
    <w:basedOn w:val="List2"/>
    <w:rsid w:val="003D2AC1"/>
    <w:pPr>
      <w:numPr>
        <w:numId w:val="10"/>
      </w:numPr>
      <w:tabs>
        <w:tab w:val="clear" w:pos="1060"/>
      </w:tabs>
    </w:pPr>
  </w:style>
  <w:style w:type="paragraph" w:customStyle="1" w:styleId="MarginNote">
    <w:name w:val="Margin Note"/>
    <w:basedOn w:val="BodyText"/>
    <w:rsid w:val="003D2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AC1"/>
    <w:rPr>
      <w:sz w:val="32"/>
    </w:rPr>
  </w:style>
  <w:style w:type="paragraph" w:customStyle="1" w:styleId="HeadingProcedure">
    <w:name w:val="Heading Procedure"/>
    <w:basedOn w:val="HeadingBase"/>
    <w:next w:val="Normal"/>
    <w:rsid w:val="003D2AC1"/>
    <w:pPr>
      <w:tabs>
        <w:tab w:val="left" w:pos="0"/>
      </w:tabs>
      <w:spacing w:before="120" w:after="60"/>
    </w:pPr>
    <w:rPr>
      <w:i/>
      <w:color w:val="918585"/>
      <w:sz w:val="22"/>
    </w:rPr>
  </w:style>
  <w:style w:type="paragraph" w:customStyle="1" w:styleId="TableBodyText">
    <w:name w:val="Table Body Text"/>
    <w:basedOn w:val="BodyText"/>
    <w:rsid w:val="003D2AC1"/>
    <w:pPr>
      <w:spacing w:before="60" w:after="60"/>
    </w:pPr>
  </w:style>
  <w:style w:type="paragraph" w:styleId="ListContinue">
    <w:name w:val="List Continue"/>
    <w:basedOn w:val="List"/>
    <w:rsid w:val="003D2AC1"/>
    <w:pPr>
      <w:ind w:firstLine="0"/>
    </w:pPr>
  </w:style>
  <w:style w:type="paragraph" w:customStyle="1" w:styleId="ListNote">
    <w:name w:val="List Note"/>
    <w:basedOn w:val="List"/>
    <w:rsid w:val="003D2AC1"/>
    <w:pPr>
      <w:pBdr>
        <w:top w:val="single" w:sz="6" w:space="2" w:color="918585"/>
        <w:bottom w:val="single" w:sz="6" w:space="2" w:color="918585"/>
      </w:pBdr>
      <w:tabs>
        <w:tab w:val="left" w:pos="1021"/>
      </w:tabs>
      <w:ind w:firstLine="0"/>
    </w:pPr>
  </w:style>
  <w:style w:type="paragraph" w:customStyle="1" w:styleId="Warning">
    <w:name w:val="Warning"/>
    <w:basedOn w:val="BodyText"/>
    <w:rsid w:val="003D2AC1"/>
    <w:pPr>
      <w:shd w:val="clear" w:color="auto" w:fill="D9D9D9"/>
      <w:tabs>
        <w:tab w:val="left" w:pos="992"/>
      </w:tabs>
      <w:ind w:left="119" w:right="119"/>
    </w:pPr>
    <w:rPr>
      <w:sz w:val="20"/>
    </w:rPr>
  </w:style>
  <w:style w:type="paragraph" w:customStyle="1" w:styleId="MarginIcons">
    <w:name w:val="Margin Icons"/>
    <w:basedOn w:val="BodyText"/>
    <w:rsid w:val="003D2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AC1"/>
    <w:rPr>
      <w:rFonts w:ascii="Courier New" w:hAnsi="Courier New"/>
    </w:rPr>
  </w:style>
  <w:style w:type="paragraph" w:customStyle="1" w:styleId="NoteBullet">
    <w:name w:val="Note Bullet"/>
    <w:basedOn w:val="Note"/>
    <w:rsid w:val="003D2AC1"/>
    <w:pPr>
      <w:tabs>
        <w:tab w:val="clear" w:pos="680"/>
      </w:tabs>
      <w:spacing w:before="60" w:after="60"/>
    </w:pPr>
  </w:style>
  <w:style w:type="paragraph" w:customStyle="1" w:styleId="SubHeading2">
    <w:name w:val="SubHeading2"/>
    <w:basedOn w:val="HeadingBase"/>
    <w:rsid w:val="003D2AC1"/>
    <w:pPr>
      <w:spacing w:before="240" w:after="60"/>
    </w:pPr>
    <w:rPr>
      <w:sz w:val="20"/>
    </w:rPr>
  </w:style>
  <w:style w:type="paragraph" w:customStyle="1" w:styleId="SubHeading1">
    <w:name w:val="SubHeading1"/>
    <w:basedOn w:val="HeadingBase"/>
    <w:rsid w:val="003D2AC1"/>
    <w:pPr>
      <w:spacing w:before="240" w:after="60"/>
    </w:pPr>
    <w:rPr>
      <w:color w:val="918585"/>
      <w:sz w:val="22"/>
    </w:rPr>
  </w:style>
  <w:style w:type="paragraph" w:customStyle="1" w:styleId="SideHeading">
    <w:name w:val="Side Heading"/>
    <w:basedOn w:val="HeadingBase"/>
    <w:rsid w:val="003D2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AC1"/>
    <w:pPr>
      <w:numPr>
        <w:numId w:val="12"/>
      </w:numPr>
    </w:pPr>
  </w:style>
  <w:style w:type="paragraph" w:styleId="PlainText">
    <w:name w:val="Plain Text"/>
    <w:basedOn w:val="Normal"/>
    <w:link w:val="PlainTextChar"/>
    <w:rsid w:val="003D2AC1"/>
    <w:rPr>
      <w:sz w:val="20"/>
    </w:rPr>
  </w:style>
  <w:style w:type="character" w:customStyle="1" w:styleId="PlainTextChar">
    <w:name w:val="Plain Text Char"/>
    <w:basedOn w:val="DefaultParagraphFont"/>
    <w:link w:val="PlainText"/>
    <w:rsid w:val="003D2AC1"/>
    <w:rPr>
      <w:rFonts w:ascii="Courier New" w:eastAsia="Times New Roman" w:hAnsi="Courier New" w:cs="Times New Roman"/>
      <w:sz w:val="20"/>
      <w:szCs w:val="20"/>
      <w:lang w:eastAsia="en-US"/>
    </w:rPr>
  </w:style>
  <w:style w:type="character" w:customStyle="1" w:styleId="MenuOption">
    <w:name w:val="Menu Option"/>
    <w:basedOn w:val="DefaultParagraphFont"/>
    <w:rsid w:val="003D2AC1"/>
    <w:rPr>
      <w:b/>
      <w:smallCaps/>
    </w:rPr>
  </w:style>
  <w:style w:type="paragraph" w:customStyle="1" w:styleId="TableListNumber">
    <w:name w:val="Table List Number"/>
    <w:basedOn w:val="ListNumber"/>
    <w:rsid w:val="003D2AC1"/>
    <w:pPr>
      <w:numPr>
        <w:numId w:val="0"/>
      </w:numPr>
    </w:pPr>
  </w:style>
  <w:style w:type="paragraph" w:styleId="TOC4">
    <w:name w:val="toc 4"/>
    <w:basedOn w:val="TOCBase"/>
    <w:next w:val="Normal"/>
    <w:semiHidden/>
    <w:rsid w:val="003D2AC1"/>
    <w:pPr>
      <w:tabs>
        <w:tab w:val="right" w:leader="dot" w:pos="9071"/>
      </w:tabs>
      <w:ind w:left="1701"/>
    </w:pPr>
  </w:style>
  <w:style w:type="paragraph" w:customStyle="1" w:styleId="ListAlpha">
    <w:name w:val="List Alpha"/>
    <w:basedOn w:val="List"/>
    <w:rsid w:val="003D2AC1"/>
    <w:pPr>
      <w:numPr>
        <w:numId w:val="9"/>
      </w:numPr>
    </w:pPr>
  </w:style>
  <w:style w:type="paragraph" w:styleId="List2">
    <w:name w:val="List 2"/>
    <w:basedOn w:val="BodyText"/>
    <w:rsid w:val="003D2AC1"/>
    <w:pPr>
      <w:tabs>
        <w:tab w:val="left" w:pos="680"/>
      </w:tabs>
      <w:spacing w:before="60" w:after="60"/>
      <w:ind w:left="680" w:hanging="340"/>
    </w:pPr>
  </w:style>
  <w:style w:type="paragraph" w:styleId="List3">
    <w:name w:val="List 3"/>
    <w:basedOn w:val="BodyText"/>
    <w:rsid w:val="003D2AC1"/>
    <w:pPr>
      <w:tabs>
        <w:tab w:val="left" w:pos="1021"/>
      </w:tabs>
      <w:spacing w:before="60" w:after="60"/>
      <w:ind w:left="1020" w:hanging="340"/>
    </w:pPr>
  </w:style>
  <w:style w:type="paragraph" w:styleId="List4">
    <w:name w:val="List 4"/>
    <w:basedOn w:val="BodyText"/>
    <w:rsid w:val="003D2AC1"/>
    <w:pPr>
      <w:tabs>
        <w:tab w:val="left" w:pos="1361"/>
      </w:tabs>
      <w:spacing w:before="60" w:after="60"/>
      <w:ind w:left="1361" w:hanging="340"/>
    </w:pPr>
  </w:style>
  <w:style w:type="paragraph" w:styleId="List5">
    <w:name w:val="List 5"/>
    <w:basedOn w:val="BodyText"/>
    <w:rsid w:val="003D2AC1"/>
    <w:pPr>
      <w:tabs>
        <w:tab w:val="left" w:pos="1701"/>
      </w:tabs>
      <w:spacing w:before="60" w:after="60"/>
      <w:ind w:left="1701" w:hanging="340"/>
    </w:pPr>
  </w:style>
  <w:style w:type="paragraph" w:styleId="ListBullet3">
    <w:name w:val="List Bullet 3"/>
    <w:basedOn w:val="List3"/>
    <w:rsid w:val="003D2AC1"/>
    <w:pPr>
      <w:numPr>
        <w:numId w:val="15"/>
      </w:numPr>
      <w:tabs>
        <w:tab w:val="clear" w:pos="1021"/>
      </w:tabs>
      <w:ind w:left="1037" w:hanging="357"/>
    </w:pPr>
  </w:style>
  <w:style w:type="paragraph" w:styleId="ListBullet4">
    <w:name w:val="List Bullet 4"/>
    <w:basedOn w:val="List4"/>
    <w:rsid w:val="003D2AC1"/>
    <w:pPr>
      <w:numPr>
        <w:numId w:val="3"/>
      </w:numPr>
    </w:pPr>
  </w:style>
  <w:style w:type="paragraph" w:styleId="ListBullet5">
    <w:name w:val="List Bullet 5"/>
    <w:basedOn w:val="List5"/>
    <w:rsid w:val="003D2AC1"/>
    <w:pPr>
      <w:numPr>
        <w:numId w:val="4"/>
      </w:numPr>
    </w:pPr>
  </w:style>
  <w:style w:type="paragraph" w:styleId="ListContinue2">
    <w:name w:val="List Continue 2"/>
    <w:basedOn w:val="List2"/>
    <w:rsid w:val="003D2AC1"/>
    <w:pPr>
      <w:ind w:firstLine="0"/>
    </w:pPr>
  </w:style>
  <w:style w:type="paragraph" w:styleId="ListContinue3">
    <w:name w:val="List Continue 3"/>
    <w:basedOn w:val="List3"/>
    <w:rsid w:val="003D2AC1"/>
    <w:pPr>
      <w:ind w:left="1021" w:firstLine="0"/>
    </w:pPr>
  </w:style>
  <w:style w:type="paragraph" w:styleId="ListContinue4">
    <w:name w:val="List Continue 4"/>
    <w:basedOn w:val="List4"/>
    <w:rsid w:val="003D2AC1"/>
    <w:pPr>
      <w:ind w:firstLine="0"/>
    </w:pPr>
  </w:style>
  <w:style w:type="paragraph" w:styleId="ListContinue5">
    <w:name w:val="List Continue 5"/>
    <w:basedOn w:val="List5"/>
    <w:rsid w:val="003D2AC1"/>
    <w:pPr>
      <w:ind w:firstLine="0"/>
    </w:pPr>
  </w:style>
  <w:style w:type="paragraph" w:styleId="ListNumber3">
    <w:name w:val="List Number 3"/>
    <w:basedOn w:val="List3"/>
    <w:rsid w:val="003D2AC1"/>
    <w:pPr>
      <w:numPr>
        <w:numId w:val="5"/>
      </w:numPr>
    </w:pPr>
  </w:style>
  <w:style w:type="paragraph" w:styleId="ListNumber4">
    <w:name w:val="List Number 4"/>
    <w:basedOn w:val="List4"/>
    <w:rsid w:val="003D2AC1"/>
    <w:pPr>
      <w:numPr>
        <w:numId w:val="6"/>
      </w:numPr>
    </w:pPr>
  </w:style>
  <w:style w:type="paragraph" w:styleId="ListNumber5">
    <w:name w:val="List Number 5"/>
    <w:basedOn w:val="List5"/>
    <w:rsid w:val="003D2AC1"/>
    <w:pPr>
      <w:numPr>
        <w:numId w:val="7"/>
      </w:numPr>
    </w:pPr>
  </w:style>
  <w:style w:type="paragraph" w:styleId="BlockText">
    <w:name w:val="Block Text"/>
    <w:basedOn w:val="Normal"/>
    <w:rsid w:val="003D2AC1"/>
    <w:pPr>
      <w:spacing w:after="120"/>
      <w:ind w:left="1440" w:right="1440"/>
    </w:pPr>
  </w:style>
  <w:style w:type="character" w:customStyle="1" w:styleId="Subscript">
    <w:name w:val="Subscript"/>
    <w:basedOn w:val="DefaultParagraphFont"/>
    <w:rsid w:val="003D2AC1"/>
    <w:rPr>
      <w:sz w:val="16"/>
      <w:vertAlign w:val="subscript"/>
    </w:rPr>
  </w:style>
  <w:style w:type="character" w:customStyle="1" w:styleId="Superscript">
    <w:name w:val="Superscript"/>
    <w:basedOn w:val="DefaultParagraphFont"/>
    <w:rsid w:val="003D2AC1"/>
    <w:rPr>
      <w:sz w:val="16"/>
      <w:vertAlign w:val="superscript"/>
    </w:rPr>
  </w:style>
  <w:style w:type="character" w:customStyle="1" w:styleId="Symbols">
    <w:name w:val="Symbols"/>
    <w:basedOn w:val="DefaultParagraphFont"/>
    <w:rsid w:val="003D2AC1"/>
    <w:rPr>
      <w:rFonts w:ascii="Symbol" w:hAnsi="Symbol"/>
    </w:rPr>
  </w:style>
  <w:style w:type="character" w:customStyle="1" w:styleId="MenuOptions">
    <w:name w:val="Menu Options"/>
    <w:basedOn w:val="DefaultParagraphFont"/>
    <w:rsid w:val="003D2AC1"/>
    <w:rPr>
      <w:rFonts w:ascii="Arial Narrow" w:hAnsi="Arial Narrow"/>
      <w:smallCaps/>
    </w:rPr>
  </w:style>
  <w:style w:type="character" w:customStyle="1" w:styleId="Buttons">
    <w:name w:val="Buttons"/>
    <w:basedOn w:val="DefaultParagraphFont"/>
    <w:rsid w:val="003D2AC1"/>
    <w:rPr>
      <w:b/>
    </w:rPr>
  </w:style>
  <w:style w:type="character" w:customStyle="1" w:styleId="Underlined">
    <w:name w:val="Underlined"/>
    <w:basedOn w:val="DefaultParagraphFont"/>
    <w:rsid w:val="003D2AC1"/>
    <w:rPr>
      <w:u w:val="single"/>
    </w:rPr>
  </w:style>
  <w:style w:type="paragraph" w:customStyle="1" w:styleId="TableBodyTextRight">
    <w:name w:val="Table Body Text Right"/>
    <w:basedOn w:val="TableBodyText"/>
    <w:rsid w:val="003D2AC1"/>
    <w:pPr>
      <w:widowControl w:val="0"/>
      <w:autoSpaceDE w:val="0"/>
      <w:autoSpaceDN w:val="0"/>
      <w:adjustRightInd w:val="0"/>
      <w:jc w:val="right"/>
    </w:pPr>
    <w:rPr>
      <w:rFonts w:cs="Arial"/>
      <w:szCs w:val="18"/>
    </w:rPr>
  </w:style>
  <w:style w:type="paragraph" w:customStyle="1" w:styleId="CopyrightText">
    <w:name w:val="Copyright Text"/>
    <w:basedOn w:val="BodyText"/>
    <w:rsid w:val="003D2AC1"/>
    <w:rPr>
      <w:sz w:val="18"/>
    </w:rPr>
  </w:style>
  <w:style w:type="paragraph" w:customStyle="1" w:styleId="BodySmallRight">
    <w:name w:val="Body Small Right"/>
    <w:basedOn w:val="BodyTextRight"/>
    <w:rsid w:val="003D2AC1"/>
    <w:rPr>
      <w:sz w:val="18"/>
      <w:szCs w:val="18"/>
    </w:rPr>
  </w:style>
  <w:style w:type="paragraph" w:customStyle="1" w:styleId="MarginEdition">
    <w:name w:val="Margin Edition"/>
    <w:basedOn w:val="MarginNote"/>
    <w:rsid w:val="003D2AC1"/>
    <w:pPr>
      <w:spacing w:before="0" w:after="0"/>
    </w:pPr>
    <w:rPr>
      <w:rFonts w:ascii="Times New Roman" w:hAnsi="Times New Roman"/>
      <w:color w:val="999999"/>
    </w:rPr>
  </w:style>
  <w:style w:type="paragraph" w:customStyle="1" w:styleId="Spacer">
    <w:name w:val="Spacer"/>
    <w:basedOn w:val="Normal"/>
    <w:rsid w:val="003D2AC1"/>
    <w:rPr>
      <w:sz w:val="2"/>
      <w:szCs w:val="2"/>
    </w:rPr>
  </w:style>
  <w:style w:type="character" w:customStyle="1" w:styleId="Small">
    <w:name w:val="Small"/>
    <w:basedOn w:val="DefaultParagraphFont"/>
    <w:rsid w:val="003D2AC1"/>
    <w:rPr>
      <w:sz w:val="16"/>
    </w:rPr>
  </w:style>
  <w:style w:type="paragraph" w:customStyle="1" w:styleId="WideTable">
    <w:name w:val="Wide Table"/>
    <w:basedOn w:val="Normal"/>
    <w:rsid w:val="003D2AC1"/>
    <w:pPr>
      <w:ind w:left="-1418"/>
    </w:pPr>
    <w:rPr>
      <w:sz w:val="2"/>
      <w:szCs w:val="2"/>
    </w:rPr>
  </w:style>
  <w:style w:type="character" w:styleId="PageNumber">
    <w:name w:val="page number"/>
    <w:basedOn w:val="DefaultParagraphFont"/>
    <w:rsid w:val="003D2AC1"/>
  </w:style>
  <w:style w:type="paragraph" w:styleId="Quote">
    <w:name w:val="Quote"/>
    <w:basedOn w:val="Heading1"/>
    <w:link w:val="QuoteChar"/>
    <w:qFormat/>
    <w:rsid w:val="003D2AC1"/>
    <w:rPr>
      <w:b w:val="0"/>
      <w:sz w:val="72"/>
      <w:szCs w:val="72"/>
      <w:lang w:val="en-NZ"/>
    </w:rPr>
  </w:style>
  <w:style w:type="character" w:customStyle="1" w:styleId="QuoteChar">
    <w:name w:val="Quote Char"/>
    <w:basedOn w:val="DefaultParagraphFont"/>
    <w:link w:val="Quote"/>
    <w:rsid w:val="003D2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AC1"/>
    <w:pPr>
      <w:pageBreakBefore/>
    </w:pPr>
  </w:style>
  <w:style w:type="paragraph" w:customStyle="1" w:styleId="Border">
    <w:name w:val="Border"/>
    <w:basedOn w:val="Normal"/>
    <w:qFormat/>
    <w:rsid w:val="003D2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AC1"/>
    <w:rPr>
      <w:b/>
      <w:bCs/>
      <w:i/>
      <w:iCs/>
      <w:color w:val="auto"/>
    </w:rPr>
  </w:style>
  <w:style w:type="paragraph" w:styleId="IntenseQuote">
    <w:name w:val="Intense Quote"/>
    <w:basedOn w:val="Normal"/>
    <w:next w:val="Normal"/>
    <w:link w:val="IntenseQuoteChar"/>
    <w:uiPriority w:val="30"/>
    <w:qFormat/>
    <w:rsid w:val="003D2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AC1"/>
    <w:rPr>
      <w:smallCaps/>
      <w:color w:val="auto"/>
      <w:u w:val="single"/>
    </w:rPr>
  </w:style>
  <w:style w:type="character" w:styleId="IntenseReference">
    <w:name w:val="Intense Reference"/>
    <w:basedOn w:val="DefaultParagraphFont"/>
    <w:uiPriority w:val="32"/>
    <w:qFormat/>
    <w:rsid w:val="003D2AC1"/>
    <w:rPr>
      <w:b/>
      <w:bCs/>
      <w:smallCaps/>
      <w:color w:val="auto"/>
      <w:spacing w:val="5"/>
      <w:u w:val="single"/>
    </w:rPr>
  </w:style>
  <w:style w:type="paragraph" w:customStyle="1" w:styleId="2ColumnHeading">
    <w:name w:val="2Column Heading"/>
    <w:basedOn w:val="BodyText"/>
    <w:qFormat/>
    <w:rsid w:val="003D2AC1"/>
    <w:pPr>
      <w:spacing w:after="60"/>
      <w:ind w:left="-2268"/>
    </w:pPr>
    <w:rPr>
      <w:b/>
    </w:rPr>
  </w:style>
  <w:style w:type="paragraph" w:customStyle="1" w:styleId="Heading1TOC">
    <w:name w:val="Heading1 TOC"/>
    <w:basedOn w:val="Normal"/>
    <w:qFormat/>
    <w:rsid w:val="003D2AC1"/>
    <w:pPr>
      <w:spacing w:before="240" w:after="120"/>
    </w:pPr>
    <w:rPr>
      <w:rFonts w:ascii="Times New Roman" w:hAnsi="Times New Roman"/>
      <w:b/>
      <w:sz w:val="32"/>
    </w:rPr>
  </w:style>
  <w:style w:type="paragraph" w:customStyle="1" w:styleId="Heading2TOC">
    <w:name w:val="Heading2 TOC"/>
    <w:basedOn w:val="Normal"/>
    <w:qFormat/>
    <w:rsid w:val="003D2AC1"/>
    <w:pPr>
      <w:spacing w:before="240" w:after="60"/>
    </w:pPr>
    <w:rPr>
      <w:rFonts w:ascii="Times New Roman" w:hAnsi="Times New Roman"/>
      <w:b/>
      <w:sz w:val="28"/>
    </w:rPr>
  </w:style>
  <w:style w:type="character" w:customStyle="1" w:styleId="Underline">
    <w:name w:val="Underline"/>
    <w:basedOn w:val="DefaultParagraphFont"/>
    <w:qFormat/>
    <w:rsid w:val="003D2AC1"/>
    <w:rPr>
      <w:u w:val="single"/>
    </w:rPr>
  </w:style>
  <w:style w:type="character" w:customStyle="1" w:styleId="BoldandItalics">
    <w:name w:val="Bold and Italics"/>
    <w:qFormat/>
    <w:rsid w:val="003D2AC1"/>
    <w:rPr>
      <w:b/>
      <w:i/>
      <w:u w:val="none"/>
    </w:rPr>
  </w:style>
  <w:style w:type="paragraph" w:styleId="BalloonText">
    <w:name w:val="Balloon Text"/>
    <w:basedOn w:val="Normal"/>
    <w:link w:val="BalloonTextChar"/>
    <w:rsid w:val="003D2AC1"/>
    <w:rPr>
      <w:rFonts w:ascii="Tahoma" w:hAnsi="Tahoma" w:cs="Tahoma"/>
      <w:sz w:val="16"/>
      <w:szCs w:val="16"/>
    </w:rPr>
  </w:style>
  <w:style w:type="character" w:customStyle="1" w:styleId="BalloonTextChar">
    <w:name w:val="Balloon Text Char"/>
    <w:basedOn w:val="DefaultParagraphFont"/>
    <w:link w:val="BalloonText"/>
    <w:rsid w:val="003D2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A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2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AC1"/>
    <w:rPr>
      <w:b/>
      <w:color w:val="660033"/>
      <w:spacing w:val="0"/>
    </w:rPr>
  </w:style>
  <w:style w:type="paragraph" w:customStyle="1" w:styleId="Nameditemlist">
    <w:name w:val="Named item list"/>
    <w:basedOn w:val="BodyText"/>
    <w:qFormat/>
    <w:rsid w:val="003D2A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2298</Words>
  <Characters>14514</Characters>
  <Application>Microsoft Office Word</Application>
  <DocSecurity>0</DocSecurity>
  <Lines>526</Lines>
  <Paragraphs>219</Paragraphs>
  <ScaleCrop>false</ScaleCrop>
  <Company>Author-it Software Corporation Ltd.</Company>
  <LinksUpToDate>false</LinksUpToDate>
  <CharactersWithSpaces>16643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UEENEEN107A Install and maintain active level crossing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2013-08-14T01:05:00Z</dcterms:created>
  <dcterms:modified xsi:type="dcterms:W3CDTF">2013-08-14T01:05:00Z</dcterms:modified>
</cp:coreProperties>
</file>