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1A3" w:rsidP="00A101A3">
      <w:pPr>
        <w:pStyle w:val="Title"/>
      </w:pPr>
      <w:r>
        <w:fldChar w:fldCharType="begin"/>
      </w:r>
      <w:r>
        <w:instrText xml:space="preserve"> TITLE   \* MERGEFORMAT </w:instrText>
      </w:r>
      <w:r>
        <w:fldChar w:fldCharType="separate"/>
      </w:r>
      <w:r>
        <w:t>UEENEEN105A Install and maintain rail signalling power supplies</w:t>
      </w:r>
      <w:r>
        <w:fldChar w:fldCharType="end"/>
      </w:r>
    </w:p>
    <w:p w:rsidR="00A101A3" w:rsidP="00A101A3">
      <w:pPr>
        <w:pStyle w:val="Version"/>
        <w:sectPr w:rsidSect="00311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1B89" w:rsidP="00311B89">
      <w:pPr>
        <w:pStyle w:val="SuperHeading"/>
      </w:pPr>
      <w:r w:rsidRPr="00311B89">
        <w:t>UEENEEN105A Install and maintain rail signalling power supplies</w:t>
      </w:r>
    </w:p>
    <w:p w:rsidR="00000000" w:rsidRPr="00311B89" w:rsidP="00311B89">
      <w:pPr>
        <w:pStyle w:val="Heading1"/>
      </w:pPr>
      <w:bookmarkStart w:id="1" w:name="O_585682"/>
      <w:bookmarkEnd w:id="1"/>
      <w:r w:rsidRPr="00311B89">
        <w:t>Modification History</w:t>
      </w:r>
    </w:p>
    <w:p w:rsidR="00000000" w:rsidRPr="00311B89" w:rsidP="00311B89">
      <w:pPr>
        <w:pStyle w:val="BodyText"/>
      </w:pPr>
      <w:r w:rsidRPr="00311B89">
        <w:t>Not applicable.</w:t>
      </w:r>
    </w:p>
    <w:p w:rsidR="00000000" w:rsidRPr="00311B89" w:rsidP="00311B89">
      <w:pPr>
        <w:pStyle w:val="AllowPageBreak"/>
      </w:pPr>
    </w:p>
    <w:p w:rsidR="00000000" w:rsidRPr="00311B89" w:rsidP="00311B89">
      <w:pPr>
        <w:pStyle w:val="Heading1"/>
      </w:pPr>
      <w:bookmarkStart w:id="2" w:name="O_585681"/>
      <w:bookmarkEnd w:id="2"/>
      <w:r w:rsidRPr="00311B89">
        <w:t>Unit Descriptor</w:t>
      </w:r>
    </w:p>
    <w:tbl>
      <w:tblPr>
        <w:tblW w:w="0" w:type="auto"/>
        <w:tblLayout w:type="fixed"/>
        <w:tblCellMar>
          <w:left w:w="62" w:type="dxa"/>
          <w:right w:w="62" w:type="dxa"/>
        </w:tblCellMar>
        <w:tblLook w:val="0000"/>
      </w:tblPr>
      <w:tblGrid>
        <w:gridCol w:w="2700"/>
        <w:gridCol w:w="5760"/>
      </w:tblGrid>
      <w:tr w:rsidTr="00A10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1)</w:t>
            </w:r>
            <w:r w:rsidRPr="00311B89">
              <w:t xml:space="preserve"> </w:t>
            </w:r>
            <w:r w:rsidRPr="00311B89">
              <w:rPr>
                <w:rStyle w:val="SpecialBold"/>
              </w:rPr>
              <w:t>Scope:</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1B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1.1) Descriptor</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This unit covers installation and maintenance of rail signalling power supplies. It encompasses working safely and to installation/maintenance standards, matching equipment with that specified for a given location, terminating cables and connecting wiring,</w:t>
            </w:r>
            <w:r w:rsidRPr="00311B89">
              <w:t xml:space="preserve"> compliance and functional testing, certifying and reporting.</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3" w:name="O_585680"/>
      <w:bookmarkEnd w:id="3"/>
      <w:r w:rsidRPr="00311B89">
        <w:t>Application of the Unit</w:t>
      </w:r>
    </w:p>
    <w:tbl>
      <w:tblPr>
        <w:tblW w:w="0" w:type="auto"/>
        <w:tblLayout w:type="fixed"/>
        <w:tblCellMar>
          <w:left w:w="62" w:type="dxa"/>
          <w:right w:w="62" w:type="dxa"/>
        </w:tblCellMar>
        <w:tblLook w:val="0000"/>
      </w:tblPr>
      <w:tblGrid>
        <w:gridCol w:w="2672"/>
        <w:gridCol w:w="5699"/>
      </w:tblGrid>
      <w:tr w:rsidTr="00A101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2)</w:t>
            </w:r>
          </w:p>
        </w:tc>
      </w:tr>
      <w:tr w:rsidTr="00A101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This unit shall apply to qual</w:t>
            </w:r>
            <w:r w:rsidRPr="00311B89">
              <w:t>ifications in installation and maintenance of rail signalling electrical power and control systems.</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4" w:name="O_585679"/>
      <w:bookmarkEnd w:id="4"/>
      <w:r w:rsidRPr="00311B89">
        <w:t>Licensing/Regulatory Information</w:t>
      </w:r>
    </w:p>
    <w:tbl>
      <w:tblPr>
        <w:tblW w:w="0" w:type="auto"/>
        <w:tblLayout w:type="fixed"/>
        <w:tblCellMar>
          <w:left w:w="62" w:type="dxa"/>
          <w:right w:w="62" w:type="dxa"/>
        </w:tblCellMar>
        <w:tblLook w:val="0000"/>
      </w:tblPr>
      <w:tblGrid>
        <w:gridCol w:w="2700"/>
        <w:gridCol w:w="5760"/>
      </w:tblGrid>
      <w:tr w:rsidTr="00A10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 xml:space="preserve">3) </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The skills and knowledge described in this unit may only be practised in the w</w:t>
            </w:r>
            <w:r w:rsidRPr="00311B89">
              <w:t>orkplace under regulations related to electrical work, the codes of practice and regulations of the State/Territory in which the work is carried out. This includes codes of practice such as the ‘Code Of Practice for the Defined Interstate Rail Network’ for</w:t>
            </w:r>
            <w:r w:rsidRPr="00311B89">
              <w:t xml:space="preserve"> work carried out on that network.</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5" w:name="O_585678"/>
      <w:bookmarkEnd w:id="5"/>
      <w:r w:rsidRPr="00311B89">
        <w:t>Pre-Requisites</w:t>
      </w:r>
    </w:p>
    <w:tbl>
      <w:tblPr>
        <w:tblW w:w="0" w:type="auto"/>
        <w:tblLayout w:type="fixed"/>
        <w:tblCellMar>
          <w:left w:w="62" w:type="dxa"/>
          <w:right w:w="62" w:type="dxa"/>
        </w:tblCellMar>
        <w:tblLook w:val="0000"/>
      </w:tblPr>
      <w:tblGrid>
        <w:gridCol w:w="2700"/>
        <w:gridCol w:w="1350"/>
        <w:gridCol w:w="4410"/>
      </w:tblGrid>
      <w:tr w:rsidTr="00A10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 xml:space="preserve">4) </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4.1)</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Granting competency in this unit shall be made only after competency in the following unit(s) has/have been confirmed.</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UEENEEN102A</w:t>
            </w:r>
          </w:p>
        </w:tc>
        <w:tc>
          <w:tcPr>
            <w:tcW w:w="441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Assemble and wire internal electrical rail signalling equipment</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AND</w:t>
            </w:r>
          </w:p>
        </w:tc>
        <w:tc>
          <w:tcPr>
            <w:tcW w:w="441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Relevant work place requirements in ‘Work site protection’ have been acquired.</w:t>
            </w:r>
          </w:p>
        </w:tc>
      </w:tr>
    </w:tbl>
    <w:p w:rsidR="00000000" w:rsidRPr="00311B89" w:rsidP="00311B8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101A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 xml:space="preserve">4.2) </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Participants are best e</w:t>
            </w:r>
            <w:r w:rsidRPr="00311B89">
              <w:t>quipped to achieve competency in this unit if they have reading, writing and numeracy skills indicated by the following scales. Description of each scale is given in Volume 2, Part 3 ‘Literacy and Numeracy’</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Reading</w:t>
            </w:r>
          </w:p>
        </w:tc>
        <w:tc>
          <w:tcPr>
            <w:tcW w:w="81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4</w:t>
            </w:r>
          </w:p>
        </w:tc>
        <w:tc>
          <w:tcPr>
            <w:tcW w:w="99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Writing</w:t>
            </w: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4</w:t>
            </w:r>
          </w:p>
        </w:tc>
        <w:tc>
          <w:tcPr>
            <w:tcW w:w="12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Numeracy</w:t>
            </w:r>
          </w:p>
        </w:tc>
        <w:tc>
          <w:tcPr>
            <w:tcW w:w="72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4</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6" w:name="O_585677"/>
      <w:bookmarkEnd w:id="6"/>
      <w:r w:rsidRPr="00311B89">
        <w:t>Employability Skills Information</w:t>
      </w:r>
    </w:p>
    <w:tbl>
      <w:tblPr>
        <w:tblW w:w="0" w:type="auto"/>
        <w:tblLayout w:type="fixed"/>
        <w:tblCellMar>
          <w:left w:w="62" w:type="dxa"/>
          <w:right w:w="62" w:type="dxa"/>
        </w:tblCellMar>
        <w:tblLook w:val="0000"/>
      </w:tblPr>
      <w:tblGrid>
        <w:gridCol w:w="2700"/>
        <w:gridCol w:w="5760"/>
      </w:tblGrid>
      <w:tr w:rsidTr="00A10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 xml:space="preserve">5) </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This unit contains Employability Skills</w:t>
            </w:r>
          </w:p>
          <w:p w:rsidR="00000000" w:rsidRPr="00311B89" w:rsidP="00311B89">
            <w:pPr>
              <w:pStyle w:val="BodyText"/>
            </w:pPr>
            <w:r w:rsidRPr="00311B89">
              <w:t xml:space="preserve">The required outcomes </w:t>
            </w:r>
            <w:r w:rsidRPr="00311B89">
              <w:t>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7" w:name="O_585676"/>
      <w:bookmarkEnd w:id="7"/>
      <w:r w:rsidRPr="00311B89">
        <w:t>Elements and Performance Criteria Pre-Content</w:t>
      </w:r>
    </w:p>
    <w:tbl>
      <w:tblPr>
        <w:tblW w:w="0" w:type="auto"/>
        <w:tblLayout w:type="fixed"/>
        <w:tblCellMar>
          <w:left w:w="62" w:type="dxa"/>
          <w:right w:w="62" w:type="dxa"/>
        </w:tblCellMar>
        <w:tblLook w:val="0000"/>
      </w:tblPr>
      <w:tblGrid>
        <w:gridCol w:w="2700"/>
        <w:gridCol w:w="5760"/>
      </w:tblGrid>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6)</w:t>
            </w:r>
            <w:r w:rsidRPr="00311B8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Performance Criteria describe the required performance needed to demonstrate achievement of the element. Assessment of perfor</w:t>
            </w:r>
            <w:r w:rsidRPr="00311B89">
              <w:t>mance is to be consistent with the Evidence Guide.</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8" w:name="O_585675"/>
      <w:bookmarkEnd w:id="8"/>
      <w:r w:rsidRPr="00311B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01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PERFORMANCE CRITERIA</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w:t>
            </w:r>
          </w:p>
        </w:tc>
        <w:tc>
          <w:tcPr>
            <w:tcW w:w="2296"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Prepare to install and maintain signalling power supplies</w:t>
            </w: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1.1</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 xml:space="preserve">OHS procedures for a given work area are identified, obtained and understood. </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1.2</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Established OHS risk control measures and procedures are followed in preparation for the work.</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1.3</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Safety hazards which have not previously been identified are noted, and established risk control measures are implemented.</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1.4</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Nature of the work and location of power supply is determined by site inspection and from job instructions, specifications and</w:t>
            </w:r>
            <w:r w:rsidRPr="00311B89">
              <w:t>/or diagrams.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1.5</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Materials needed for the installation, maintenance/repair work are obtained in accordance with established procedures and checked against job requirements.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1.6</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Tools, equipment and testing devices needed to install or maintain/repai</w:t>
            </w:r>
            <w:r w:rsidRPr="00311B89">
              <w:t>r power supplies are obtained in accordance with established procedures and checked for correct operation and safety.</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w:t>
            </w:r>
          </w:p>
        </w:tc>
        <w:tc>
          <w:tcPr>
            <w:tcW w:w="2296"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Install and maintain signalling power supplies</w:t>
            </w: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2.1</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OHS risk control measures and procedures for carrying out the work are followed.</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2.2</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Power supply is installed to comply with technical standards and job specifications and requirements.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2.3</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Wiring is run and cables terminated to comply with technical standards and job specifications and requirements.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2.4</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Tests are conducted to e</w:t>
            </w:r>
            <w:r w:rsidRPr="00311B89">
              <w:t>nsure installed, maintained/ repaired power supply complies with specifications and functions as intended.</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2.5</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Installation, maintenance/repair of power supply is carried out efficiently without waste of materials or damage to apparatus and the surrounding environment or services and using sustainable energy practices.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2.6</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Correct functioning of equipment is est</w:t>
            </w:r>
            <w:r w:rsidRPr="00311B89">
              <w:t>ablished from reference to manuals, system specifications and commissioning data.</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2.7</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Faults are identified by reference to appropriate technical information and applying knowledge of power supplies to logical fault finding techniques.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2.8</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Faulty, wo</w:t>
            </w:r>
            <w:r w:rsidRPr="00311B89">
              <w:t>rn, damaged or insecure components are replaced, repaired or secured in accordance with manufacturer specifications and enterprise requirements.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2.9</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Established methods for dealing with unexpected situations are discussed with appropriate person(s) and documented.</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3</w:t>
            </w:r>
          </w:p>
        </w:tc>
        <w:tc>
          <w:tcPr>
            <w:tcW w:w="2296"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Complete installation and maintain of signalling power supplies</w:t>
            </w: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3.1</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OHS work completion risk control measures and procedures are followed</w:t>
            </w:r>
            <w:r w:rsidRPr="00311B89">
              <w:t>.</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3.2</w:t>
            </w:r>
          </w:p>
        </w:tc>
        <w:tc>
          <w:tcPr>
            <w:tcW w:w="48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Work site is cleaned and made safe in accordance with established procedures.</w:t>
            </w:r>
          </w:p>
        </w:tc>
      </w:tr>
      <w:tr w:rsidTr="00A101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t>3.3</w:t>
            </w:r>
          </w:p>
        </w:tc>
        <w:tc>
          <w:tcPr>
            <w:tcW w:w="48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Work completion is documented and appropriate person(s) notified in accordance with established procedures, and relevant reports produced.</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9" w:name="O_585674"/>
      <w:bookmarkEnd w:id="9"/>
      <w:r w:rsidRPr="00311B89">
        <w:t>Requ</w:t>
      </w:r>
      <w:r w:rsidRPr="00311B89">
        <w:t>ired Skills and Knowledge</w:t>
      </w:r>
    </w:p>
    <w:tbl>
      <w:tblPr>
        <w:tblW w:w="0" w:type="auto"/>
        <w:tblLayout w:type="fixed"/>
        <w:tblCellMar>
          <w:left w:w="62" w:type="dxa"/>
          <w:right w:w="62" w:type="dxa"/>
        </w:tblCellMar>
        <w:tblLook w:val="0000"/>
      </w:tblPr>
      <w:tblGrid>
        <w:gridCol w:w="8460"/>
      </w:tblGrid>
      <w:tr w:rsidTr="00A10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REQUIRED SKILLS AND KNOWLEDGE</w:t>
            </w:r>
          </w:p>
        </w:tc>
      </w:tr>
      <w:tr w:rsidTr="00A101A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8)</w:t>
            </w:r>
            <w:r w:rsidRPr="00311B89">
              <w:t xml:space="preserve">  This describes the essential skills and knowledge and their level, required for this unit.</w:t>
            </w:r>
          </w:p>
          <w:p w:rsidR="00000000" w:rsidRPr="00311B89" w:rsidP="00311B89">
            <w:pPr>
              <w:pStyle w:val="BodyText"/>
            </w:pPr>
            <w:r w:rsidRPr="00311B89">
              <w:t>Evidence shall show that knowledge has been acquired of safe working practices and installing and maintaining rail signalling power supplies.</w:t>
            </w:r>
          </w:p>
          <w:p w:rsidR="00000000" w:rsidRPr="00311B89" w:rsidP="00311B89">
            <w:pPr>
              <w:pStyle w:val="BodyText"/>
            </w:pPr>
            <w:r w:rsidRPr="00311B89">
              <w:t>All knowledge and skills detailed in this unit should be contextualised to current industry practices and technolo</w:t>
            </w:r>
            <w:r w:rsidRPr="00311B89">
              <w:t>gies.</w:t>
            </w:r>
          </w:p>
          <w:p w:rsidR="00000000" w:rsidRPr="00311B89" w:rsidP="00311B89">
            <w:pPr>
              <w:pStyle w:val="BodyText"/>
            </w:pPr>
            <w:r w:rsidRPr="00311B89">
              <w:rPr>
                <w:rStyle w:val="SpecialBold"/>
              </w:rPr>
              <w:t xml:space="preserve">KS01-EN105A                       Rail signal power supply installation and maintenance </w:t>
            </w:r>
          </w:p>
          <w:p w:rsidR="00000000" w:rsidRPr="00311B89" w:rsidP="00311B89">
            <w:pPr>
              <w:pStyle w:val="BodyText"/>
            </w:pPr>
            <w:r w:rsidRPr="00311B89">
              <w:t xml:space="preserve">Evidence shall show an understanding of rail signal power supply installation and maintenance, applying safe working practices and relevant Standards, Codes and </w:t>
            </w:r>
            <w:r w:rsidRPr="00311B89">
              <w:t>Regulations to an extent indicated by the following aspects:</w:t>
            </w:r>
          </w:p>
          <w:p w:rsidR="00000000" w:rsidRPr="00311B89" w:rsidP="00311B89">
            <w:pPr>
              <w:pStyle w:val="BodyText"/>
            </w:pPr>
            <w:r w:rsidRPr="00311B89">
              <w:t>Basic rail operations</w:t>
            </w:r>
          </w:p>
          <w:p w:rsidR="00000000" w:rsidRPr="00311B89" w:rsidP="00311B89">
            <w:pPr>
              <w:pStyle w:val="BodyText"/>
            </w:pPr>
            <w:r w:rsidRPr="00311B89">
              <w:t>Rail terminology encompassing:</w:t>
            </w:r>
          </w:p>
          <w:p w:rsidR="00000000" w:rsidRPr="00311B89" w:rsidP="00311B89">
            <w:pPr>
              <w:pStyle w:val="BodyText"/>
            </w:pPr>
            <w:r w:rsidRPr="00311B89">
              <w:t>Rail signalling nomenclature</w:t>
            </w:r>
          </w:p>
          <w:p w:rsidR="00000000" w:rsidRPr="00311B89" w:rsidP="00311B89">
            <w:pPr>
              <w:pStyle w:val="BodyText"/>
            </w:pPr>
            <w:r w:rsidRPr="00311B89">
              <w:t>Rail signalling symbols</w:t>
            </w:r>
          </w:p>
          <w:p w:rsidR="00000000" w:rsidRPr="00311B89" w:rsidP="00311B89">
            <w:pPr>
              <w:pStyle w:val="BodyText"/>
            </w:pPr>
            <w:r w:rsidRPr="00311B89">
              <w:t>State/Territory Standards (where they apply)</w:t>
            </w:r>
          </w:p>
          <w:p w:rsidR="00000000" w:rsidRPr="00311B89" w:rsidP="00311B89">
            <w:pPr>
              <w:pStyle w:val="BodyText"/>
            </w:pPr>
            <w:r w:rsidRPr="00311B89">
              <w:t xml:space="preserve">Standard glossary of terms relevant to each </w:t>
            </w:r>
            <w:r w:rsidRPr="00311B89">
              <w:t>State/Territory.</w:t>
            </w:r>
          </w:p>
          <w:p w:rsidR="00000000" w:rsidRPr="00311B89" w:rsidP="00311B89">
            <w:pPr>
              <w:pStyle w:val="BodyText"/>
            </w:pPr>
            <w:r w:rsidRPr="00311B89">
              <w:t xml:space="preserve">Note: </w:t>
            </w:r>
          </w:p>
          <w:p w:rsidR="00000000" w:rsidRPr="00311B89" w:rsidP="00311B89">
            <w:pPr>
              <w:pStyle w:val="BodyText"/>
            </w:pPr>
            <w:r w:rsidRPr="00311B89">
              <w:t>Identify where the standard originated from and how new standards are developed to meet a national standard.</w:t>
            </w:r>
          </w:p>
          <w:p w:rsidR="00000000" w:rsidRPr="00311B89" w:rsidP="00311B89">
            <w:pPr>
              <w:pStyle w:val="BodyText"/>
            </w:pPr>
            <w:r w:rsidRPr="00311B89">
              <w:t>Train dynamics encompassing:</w:t>
            </w:r>
          </w:p>
          <w:p w:rsidR="00000000" w:rsidRPr="00311B89" w:rsidP="00311B89">
            <w:pPr>
              <w:pStyle w:val="BodyText"/>
            </w:pPr>
            <w:r w:rsidRPr="00311B89">
              <w:t>Types of rail vehicles</w:t>
            </w:r>
          </w:p>
          <w:p w:rsidR="00000000" w:rsidRPr="00311B89" w:rsidP="00311B89">
            <w:pPr>
              <w:pStyle w:val="BodyText"/>
            </w:pPr>
            <w:r w:rsidRPr="00311B89">
              <w:t>Note:</w:t>
            </w:r>
          </w:p>
          <w:p w:rsidR="00000000" w:rsidRPr="00311B89" w:rsidP="00311B89">
            <w:pPr>
              <w:pStyle w:val="BodyText"/>
            </w:pPr>
            <w:r w:rsidRPr="00311B89">
              <w:t>Vehicles include: Suburban/country passenger, freight, maintenanc</w:t>
            </w:r>
            <w:r w:rsidRPr="00311B89">
              <w:t>e vehicles and heritage/tourism.</w:t>
            </w:r>
          </w:p>
          <w:p w:rsidR="00000000" w:rsidRPr="00311B89" w:rsidP="00311B89">
            <w:pPr>
              <w:pStyle w:val="BodyText"/>
            </w:pPr>
            <w:r w:rsidRPr="00311B89">
              <w:t>Braking distance</w:t>
            </w:r>
          </w:p>
          <w:p w:rsidR="00000000" w:rsidRPr="00311B89" w:rsidP="00311B89">
            <w:pPr>
              <w:pStyle w:val="BodyText"/>
            </w:pPr>
            <w:r w:rsidRPr="00311B89">
              <w:t>Gradients/terrain</w:t>
            </w:r>
          </w:p>
          <w:p w:rsidR="00000000" w:rsidRPr="00311B89" w:rsidP="00311B89">
            <w:pPr>
              <w:pStyle w:val="BodyText"/>
            </w:pPr>
            <w:r w:rsidRPr="00311B89">
              <w:t>Sighting distance</w:t>
            </w:r>
          </w:p>
          <w:p w:rsidR="00000000" w:rsidRPr="00311B89" w:rsidP="00311B89">
            <w:pPr>
              <w:pStyle w:val="BodyText"/>
            </w:pPr>
            <w:r w:rsidRPr="00311B89">
              <w:t>The relationship to the Signalling arrangement plan/scheme.</w:t>
            </w:r>
          </w:p>
          <w:p w:rsidR="00000000" w:rsidRPr="00311B89" w:rsidP="00311B89">
            <w:pPr>
              <w:pStyle w:val="BodyText"/>
            </w:pPr>
            <w:r w:rsidRPr="00311B89">
              <w:t>Essentials of safe movement of trains encompassing:</w:t>
            </w:r>
          </w:p>
          <w:p w:rsidR="00000000" w:rsidRPr="00311B89" w:rsidP="00311B89">
            <w:pPr>
              <w:pStyle w:val="BodyText"/>
            </w:pPr>
            <w:r w:rsidRPr="00311B89">
              <w:t>The role of the signalling system in enabling safe and efficient movement of trains</w:t>
            </w:r>
          </w:p>
          <w:p w:rsidR="00000000" w:rsidRPr="00311B89" w:rsidP="00311B89">
            <w:pPr>
              <w:pStyle w:val="BodyText"/>
            </w:pPr>
            <w:r w:rsidRPr="00311B89">
              <w:t>Standard operating conditions as per operating timetable/schedule</w:t>
            </w:r>
          </w:p>
          <w:p w:rsidR="00000000" w:rsidRPr="00311B89" w:rsidP="00311B89">
            <w:pPr>
              <w:pStyle w:val="BodyText"/>
            </w:pPr>
            <w:r w:rsidRPr="00311B89">
              <w:t xml:space="preserve">Degraded signalling system performance </w:t>
            </w:r>
          </w:p>
          <w:p w:rsidR="00000000" w:rsidRPr="00311B89" w:rsidP="00311B89">
            <w:pPr>
              <w:pStyle w:val="BodyText"/>
            </w:pPr>
            <w:r w:rsidRPr="00311B89">
              <w:t>Note: Degraded may be partial failure of signalling infrastructure</w:t>
            </w:r>
            <w:r w:rsidRPr="00311B89">
              <w:t xml:space="preserve"> or a system override</w:t>
            </w:r>
          </w:p>
          <w:p w:rsidR="00000000" w:rsidRPr="00311B89" w:rsidP="00311B89">
            <w:pPr>
              <w:pStyle w:val="BodyText"/>
            </w:pPr>
            <w:r w:rsidRPr="00311B89">
              <w:t>Abnormal train operating conditions</w:t>
            </w:r>
          </w:p>
          <w:p w:rsidR="00000000" w:rsidRPr="00311B89" w:rsidP="00311B89">
            <w:pPr>
              <w:pStyle w:val="BodyText"/>
            </w:pPr>
            <w:r w:rsidRPr="00311B89">
              <w:t xml:space="preserve">Note: </w:t>
            </w:r>
          </w:p>
          <w:p w:rsidR="00000000" w:rsidRPr="00311B89" w:rsidP="00311B89">
            <w:pPr>
              <w:pStyle w:val="BodyText"/>
            </w:pPr>
            <w:r w:rsidRPr="00311B89">
              <w:t>Examples are signaller operation error, driver operation error, train delayed and train breakdown.</w:t>
            </w:r>
          </w:p>
          <w:p w:rsidR="00000000" w:rsidRPr="00311B89" w:rsidP="00311B89">
            <w:pPr>
              <w:pStyle w:val="BodyText"/>
            </w:pPr>
            <w:r w:rsidRPr="00311B89">
              <w:t>Emergency train and signal system operation</w:t>
            </w:r>
          </w:p>
          <w:p w:rsidR="00000000" w:rsidRPr="00311B89" w:rsidP="00311B89">
            <w:pPr>
              <w:pStyle w:val="BodyText"/>
            </w:pPr>
            <w:r w:rsidRPr="00311B89">
              <w:t>Scheduled infrastructure maintenance</w:t>
            </w:r>
          </w:p>
          <w:p w:rsidR="00000000" w:rsidRPr="00311B89" w:rsidP="00311B89">
            <w:pPr>
              <w:pStyle w:val="BodyText"/>
            </w:pPr>
            <w:r w:rsidRPr="00311B89">
              <w:t>Unscheduled</w:t>
            </w:r>
            <w:r w:rsidRPr="00311B89">
              <w:t xml:space="preserve"> infrastructure maintenance.</w:t>
            </w:r>
          </w:p>
          <w:p w:rsidR="00000000" w:rsidRPr="00311B89" w:rsidP="00311B89">
            <w:pPr>
              <w:pStyle w:val="BodyText"/>
            </w:pPr>
            <w:r w:rsidRPr="00311B89">
              <w:t>Note:</w:t>
            </w:r>
          </w:p>
          <w:p w:rsidR="00000000" w:rsidRPr="00311B89" w:rsidP="00311B89">
            <w:pPr>
              <w:pStyle w:val="BodyText"/>
            </w:pPr>
            <w:r w:rsidRPr="00311B89">
              <w:t>Examples are civil, signalling, traction and overhead.</w:t>
            </w:r>
          </w:p>
          <w:p w:rsidR="00000000" w:rsidRPr="00311B89" w:rsidP="00311B89">
            <w:pPr>
              <w:pStyle w:val="BodyText"/>
            </w:pPr>
            <w:r w:rsidRPr="00311B89">
              <w:t>Purpose of rail signalling encompassing:</w:t>
            </w:r>
          </w:p>
          <w:p w:rsidR="00000000" w:rsidRPr="00311B89" w:rsidP="00311B89">
            <w:pPr>
              <w:pStyle w:val="BodyText"/>
            </w:pPr>
            <w:r w:rsidRPr="00311B89">
              <w:t>Safe distances between rail vehicles</w:t>
            </w:r>
          </w:p>
          <w:p w:rsidR="00000000" w:rsidRPr="00311B89" w:rsidP="00311B89">
            <w:pPr>
              <w:pStyle w:val="BodyText"/>
            </w:pPr>
            <w:r w:rsidRPr="00311B89">
              <w:t>Safe movement of rail vehicles</w:t>
            </w:r>
          </w:p>
          <w:p w:rsidR="00000000" w:rsidRPr="00311B89" w:rsidP="00311B89">
            <w:pPr>
              <w:pStyle w:val="BodyText"/>
            </w:pPr>
            <w:r w:rsidRPr="00311B89">
              <w:t>Conflicting movement between rail vehicles</w:t>
            </w:r>
          </w:p>
          <w:p w:rsidR="00000000" w:rsidRPr="00311B89" w:rsidP="00311B89">
            <w:pPr>
              <w:pStyle w:val="BodyText"/>
            </w:pPr>
            <w:r w:rsidRPr="00311B89">
              <w:t>How the signal</w:t>
            </w:r>
            <w:r w:rsidRPr="00311B89">
              <w:t>ling system provides driver information</w:t>
            </w:r>
          </w:p>
          <w:p w:rsidR="00000000" w:rsidRPr="00311B89" w:rsidP="00311B89">
            <w:pPr>
              <w:pStyle w:val="BodyText"/>
            </w:pPr>
            <w:r w:rsidRPr="00311B89">
              <w:t>How the driver interprets the information to safely control a train</w:t>
            </w:r>
          </w:p>
          <w:p w:rsidR="00000000" w:rsidRPr="00311B89" w:rsidP="00311B89">
            <w:pPr>
              <w:pStyle w:val="BodyText"/>
            </w:pPr>
            <w:r w:rsidRPr="00311B89">
              <w:t>Restrictions on the signaller and driver following an operation error.</w:t>
            </w:r>
          </w:p>
          <w:p w:rsidR="00000000" w:rsidRPr="00311B89" w:rsidP="00311B89">
            <w:pPr>
              <w:pStyle w:val="BodyText"/>
            </w:pPr>
            <w:r w:rsidRPr="00311B89">
              <w:t>Note:</w:t>
            </w:r>
          </w:p>
          <w:p w:rsidR="00000000" w:rsidRPr="00311B89" w:rsidP="00311B89">
            <w:pPr>
              <w:pStyle w:val="BodyText"/>
            </w:pPr>
            <w:r w:rsidRPr="00311B89">
              <w:t>Examples of error are: signals passed at stop, driver exceeding speed r</w:t>
            </w:r>
            <w:r w:rsidRPr="00311B89">
              <w:t>equirement and signaller setting incorrect route.</w:t>
            </w:r>
          </w:p>
          <w:p w:rsidR="00000000" w:rsidRPr="00311B89" w:rsidP="00311B89">
            <w:pPr>
              <w:pStyle w:val="BodyText"/>
            </w:pPr>
          </w:p>
          <w:p w:rsidR="00000000" w:rsidRPr="00311B89" w:rsidP="00311B89">
            <w:pPr>
              <w:pStyle w:val="BodyText"/>
            </w:pPr>
            <w:r w:rsidRPr="00311B89">
              <w:t>Enterprise work activities records</w:t>
            </w:r>
          </w:p>
          <w:p w:rsidR="00000000" w:rsidRPr="00311B89" w:rsidP="00311B89">
            <w:pPr>
              <w:pStyle w:val="BodyText"/>
            </w:pPr>
            <w:r w:rsidRPr="00311B89">
              <w:t>Purpose and extent of maintaining work activities records in an enterprise</w:t>
            </w:r>
          </w:p>
          <w:p w:rsidR="00000000" w:rsidRPr="00311B89" w:rsidP="00311B89">
            <w:pPr>
              <w:pStyle w:val="BodyText"/>
            </w:pPr>
            <w:r w:rsidRPr="00311B89">
              <w:t>Types of records for maintaining work activities in an enterprise</w:t>
            </w:r>
          </w:p>
          <w:p w:rsidR="00000000" w:rsidRPr="00311B89" w:rsidP="00311B89">
            <w:pPr>
              <w:pStyle w:val="BodyText"/>
            </w:pPr>
            <w:r w:rsidRPr="00311B89">
              <w:t>Methods for recording and mai</w:t>
            </w:r>
            <w:r w:rsidRPr="00311B89">
              <w:t>ntaining work records</w:t>
            </w:r>
          </w:p>
          <w:p w:rsidR="00000000" w:rsidRPr="00311B89" w:rsidP="00311B89">
            <w:pPr>
              <w:pStyle w:val="BodyText"/>
            </w:pPr>
            <w:r w:rsidRPr="00311B89">
              <w:t>Work records required by regulation requirements</w:t>
            </w:r>
          </w:p>
          <w:p w:rsidR="00000000" w:rsidRPr="00311B89" w:rsidP="00311B89">
            <w:pPr>
              <w:pStyle w:val="BodyText"/>
            </w:pPr>
          </w:p>
          <w:p w:rsidR="00000000" w:rsidRPr="00311B89" w:rsidP="00311B89">
            <w:pPr>
              <w:pStyle w:val="BodyText"/>
            </w:pPr>
            <w:r w:rsidRPr="00311B89">
              <w:t>Environmental and heritage awareness</w:t>
            </w:r>
          </w:p>
          <w:p w:rsidR="00000000" w:rsidRPr="00311B89" w:rsidP="00311B89">
            <w:pPr>
              <w:pStyle w:val="BodyText"/>
            </w:pPr>
            <w:r w:rsidRPr="00311B89">
              <w:t>Purpose of environmental and heritage regulation</w:t>
            </w:r>
          </w:p>
          <w:p w:rsidR="00000000" w:rsidRPr="00311B89" w:rsidP="00311B89">
            <w:pPr>
              <w:pStyle w:val="BodyText"/>
            </w:pPr>
            <w:r w:rsidRPr="00311B89">
              <w:t>Typical issues affecting electrotechnology services and systems</w:t>
            </w:r>
          </w:p>
          <w:p w:rsidR="00000000" w:rsidRPr="00311B89" w:rsidP="00311B89">
            <w:pPr>
              <w:pStyle w:val="BodyText"/>
            </w:pPr>
            <w:r w:rsidRPr="00311B89">
              <w:t>Meeting requirements</w:t>
            </w:r>
          </w:p>
          <w:p w:rsidR="00000000" w:rsidRPr="00311B89" w:rsidP="00311B89">
            <w:pPr>
              <w:pStyle w:val="BodyText"/>
            </w:pPr>
          </w:p>
          <w:p w:rsidR="00000000" w:rsidRPr="00311B89" w:rsidP="00311B89">
            <w:pPr>
              <w:pStyle w:val="BodyText"/>
            </w:pPr>
            <w:r w:rsidRPr="00311B89">
              <w:t>Rail signalling, power supplies</w:t>
            </w:r>
          </w:p>
          <w:p w:rsidR="00000000" w:rsidRPr="00311B89" w:rsidP="00311B89">
            <w:pPr>
              <w:pStyle w:val="BodyText"/>
            </w:pPr>
            <w:r w:rsidRPr="00311B89">
              <w:t>Equipment and their components encompassing:</w:t>
            </w:r>
          </w:p>
          <w:p w:rsidR="00000000" w:rsidRPr="00311B89" w:rsidP="00311B89">
            <w:pPr>
              <w:pStyle w:val="BodyText"/>
            </w:pPr>
            <w:r w:rsidRPr="00311B89">
              <w:t>Transformers</w:t>
            </w:r>
          </w:p>
          <w:p w:rsidR="00000000" w:rsidRPr="00311B89" w:rsidP="00311B89">
            <w:pPr>
              <w:pStyle w:val="BodyText"/>
            </w:pPr>
            <w:r w:rsidRPr="00311B89">
              <w:t>Batteries</w:t>
            </w:r>
          </w:p>
          <w:p w:rsidR="00000000" w:rsidRPr="00311B89" w:rsidP="00311B89">
            <w:pPr>
              <w:pStyle w:val="BodyText"/>
            </w:pPr>
            <w:r w:rsidRPr="00311B89">
              <w:t>Converters</w:t>
            </w:r>
          </w:p>
          <w:p w:rsidR="00000000" w:rsidRPr="00311B89" w:rsidP="00311B89">
            <w:pPr>
              <w:pStyle w:val="BodyText"/>
            </w:pPr>
            <w:r w:rsidRPr="00311B89">
              <w:t>Inverters</w:t>
            </w:r>
          </w:p>
          <w:p w:rsidR="00000000" w:rsidRPr="00311B89" w:rsidP="00311B89">
            <w:pPr>
              <w:pStyle w:val="BodyText"/>
            </w:pPr>
            <w:r w:rsidRPr="00311B89">
              <w:t>UPS</w:t>
            </w:r>
          </w:p>
          <w:p w:rsidR="00000000" w:rsidRPr="00311B89" w:rsidP="00311B89">
            <w:pPr>
              <w:pStyle w:val="BodyText"/>
            </w:pPr>
            <w:r w:rsidRPr="00311B89">
              <w:t>Generator</w:t>
            </w:r>
          </w:p>
          <w:p w:rsidR="00000000" w:rsidRPr="00311B89" w:rsidP="00311B89">
            <w:pPr>
              <w:pStyle w:val="BodyText"/>
            </w:pPr>
            <w:r w:rsidRPr="00311B89">
              <w:t>Solar Panels</w:t>
            </w:r>
          </w:p>
          <w:p w:rsidR="00000000" w:rsidRPr="00311B89" w:rsidP="00311B89">
            <w:pPr>
              <w:pStyle w:val="BodyText"/>
            </w:pPr>
            <w:r w:rsidRPr="00311B89">
              <w:t>Earthing</w:t>
            </w:r>
          </w:p>
          <w:p w:rsidR="00000000" w:rsidRPr="00311B89" w:rsidP="00311B89">
            <w:pPr>
              <w:pStyle w:val="BodyText"/>
            </w:pPr>
            <w:r w:rsidRPr="00311B89">
              <w:t>Surge protection</w:t>
            </w:r>
          </w:p>
          <w:p w:rsidR="00000000" w:rsidRPr="00311B89" w:rsidP="00311B89">
            <w:pPr>
              <w:pStyle w:val="BodyText"/>
            </w:pPr>
            <w:r w:rsidRPr="00311B89">
              <w:t>Switchboards</w:t>
            </w:r>
          </w:p>
          <w:p w:rsidR="00000000" w:rsidRPr="00311B89" w:rsidP="00311B89">
            <w:pPr>
              <w:pStyle w:val="BodyText"/>
            </w:pPr>
            <w:r w:rsidRPr="00311B89">
              <w:t>High voltage and low voltage power distribution</w:t>
            </w:r>
          </w:p>
          <w:p w:rsidR="00000000" w:rsidRPr="00311B89" w:rsidP="00311B89">
            <w:pPr>
              <w:pStyle w:val="BodyText"/>
            </w:pPr>
            <w:r w:rsidRPr="00311B89">
              <w:t>Automatic power chang</w:t>
            </w:r>
            <w:r w:rsidRPr="00311B89">
              <w:t>eover panels</w:t>
            </w:r>
          </w:p>
          <w:p w:rsidR="00000000" w:rsidRPr="00311B89" w:rsidP="00311B89">
            <w:pPr>
              <w:pStyle w:val="BodyText"/>
            </w:pPr>
            <w:r w:rsidRPr="00311B89">
              <w:t>Wiring and termination.</w:t>
            </w:r>
          </w:p>
          <w:p w:rsidR="00000000" w:rsidRPr="00311B89" w:rsidP="00311B89">
            <w:pPr>
              <w:pStyle w:val="BodyText"/>
            </w:pPr>
          </w:p>
          <w:p w:rsidR="00000000" w:rsidRPr="00311B89" w:rsidP="00311B89">
            <w:pPr>
              <w:pStyle w:val="BodyText"/>
            </w:pPr>
            <w:r w:rsidRPr="00311B89">
              <w:t>Operating principles and parameters encompassing:</w:t>
            </w:r>
          </w:p>
          <w:p w:rsidR="00000000" w:rsidRPr="00311B89" w:rsidP="00311B89">
            <w:pPr>
              <w:pStyle w:val="BodyText"/>
            </w:pPr>
            <w:r w:rsidRPr="00311B89">
              <w:t>Normal mode operation</w:t>
            </w:r>
          </w:p>
          <w:p w:rsidR="00000000" w:rsidRPr="00311B89" w:rsidP="00311B89">
            <w:pPr>
              <w:pStyle w:val="BodyText"/>
            </w:pPr>
            <w:r w:rsidRPr="00311B89">
              <w:t>Alarm mode</w:t>
            </w:r>
          </w:p>
          <w:p w:rsidR="00000000" w:rsidRPr="00311B89" w:rsidP="00311B89">
            <w:pPr>
              <w:pStyle w:val="BodyText"/>
            </w:pPr>
            <w:r w:rsidRPr="00311B89">
              <w:t>Redundancy mode</w:t>
            </w:r>
          </w:p>
          <w:p w:rsidR="00000000" w:rsidRPr="00311B89" w:rsidP="00311B89">
            <w:pPr>
              <w:pStyle w:val="BodyText"/>
            </w:pPr>
            <w:r w:rsidRPr="00311B89">
              <w:t>Power interruption / standby mode</w:t>
            </w:r>
          </w:p>
          <w:p w:rsidR="00000000" w:rsidRPr="00311B89" w:rsidP="00311B89">
            <w:pPr>
              <w:pStyle w:val="BodyText"/>
            </w:pPr>
            <w:r w:rsidRPr="00311B89">
              <w:t>Interpreting circuits diagrams to evaluate correct operation and relationship to other signalling circuits.</w:t>
            </w:r>
          </w:p>
          <w:p w:rsidR="00000000" w:rsidRPr="00311B89" w:rsidP="00311B89">
            <w:pPr>
              <w:pStyle w:val="BodyText"/>
            </w:pPr>
          </w:p>
          <w:p w:rsidR="00000000" w:rsidRPr="00311B89" w:rsidP="00311B89">
            <w:pPr>
              <w:pStyle w:val="BodyText"/>
            </w:pPr>
            <w:r w:rsidRPr="00311B89">
              <w:t>Servicing procedures encompassing:</w:t>
            </w:r>
          </w:p>
          <w:p w:rsidR="00000000" w:rsidRPr="00311B89" w:rsidP="00311B89">
            <w:pPr>
              <w:pStyle w:val="BodyText"/>
            </w:pPr>
            <w:r w:rsidRPr="00311B89">
              <w:t>Maintenance documentation</w:t>
            </w:r>
          </w:p>
          <w:p w:rsidR="00000000" w:rsidRPr="00311B89" w:rsidP="00311B89">
            <w:pPr>
              <w:pStyle w:val="BodyText"/>
            </w:pPr>
            <w:r w:rsidRPr="00311B89">
              <w:t>Coordination/planning sequence</w:t>
            </w:r>
          </w:p>
          <w:p w:rsidR="00000000" w:rsidRPr="00311B89" w:rsidP="00311B89">
            <w:pPr>
              <w:pStyle w:val="BodyText"/>
            </w:pPr>
            <w:r w:rsidRPr="00311B89">
              <w:t>Operational test procedures</w:t>
            </w:r>
          </w:p>
          <w:p w:rsidR="00000000" w:rsidRPr="00311B89" w:rsidP="00311B89">
            <w:pPr>
              <w:pStyle w:val="BodyText"/>
            </w:pPr>
            <w:r w:rsidRPr="00311B89">
              <w:t>Scheduled / preventative ma</w:t>
            </w:r>
            <w:r w:rsidRPr="00311B89">
              <w:t>intenance</w:t>
            </w:r>
          </w:p>
          <w:p w:rsidR="00000000" w:rsidRPr="00311B89" w:rsidP="00311B89">
            <w:pPr>
              <w:pStyle w:val="BodyText"/>
            </w:pPr>
            <w:r w:rsidRPr="00311B89">
              <w:t>Unscheduled / corrective maintenance</w:t>
            </w:r>
          </w:p>
          <w:p w:rsidR="00000000" w:rsidRPr="00311B89" w:rsidP="00311B89">
            <w:pPr>
              <w:pStyle w:val="BodyText"/>
            </w:pPr>
            <w:r w:rsidRPr="00311B89">
              <w:t>Certifying power supply equipment (commission and de-commission).</w:t>
            </w:r>
          </w:p>
          <w:p w:rsidR="00000000" w:rsidRPr="00311B89" w:rsidP="00311B89">
            <w:pPr>
              <w:pStyle w:val="BodyText"/>
            </w:pPr>
            <w:r w:rsidRPr="00311B89">
              <w:t>-</w:t>
            </w:r>
            <w:r w:rsidRPr="00311B89">
              <w:tab/>
              <w:t>Note:</w:t>
            </w:r>
          </w:p>
          <w:p w:rsidR="00000000" w:rsidRPr="00311B89" w:rsidP="00311B89">
            <w:pPr>
              <w:pStyle w:val="BodyText"/>
            </w:pPr>
            <w:r w:rsidRPr="00311B89">
              <w:t>Certifying procedures are only applicable for compliance with rail operator and/or enterprise standards.</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10" w:name="O_585673"/>
      <w:bookmarkEnd w:id="10"/>
      <w:r w:rsidRPr="00311B89">
        <w:t>Evidence Gu</w:t>
      </w:r>
      <w:r w:rsidRPr="00311B89">
        <w:t>ide</w:t>
      </w:r>
    </w:p>
    <w:tbl>
      <w:tblPr>
        <w:tblW w:w="0" w:type="auto"/>
        <w:tblLayout w:type="fixed"/>
        <w:tblCellMar>
          <w:left w:w="62" w:type="dxa"/>
          <w:right w:w="62" w:type="dxa"/>
        </w:tblCellMar>
        <w:tblLook w:val="0000"/>
      </w:tblPr>
      <w:tblGrid>
        <w:gridCol w:w="8460"/>
      </w:tblGrid>
      <w:tr w:rsidTr="00A10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EVIDENCE GUIDE</w:t>
            </w:r>
          </w:p>
        </w:tc>
      </w:tr>
      <w:tr w:rsidTr="00A101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9)</w:t>
            </w:r>
            <w:r w:rsidRPr="00311B89">
              <w:t xml:space="preserve">  The evidence guide provides advice on assessment and must be read in conjunction with the Performance Criteria, Required Skills and Knowledge, the Range Statement and the Assessment Guidelines for this Training Package.</w:t>
            </w:r>
          </w:p>
          <w:p w:rsidR="00000000" w:rsidRPr="00311B89" w:rsidP="00311B89">
            <w:pPr>
              <w:pStyle w:val="BodyText"/>
            </w:pPr>
            <w:r w:rsidRPr="00311B89">
              <w:t>The Evidence Guide forms an integral part of this unit. It must be used in conjunction with all components parts of this unit and performed in accordance with the Assessment Guidelines of this Training Package.</w:t>
            </w:r>
          </w:p>
        </w:tc>
      </w:tr>
    </w:tbl>
    <w:p w:rsidR="00000000" w:rsidRPr="00311B89" w:rsidP="00311B89">
      <w:pPr>
        <w:pStyle w:val="BodyText"/>
      </w:pPr>
    </w:p>
    <w:tbl>
      <w:tblPr>
        <w:tblW w:w="0" w:type="auto"/>
        <w:tblLayout w:type="fixed"/>
        <w:tblCellMar>
          <w:left w:w="62" w:type="dxa"/>
          <w:right w:w="62" w:type="dxa"/>
        </w:tblCellMar>
        <w:tblLook w:val="0000"/>
      </w:tblPr>
      <w:tblGrid>
        <w:gridCol w:w="1890"/>
        <w:gridCol w:w="6570"/>
      </w:tblGrid>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9.1)</w:t>
            </w:r>
          </w:p>
        </w:tc>
      </w:tr>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 xml:space="preserve">Longitudinal </w:t>
            </w:r>
            <w:r w:rsidRPr="00311B89">
              <w:t>competency development approaches to assessment, such as Profiling, require data to be reliably gathered in a form that can be consistently interpreted over time. This approach is best utilised in Apprenticeship programs and reduces assessment intervention</w:t>
            </w:r>
            <w:r w:rsidRPr="00311B89">
              <w:t>. It is the industry-preferred model for apprenticeships. However, where summative (or final) assessment is used it must include the application of the competency in the normal work environment or, at a minimum, the application of the competency in a reali</w:t>
            </w:r>
            <w:r w:rsidRPr="00311B89">
              <w:t>stically simulated work environment. In some circumstances, assessment in part or full can occur outside the workplace. However, it must be in accordance with industry and regulatory policy.</w:t>
            </w:r>
          </w:p>
          <w:p w:rsidR="00000000" w:rsidRPr="00311B89" w:rsidP="00311B89">
            <w:pPr>
              <w:pStyle w:val="BodyText"/>
            </w:pPr>
            <w:r w:rsidRPr="00311B89">
              <w:t xml:space="preserve">Methods chosen for a particular assessment will be influenced by </w:t>
            </w:r>
            <w:r w:rsidRPr="00311B89">
              <w:t>various factors. These include the extent of the assessment, the most effective locations for the assessment activities to take place, access to physical resources, additional safety measures that may be required and the critical nature of the competencies</w:t>
            </w:r>
            <w:r w:rsidRPr="00311B89">
              <w:t xml:space="preserve"> being assessed.</w:t>
            </w:r>
          </w:p>
          <w:p w:rsidR="00000000" w:rsidRPr="00311B89" w:rsidP="00311B89">
            <w:pPr>
              <w:pStyle w:val="BodyText"/>
            </w:pPr>
            <w:r w:rsidRPr="00311B89">
              <w:t>The critical safety issues inherent in working with electricity, electrical equipment, gas or any other hazardous substance/material present a challenge for those determining competence. Sources of evidence need to be ‘rich’ in nature to m</w:t>
            </w:r>
            <w:r w:rsidRPr="00311B89">
              <w:t>inimise error in judgment.</w:t>
            </w:r>
          </w:p>
          <w:p w:rsidR="00000000" w:rsidRPr="00311B89" w:rsidP="00311B89">
            <w:pPr>
              <w:pStyle w:val="BodyText"/>
            </w:pPr>
            <w:r w:rsidRPr="00311B89">
              <w:t>Activities associated with normal everyday work influence decisions about how/how much the data gathered will contribute to its ‘richness’. Some s</w:t>
            </w:r>
            <w:r w:rsidRPr="00311B89">
              <w:t>kills are more critical to safety and operational requirements while the same skills may be more or less frequently practised. These points are raised for the assessors to consider when choosing an assessment method and developing assessment instruments. S</w:t>
            </w:r>
            <w:r w:rsidRPr="00311B89">
              <w:t>ample assessment instruments are included for Assessors in the Assessment Guidelines of this Training Package.</w:t>
            </w:r>
          </w:p>
        </w:tc>
      </w:tr>
    </w:tbl>
    <w:p w:rsidR="00000000" w:rsidRPr="00311B89" w:rsidP="00311B89">
      <w:pPr>
        <w:pStyle w:val="BodyText"/>
      </w:pPr>
    </w:p>
    <w:tbl>
      <w:tblPr>
        <w:tblW w:w="0" w:type="auto"/>
        <w:tblLayout w:type="fixed"/>
        <w:tblCellMar>
          <w:left w:w="62" w:type="dxa"/>
          <w:right w:w="62" w:type="dxa"/>
        </w:tblCellMar>
        <w:tblLook w:val="0000"/>
      </w:tblPr>
      <w:tblGrid>
        <w:gridCol w:w="1890"/>
        <w:gridCol w:w="6570"/>
      </w:tblGrid>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9.2)</w:t>
            </w:r>
          </w:p>
        </w:tc>
      </w:tr>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 xml:space="preserve">Before the critical aspects of evidence are considered all </w:t>
            </w:r>
            <w:r w:rsidRPr="00311B89">
              <w:t>prerequisites must be met.</w:t>
            </w:r>
          </w:p>
          <w:p w:rsidR="00000000" w:rsidRPr="00311B89" w:rsidP="00311B89">
            <w:pPr>
              <w:pStyle w:val="BodyText"/>
            </w:pPr>
            <w:r w:rsidRPr="00311B89">
              <w:t>Evidence for competence in this unit shall be considered holistically.  Each Element and associated performance criteria shall be demonstrated on at least two occasions in accordance with the ‘Assessment Guidelines – UEE11’.  Evi</w:t>
            </w:r>
            <w:r w:rsidRPr="00311B89">
              <w:t>dence shall also comprise:</w:t>
            </w:r>
          </w:p>
          <w:p w:rsidR="00000000" w:rsidRPr="00311B89" w:rsidP="00311B89">
            <w:pPr>
              <w:pStyle w:val="ListBullet"/>
            </w:pPr>
            <w:r w:rsidRPr="00311B89">
              <w:t>A representative body of work performance demonstrated within the timeframes typically expected of the discipline, work function and industrial environment. In particular this shall incorporate evidence that shows a candidate is</w:t>
            </w:r>
            <w:r w:rsidRPr="00311B89">
              <w:t xml:space="preserve"> able to:</w:t>
            </w:r>
          </w:p>
          <w:p w:rsidR="00000000" w:rsidRPr="00311B89" w:rsidP="00311B89">
            <w:pPr>
              <w:pStyle w:val="ListBullet2"/>
            </w:pPr>
            <w:r w:rsidRPr="00311B89">
              <w:t>Implement Occupational Health and Safety workplace procedures and practices including the use of risk control measures as specified in the performance criteria and range statement</w:t>
            </w:r>
          </w:p>
          <w:p w:rsidR="00000000" w:rsidRPr="00311B89" w:rsidP="00311B89">
            <w:pPr>
              <w:pStyle w:val="ListBullet2"/>
            </w:pPr>
            <w:r w:rsidRPr="00311B89">
              <w:t>Apply sustainable energy principles and practices as specified in the performance criteria and range statement</w:t>
            </w:r>
          </w:p>
          <w:p w:rsidR="00000000" w:rsidRPr="00311B89" w:rsidP="00311B89">
            <w:pPr>
              <w:pStyle w:val="ListBullet2"/>
            </w:pPr>
            <w:r w:rsidRPr="00311B89">
              <w:t>Demonstrate an understanding of the essential knowledge and associated skills as described in this unit.  It may be required by some jurisdiction</w:t>
            </w:r>
            <w:r w:rsidRPr="00311B89">
              <w:t>s that RTOs provide a percentile graded result for the purpose of regulatory or licensing requirements.</w:t>
            </w:r>
          </w:p>
          <w:p w:rsidR="00000000" w:rsidRPr="00311B89" w:rsidP="00311B89">
            <w:pPr>
              <w:pStyle w:val="ListBullet2"/>
            </w:pPr>
            <w:r w:rsidRPr="00311B89">
              <w:t>Demonstrate an appropriate level of skills enabling employment</w:t>
            </w:r>
          </w:p>
          <w:p w:rsidR="00000000" w:rsidRPr="00311B89" w:rsidP="00311B89">
            <w:pPr>
              <w:pStyle w:val="ListBullet2"/>
            </w:pPr>
            <w:r w:rsidRPr="00311B89">
              <w:t>Conduct work observing the relevant Anti Discrimination legislation, regulations, polices</w:t>
            </w:r>
            <w:r w:rsidRPr="00311B89">
              <w:t xml:space="preserve"> and workplace procedures</w:t>
            </w:r>
          </w:p>
          <w:p w:rsidR="00000000" w:rsidRPr="00311B89" w:rsidP="00311B89">
            <w:pPr>
              <w:pStyle w:val="ListBullet"/>
            </w:pPr>
            <w:r w:rsidRPr="00311B89">
              <w:t>Demonstrated consistent performance across a representative range of contexts from the prescribed items below:</w:t>
            </w:r>
          </w:p>
          <w:p w:rsidR="00000000" w:rsidRPr="00311B89" w:rsidP="00311B89">
            <w:pPr>
              <w:pStyle w:val="ListBullet2"/>
            </w:pPr>
            <w:r w:rsidRPr="00311B89">
              <w:t>Install and maintain rail signalling power supplies as described in 8) and including:</w:t>
            </w:r>
          </w:p>
          <w:p w:rsidR="00000000" w:rsidRPr="00311B89" w:rsidP="00311B89">
            <w:pPr>
              <w:pStyle w:val="ListAlpha2"/>
            </w:pPr>
            <w:r w:rsidRPr="00311B89">
              <w:t>Interpreti</w:t>
            </w:r>
            <w:r w:rsidRPr="00311B89">
              <w:t>ng specifications and circuit diagrams correctly</w:t>
            </w:r>
          </w:p>
          <w:p w:rsidR="00000000" w:rsidRPr="00311B89" w:rsidP="00311B89">
            <w:pPr>
              <w:pStyle w:val="ListAlpha2"/>
            </w:pPr>
            <w:r w:rsidRPr="00311B89">
              <w:t>Maintaining, repairing and installing power supplies correctly</w:t>
            </w:r>
          </w:p>
          <w:p w:rsidR="00000000" w:rsidRPr="00311B89" w:rsidP="00311B89">
            <w:pPr>
              <w:pStyle w:val="ListAlpha2"/>
            </w:pPr>
            <w:r w:rsidRPr="00311B89">
              <w:t>Using appropriate diagnostic and fault finding techniques</w:t>
            </w:r>
          </w:p>
          <w:p w:rsidR="00000000" w:rsidRPr="00311B89" w:rsidP="00311B89">
            <w:pPr>
              <w:pStyle w:val="ListAlpha2"/>
            </w:pPr>
            <w:r w:rsidRPr="00311B89">
              <w:t>Using tools and test instruments correctly</w:t>
            </w:r>
          </w:p>
          <w:p w:rsidR="00000000" w:rsidRPr="00311B89" w:rsidP="00311B89">
            <w:pPr>
              <w:pStyle w:val="ListAlpha2"/>
            </w:pPr>
            <w:r w:rsidRPr="00311B89">
              <w:t>Following relevant codes of practice, procedures and requirements</w:t>
            </w:r>
          </w:p>
          <w:p w:rsidR="00000000" w:rsidRPr="00311B89" w:rsidP="00311B89">
            <w:pPr>
              <w:pStyle w:val="ListAlpha2"/>
            </w:pPr>
            <w:r w:rsidRPr="00311B89">
              <w:t>Completing relevant technical reports, records and documentation, and</w:t>
            </w:r>
          </w:p>
          <w:p w:rsidR="00000000" w:rsidRPr="00311B89" w:rsidP="00311B89">
            <w:pPr>
              <w:pStyle w:val="ListAlpha2"/>
            </w:pPr>
            <w:r w:rsidRPr="00311B89">
              <w:t>Dealing with unplanned events by drawing on essential knowledge and skills to provide appropriate solutions incorporated</w:t>
            </w:r>
            <w:r w:rsidRPr="00311B89">
              <w:t xml:space="preserve"> in the holistic assessment with the above listed items</w:t>
            </w:r>
          </w:p>
          <w:p w:rsidR="00000000" w:rsidRPr="00311B89" w:rsidP="00311B89">
            <w:pPr>
              <w:pStyle w:val="BodyText"/>
            </w:pPr>
            <w:r w:rsidRPr="00311B89">
              <w:t xml:space="preserve">Note: </w:t>
            </w:r>
          </w:p>
          <w:p w:rsidR="00000000" w:rsidRPr="00311B89" w:rsidP="00311B89">
            <w:pPr>
              <w:pStyle w:val="BodyText"/>
            </w:pPr>
            <w:r w:rsidRPr="00311B89">
              <w:t>Successful completion of relevant vendor training may be used to contribute to evidence on which competency is deemed. In these cases the alignment of outcomes of vendor training with performan</w:t>
            </w:r>
            <w:r w:rsidRPr="00311B89">
              <w:t>ce criteria and critical aspects of evidence shall be clearly identified.</w:t>
            </w:r>
          </w:p>
        </w:tc>
      </w:tr>
    </w:tbl>
    <w:p w:rsidR="00000000" w:rsidRPr="00311B89" w:rsidP="00311B89">
      <w:pPr>
        <w:pStyle w:val="BodyText"/>
      </w:pPr>
    </w:p>
    <w:tbl>
      <w:tblPr>
        <w:tblW w:w="0" w:type="auto"/>
        <w:tblLayout w:type="fixed"/>
        <w:tblCellMar>
          <w:left w:w="62" w:type="dxa"/>
          <w:right w:w="62" w:type="dxa"/>
        </w:tblCellMar>
        <w:tblLook w:val="0000"/>
      </w:tblPr>
      <w:tblGrid>
        <w:gridCol w:w="1890"/>
        <w:gridCol w:w="6570"/>
      </w:tblGrid>
      <w:tr w:rsidTr="00A101A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9.3)</w:t>
            </w:r>
          </w:p>
        </w:tc>
      </w:tr>
      <w:tr w:rsidTr="00A101A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This unit should be assessed as it relates to normal work practice using procedures, information and resources typical of a workplace. This should include:</w:t>
            </w:r>
          </w:p>
          <w:p w:rsidR="00000000" w:rsidRPr="00311B89" w:rsidP="00311B89">
            <w:pPr>
              <w:pStyle w:val="ListBullet"/>
            </w:pPr>
            <w:r w:rsidRPr="00311B89">
              <w:t>OHS policy and work procedures and instructions.</w:t>
            </w:r>
          </w:p>
          <w:p w:rsidR="00000000" w:rsidRPr="00311B89" w:rsidP="00311B89">
            <w:pPr>
              <w:pStyle w:val="ListBullet"/>
            </w:pPr>
            <w:r w:rsidRPr="00311B89">
              <w:t>Suitable work environment, facilities, equipment a</w:t>
            </w:r>
            <w:r w:rsidRPr="00311B89">
              <w:t>nd materials to undertake actual work as prescribed by this unit.</w:t>
            </w:r>
          </w:p>
          <w:p w:rsidR="00000000" w:rsidRPr="00311B89" w:rsidP="00311B89">
            <w:pPr>
              <w:pStyle w:val="BodyText"/>
            </w:pPr>
            <w:r w:rsidRPr="00311B89">
              <w:t>These should be used in the formal learning/assessment environment.</w:t>
            </w:r>
          </w:p>
          <w:p w:rsidR="00000000" w:rsidRPr="00311B89" w:rsidP="00311B89">
            <w:pPr>
              <w:pStyle w:val="BodyText"/>
            </w:pPr>
          </w:p>
          <w:p w:rsidR="00000000" w:rsidRPr="00311B89" w:rsidP="00311B89">
            <w:pPr>
              <w:pStyle w:val="BodyText"/>
            </w:pPr>
            <w:r w:rsidRPr="00311B89">
              <w:t>Note:</w:t>
            </w:r>
          </w:p>
          <w:p w:rsidR="00000000" w:rsidRPr="00311B89" w:rsidP="00311B89">
            <w:pPr>
              <w:pStyle w:val="BodyText"/>
            </w:pPr>
            <w:r w:rsidRPr="00311B89">
              <w:t>Where simulation is considered a suitable strategy for assessment, conditions must be authentic and as far as possi</w:t>
            </w:r>
            <w:r w:rsidRPr="00311B89">
              <w:t>ble reproduce and replicate the workplace and be consistent with the approved industry simulation policy.</w:t>
            </w:r>
          </w:p>
          <w:p w:rsidR="00000000" w:rsidRPr="00311B89" w:rsidP="00311B89">
            <w:pPr>
              <w:pStyle w:val="BodyText"/>
            </w:pPr>
            <w:r w:rsidRPr="00311B89">
              <w:t>The resources used for assessment should reflect current industry practices in relation to installing and maintaining signalling power supplies.</w:t>
            </w:r>
          </w:p>
        </w:tc>
      </w:tr>
    </w:tbl>
    <w:p w:rsidR="00000000" w:rsidRPr="00311B89" w:rsidP="00311B89">
      <w:pPr>
        <w:pStyle w:val="BodyText"/>
      </w:pPr>
    </w:p>
    <w:tbl>
      <w:tblPr>
        <w:tblW w:w="0" w:type="auto"/>
        <w:tblLayout w:type="fixed"/>
        <w:tblCellMar>
          <w:left w:w="62" w:type="dxa"/>
          <w:right w:w="62" w:type="dxa"/>
        </w:tblCellMar>
        <w:tblLook w:val="0000"/>
      </w:tblPr>
      <w:tblGrid>
        <w:gridCol w:w="1890"/>
        <w:gridCol w:w="6570"/>
      </w:tblGrid>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9.4)</w:t>
            </w:r>
          </w:p>
        </w:tc>
      </w:tr>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This unit shall be assessed by methods given in Volume 1, Part 3 ‘Assessment Guidelines’.</w:t>
            </w:r>
          </w:p>
          <w:p w:rsidR="00000000" w:rsidRPr="00311B89" w:rsidP="00311B89">
            <w:pPr>
              <w:pStyle w:val="BodyText"/>
            </w:pPr>
            <w:r w:rsidRPr="00311B89">
              <w:t xml:space="preserve">Note: </w:t>
            </w:r>
          </w:p>
          <w:p w:rsidR="00000000" w:rsidRPr="00311B89" w:rsidP="00311B89">
            <w:pPr>
              <w:pStyle w:val="BodyText"/>
            </w:pPr>
            <w:r w:rsidRPr="00311B89">
              <w:t>Competent performance with inherent safe working practices is expected in the Industry to which this unit applies. This requires as</w:t>
            </w:r>
            <w:r w:rsidRPr="00311B89">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311B89" w:rsidP="00311B89">
      <w:pPr>
        <w:pStyle w:val="BodyText"/>
      </w:pPr>
    </w:p>
    <w:tbl>
      <w:tblPr>
        <w:tblW w:w="0" w:type="auto"/>
        <w:tblLayout w:type="fixed"/>
        <w:tblCellMar>
          <w:left w:w="62" w:type="dxa"/>
          <w:right w:w="62" w:type="dxa"/>
        </w:tblCellMar>
        <w:tblLook w:val="0000"/>
      </w:tblPr>
      <w:tblGrid>
        <w:gridCol w:w="1890"/>
        <w:gridCol w:w="6570"/>
      </w:tblGrid>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Concurrent</w:t>
            </w:r>
            <w:r w:rsidRPr="00311B89">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9.5)</w:t>
            </w:r>
          </w:p>
        </w:tc>
      </w:tr>
      <w:tr w:rsidTr="00A101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For optimisation of training and assessment effort, competency development in this unit may be arranged in combination with other competencies required by a given enterprise installation, maintenance and</w:t>
            </w:r>
            <w:r w:rsidRPr="00311B89">
              <w:t xml:space="preserve"> repair functions. </w:t>
            </w:r>
          </w:p>
          <w:p w:rsidR="00000000" w:rsidRPr="00311B89" w:rsidP="00311B89">
            <w:pPr>
              <w:pStyle w:val="BodyText"/>
            </w:pPr>
            <w:r w:rsidRPr="00311B89">
              <w:t>Concurrent assessment may include:</w:t>
            </w:r>
          </w:p>
          <w:p w:rsidR="00000000" w:rsidRPr="00311B89" w:rsidP="00311B89">
            <w:pPr>
              <w:pStyle w:val="BodyText"/>
            </w:pPr>
            <w:r w:rsidRPr="00311B89">
              <w:t>UEENEEN102A Assemble and wire internal electrical rail signalling equipment</w:t>
            </w:r>
          </w:p>
          <w:p w:rsidR="00000000" w:rsidRPr="00311B89" w:rsidP="00311B89">
            <w:pPr>
              <w:pStyle w:val="BodyText"/>
            </w:pPr>
            <w:r w:rsidRPr="00311B89">
              <w:t>UEENEEN118A Find and repair rail signal system faults</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11" w:name="O_585672"/>
      <w:bookmarkEnd w:id="11"/>
      <w:r w:rsidRPr="00311B89">
        <w:t>Range Statement</w:t>
      </w:r>
    </w:p>
    <w:tbl>
      <w:tblPr>
        <w:tblW w:w="0" w:type="auto"/>
        <w:tblLayout w:type="fixed"/>
        <w:tblCellMar>
          <w:left w:w="62" w:type="dxa"/>
          <w:right w:w="62" w:type="dxa"/>
        </w:tblCellMar>
        <w:tblLook w:val="0000"/>
      </w:tblPr>
      <w:tblGrid>
        <w:gridCol w:w="8460"/>
      </w:tblGrid>
      <w:tr w:rsidTr="00A101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RANGE STATEMENT</w:t>
            </w:r>
          </w:p>
        </w:tc>
      </w:tr>
      <w:tr w:rsidTr="00A101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10)</w:t>
            </w:r>
            <w:r w:rsidRPr="00311B89">
              <w:t xml:space="preserve">  This relates to the unit as a whole providing the range of contexts and conditions to which the performance criteria apply. It allows for different work environments and situations that will affect performance.</w:t>
            </w:r>
          </w:p>
          <w:p w:rsidR="00000000" w:rsidRPr="00311B89" w:rsidP="00311B89">
            <w:pPr>
              <w:pStyle w:val="BodyText"/>
            </w:pPr>
            <w:r w:rsidRPr="00311B89">
              <w:t>This unit shall be demonstrated in relation</w:t>
            </w:r>
            <w:r w:rsidRPr="00311B89">
              <w:t xml:space="preserve"> to:</w:t>
            </w:r>
          </w:p>
          <w:p w:rsidR="00000000" w:rsidRPr="00311B89" w:rsidP="00311B89">
            <w:pPr>
              <w:pStyle w:val="ListBullet"/>
            </w:pPr>
            <w:r w:rsidRPr="00311B89">
              <w:t>The relevant State/Territory codes of practice and safe working requirements.</w:t>
            </w:r>
          </w:p>
          <w:p w:rsidR="00000000" w:rsidRPr="00311B89" w:rsidP="00311B89">
            <w:pPr>
              <w:pStyle w:val="ListBullet"/>
            </w:pPr>
            <w:r w:rsidRPr="00311B89">
              <w:t>Code of practice for the defined interstate rail network.</w:t>
            </w:r>
          </w:p>
          <w:p w:rsidR="00000000" w:rsidRPr="00311B89" w:rsidP="00311B89">
            <w:pPr>
              <w:pStyle w:val="BodyText"/>
            </w:pPr>
            <w:r w:rsidRPr="00311B89">
              <w:t>Activities may include procedures for the isolation of power supplies and may also include the use of plans and drawings, manufacturer’s / enterprise specifications and manuals.</w:t>
            </w:r>
          </w:p>
          <w:p w:rsidR="00000000" w:rsidRPr="00311B89" w:rsidP="00311B89">
            <w:pPr>
              <w:pStyle w:val="BodyText"/>
            </w:pPr>
            <w:r w:rsidRPr="00311B89">
              <w:t>Activities may also include: determining fit for purpose, installation of powe</w:t>
            </w:r>
            <w:r w:rsidRPr="00311B89">
              <w:t xml:space="preserve">r supplies, maintenance of power supplies, terminating cables and connecting wiring, compliance and functional testing and completing the necessary documentation. </w:t>
            </w:r>
          </w:p>
          <w:p w:rsidR="00000000" w:rsidRPr="00311B89" w:rsidP="00311B89">
            <w:pPr>
              <w:pStyle w:val="BodyText"/>
            </w:pPr>
            <w:r w:rsidRPr="00311B89">
              <w:t>Codes/practices could include dial before you dig.</w:t>
            </w:r>
          </w:p>
          <w:p w:rsidR="00000000" w:rsidRPr="00311B89" w:rsidP="00311B89">
            <w:pPr>
              <w:pStyle w:val="BodyText"/>
            </w:pPr>
            <w:r w:rsidRPr="00311B89">
              <w:t>Plant may include: portable generators</w:t>
            </w:r>
          </w:p>
          <w:p w:rsidR="00000000" w:rsidRPr="00311B89" w:rsidP="00311B89">
            <w:pPr>
              <w:pStyle w:val="BodyText"/>
            </w:pPr>
            <w:r w:rsidRPr="00311B89">
              <w:t>Eq</w:t>
            </w:r>
            <w:r w:rsidRPr="00311B89">
              <w:t>uipment relevant to a particular rail network may include, but not be limited to, the following:</w:t>
            </w:r>
          </w:p>
          <w:p w:rsidR="00000000" w:rsidRPr="00311B89" w:rsidP="00311B89">
            <w:pPr>
              <w:pStyle w:val="BodyText"/>
            </w:pPr>
            <w:r w:rsidRPr="00311B89">
              <w:t>Electrical equipment may include; Power supplies, including; low voltage AC, low voltage DC, electro-hydraulic, electro, pneumatic, solar, generators, alternat</w:t>
            </w:r>
            <w:r w:rsidRPr="00311B89">
              <w:t>ors, batteries and surge protection</w:t>
            </w:r>
          </w:p>
          <w:p w:rsidR="00000000" w:rsidRPr="00311B89" w:rsidP="00311B89">
            <w:pPr>
              <w:pStyle w:val="BodyText"/>
            </w:pPr>
            <w:r w:rsidRPr="00311B89">
              <w:t>Test equipment may include; multimeters, insulation resistance and continuity testers, battery testers, pneumatic pressure gauges and hydraulic pressure gauges</w:t>
            </w:r>
          </w:p>
          <w:p w:rsidR="00000000" w:rsidRPr="00311B89" w:rsidP="00311B89">
            <w:pPr>
              <w:pStyle w:val="BodyText"/>
            </w:pPr>
            <w:r w:rsidRPr="00311B89">
              <w:t>Technical report may include: incident report, electrical ac</w:t>
            </w:r>
            <w:r w:rsidRPr="00311B89">
              <w:t>cess report, site survey and data log report.</w:t>
            </w:r>
          </w:p>
          <w:p w:rsidR="00000000" w:rsidRPr="00311B89" w:rsidP="00311B89">
            <w:pPr>
              <w:pStyle w:val="BodyText"/>
            </w:pPr>
            <w:r w:rsidRPr="00311B89">
              <w:t xml:space="preserve">Power supplies may include: standby plants, battery chargers, solar supplies, regulated power supplies, uninterrupted power supplies, primary and secondary supplies </w:t>
            </w:r>
          </w:p>
          <w:p w:rsidR="00000000" w:rsidRPr="00311B89" w:rsidP="00311B89">
            <w:pPr>
              <w:pStyle w:val="BodyText"/>
            </w:pPr>
            <w:r w:rsidRPr="00311B89">
              <w:t>Generic terms used throughout this Vocationa</w:t>
            </w:r>
            <w:r w:rsidRPr="00311B89">
              <w:t>l Standard shall be regarded as part of the Range Statement in which competency is demonstrated. The definition of these and other terms that apply are given in Volume 2, Section 2.1.</w:t>
            </w:r>
          </w:p>
        </w:tc>
      </w:tr>
    </w:tbl>
    <w:p w:rsidR="00000000" w:rsidRPr="00311B89" w:rsidP="00311B89">
      <w:pPr>
        <w:pStyle w:val="BodyText"/>
      </w:pPr>
    </w:p>
    <w:p w:rsidR="00000000" w:rsidRPr="00311B89" w:rsidP="00311B89">
      <w:pPr>
        <w:pStyle w:val="AllowPageBreak"/>
      </w:pPr>
    </w:p>
    <w:p w:rsidR="00000000" w:rsidRPr="00311B89" w:rsidP="00311B89">
      <w:pPr>
        <w:pStyle w:val="Heading1"/>
      </w:pPr>
      <w:bookmarkStart w:id="12" w:name="O_585671"/>
      <w:bookmarkEnd w:id="12"/>
      <w:r w:rsidRPr="00311B89">
        <w:t>Unit Sector(s)</w:t>
      </w:r>
    </w:p>
    <w:p w:rsidR="00000000" w:rsidRPr="00311B89" w:rsidP="00311B89">
      <w:pPr>
        <w:pStyle w:val="BodyText"/>
      </w:pPr>
      <w:r w:rsidRPr="00311B89">
        <w:t>Not applicable.</w:t>
      </w:r>
    </w:p>
    <w:p w:rsidR="00000000" w:rsidRPr="00311B89" w:rsidP="00311B89">
      <w:pPr>
        <w:pStyle w:val="AllowPageBreak"/>
      </w:pPr>
    </w:p>
    <w:p w:rsidR="00000000" w:rsidRPr="00311B89" w:rsidP="00311B89">
      <w:pPr>
        <w:pStyle w:val="Heading1"/>
      </w:pPr>
      <w:bookmarkStart w:id="13" w:name="O_585670"/>
      <w:bookmarkEnd w:id="13"/>
      <w:r w:rsidRPr="00311B89">
        <w:t>Competency Field</w:t>
      </w:r>
    </w:p>
    <w:tbl>
      <w:tblPr>
        <w:tblW w:w="0" w:type="auto"/>
        <w:tblLayout w:type="fixed"/>
        <w:tblCellMar>
          <w:left w:w="62" w:type="dxa"/>
          <w:right w:w="62" w:type="dxa"/>
        </w:tblCellMar>
        <w:tblLook w:val="0000"/>
      </w:tblPr>
      <w:tblGrid>
        <w:gridCol w:w="2700"/>
        <w:gridCol w:w="5760"/>
      </w:tblGrid>
      <w:tr w:rsidTr="00A101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1B89">
            <w:pPr>
              <w:pStyle w:val="BodyText"/>
              <w:rPr>
                <w:lang w:val="en-NZ"/>
              </w:rPr>
            </w:pPr>
            <w:r w:rsidRPr="00311B89">
              <w:rPr>
                <w:rStyle w:val="SpecialBold"/>
              </w:rPr>
              <w:t xml:space="preserve">11) </w:t>
            </w:r>
          </w:p>
        </w:tc>
      </w:tr>
      <w:tr w:rsidTr="00A101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B89" w:rsidP="00311B89">
            <w:pPr>
              <w:pStyle w:val="BodyText"/>
            </w:pPr>
            <w:r w:rsidRPr="00311B89">
              <w:t>Rail Signalling</w:t>
            </w:r>
          </w:p>
        </w:tc>
      </w:tr>
    </w:tbl>
    <w:p w:rsidR="00000000" w:rsidRPr="00311B89" w:rsidP="00311B89">
      <w:pPr>
        <w:pStyle w:val="BodyText"/>
      </w:pPr>
    </w:p>
    <w:p w:rsidR="00000000" w:rsidRPr="00311B89" w:rsidP="00311B89"/>
    <w:sectPr w:rsidSect="00311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rsidRPr="00A101A3" w:rsidP="00A10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A3" w:rsidP="00311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01A3" w:rsidP="00311B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101A3" w:rsidP="00311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rsidRPr="00A101A3" w:rsidP="00A101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A3" w:rsidRPr="002D2AF8" w:rsidP="00311B89">
    <w:pPr>
      <w:pStyle w:val="Header"/>
      <w:framePr w:wrap="around"/>
    </w:pPr>
    <w:r>
      <w:fldChar w:fldCharType="begin"/>
    </w:r>
    <w:r>
      <w:instrText xml:space="preserve"> TITLE   \* MERGEFORMAT </w:instrText>
    </w:r>
    <w:r>
      <w:fldChar w:fldCharType="separate"/>
    </w:r>
    <w:r>
      <w:t>UEENEEN105A Install and maintain rail signalling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101A3" w:rsidP="00311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E1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A2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87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0503A8E"/>
    <w:multiLevelType w:val="multilevel"/>
    <w:tmpl w:val="1F7C63B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B89"/>
    <w:pPr>
      <w:spacing w:before="360" w:after="60"/>
      <w:outlineLvl w:val="0"/>
    </w:pPr>
    <w:rPr>
      <w:sz w:val="32"/>
    </w:rPr>
  </w:style>
  <w:style w:type="paragraph" w:styleId="Heading2">
    <w:name w:val="heading 2"/>
    <w:basedOn w:val="HeadingBase"/>
    <w:next w:val="BodyText"/>
    <w:link w:val="Heading2Char"/>
    <w:qFormat/>
    <w:rsid w:val="00311B89"/>
    <w:pPr>
      <w:keepLines/>
      <w:spacing w:before="240" w:after="120"/>
      <w:outlineLvl w:val="1"/>
    </w:pPr>
    <w:rPr>
      <w:sz w:val="28"/>
      <w:szCs w:val="40"/>
    </w:rPr>
  </w:style>
  <w:style w:type="paragraph" w:styleId="Heading3">
    <w:name w:val="heading 3"/>
    <w:basedOn w:val="HeadingBase"/>
    <w:next w:val="BodyText"/>
    <w:link w:val="Heading3Char"/>
    <w:qFormat/>
    <w:rsid w:val="00311B89"/>
    <w:pPr>
      <w:spacing w:before="180" w:after="120"/>
      <w:outlineLvl w:val="2"/>
    </w:pPr>
    <w:rPr>
      <w:spacing w:val="-10"/>
      <w:kern w:val="32"/>
    </w:rPr>
  </w:style>
  <w:style w:type="paragraph" w:styleId="Heading4">
    <w:name w:val="heading 4"/>
    <w:basedOn w:val="HeadingBase"/>
    <w:next w:val="BodyText"/>
    <w:link w:val="Heading4Char"/>
    <w:qFormat/>
    <w:rsid w:val="00311B89"/>
    <w:pPr>
      <w:spacing w:before="160" w:after="120"/>
      <w:outlineLvl w:val="3"/>
    </w:pPr>
    <w:rPr>
      <w:sz w:val="22"/>
    </w:rPr>
  </w:style>
  <w:style w:type="paragraph" w:styleId="Heading5">
    <w:name w:val="heading 5"/>
    <w:basedOn w:val="HeadingBase"/>
    <w:next w:val="Normal"/>
    <w:link w:val="Heading5Char"/>
    <w:qFormat/>
    <w:rsid w:val="00311B89"/>
    <w:pPr>
      <w:spacing w:before="80"/>
      <w:outlineLvl w:val="4"/>
    </w:pPr>
    <w:rPr>
      <w:color w:val="918585"/>
      <w:sz w:val="20"/>
    </w:rPr>
  </w:style>
  <w:style w:type="paragraph" w:styleId="Heading6">
    <w:name w:val="heading 6"/>
    <w:basedOn w:val="HeadingBase"/>
    <w:next w:val="Normal"/>
    <w:link w:val="Heading6Char"/>
    <w:qFormat/>
    <w:rsid w:val="00311B89"/>
    <w:pPr>
      <w:spacing w:before="60"/>
      <w:outlineLvl w:val="5"/>
    </w:pPr>
    <w:rPr>
      <w:color w:val="918585"/>
      <w:sz w:val="20"/>
    </w:rPr>
  </w:style>
  <w:style w:type="paragraph" w:styleId="Heading7">
    <w:name w:val="heading 7"/>
    <w:basedOn w:val="Normal"/>
    <w:next w:val="Normal"/>
    <w:link w:val="Heading7Char"/>
    <w:qFormat/>
    <w:rsid w:val="00311B89"/>
    <w:pPr>
      <w:ind w:left="720"/>
      <w:outlineLvl w:val="6"/>
    </w:pPr>
    <w:rPr>
      <w:i/>
    </w:rPr>
  </w:style>
  <w:style w:type="paragraph" w:styleId="Heading8">
    <w:name w:val="heading 8"/>
    <w:basedOn w:val="Normal"/>
    <w:next w:val="Normal"/>
    <w:link w:val="Heading8Char"/>
    <w:qFormat/>
    <w:rsid w:val="00311B89"/>
    <w:pPr>
      <w:ind w:left="720"/>
      <w:outlineLvl w:val="7"/>
    </w:pPr>
    <w:rPr>
      <w:i/>
    </w:rPr>
  </w:style>
  <w:style w:type="paragraph" w:styleId="Heading9">
    <w:name w:val="heading 9"/>
    <w:basedOn w:val="Normal"/>
    <w:next w:val="Normal"/>
    <w:link w:val="Heading9Char"/>
    <w:qFormat/>
    <w:rsid w:val="00311B89"/>
    <w:pPr>
      <w:ind w:left="720"/>
      <w:outlineLvl w:val="8"/>
    </w:pPr>
    <w:rPr>
      <w:i/>
    </w:rPr>
  </w:style>
  <w:style w:type="character" w:default="1" w:styleId="DefaultParagraphFont">
    <w:name w:val="Default Paragraph Font"/>
    <w:uiPriority w:val="1"/>
    <w:unhideWhenUsed/>
    <w:rsid w:val="00311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B89"/>
  </w:style>
  <w:style w:type="character" w:customStyle="1" w:styleId="Heading1Char">
    <w:name w:val="Heading 1 Char"/>
    <w:basedOn w:val="DefaultParagraphFont"/>
    <w:link w:val="Heading1"/>
    <w:rsid w:val="00311B89"/>
    <w:rPr>
      <w:rFonts w:ascii="Times New Roman" w:eastAsia="Times New Roman" w:hAnsi="Times New Roman" w:cs="Times New Roman"/>
      <w:b/>
      <w:sz w:val="32"/>
      <w:szCs w:val="20"/>
      <w:lang w:eastAsia="en-US"/>
    </w:rPr>
  </w:style>
  <w:style w:type="paragraph" w:styleId="BodyText">
    <w:name w:val="Body Text"/>
    <w:basedOn w:val="Normal"/>
    <w:link w:val="BodyTextChar"/>
    <w:rsid w:val="00311B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B89"/>
    <w:rPr>
      <w:rFonts w:ascii="Times New Roman" w:eastAsia="Times New Roman" w:hAnsi="Times New Roman" w:cs="Times New Roman"/>
      <w:sz w:val="24"/>
      <w:lang w:eastAsia="en-US"/>
    </w:rPr>
  </w:style>
  <w:style w:type="paragraph" w:styleId="ListBullet">
    <w:name w:val="List Bullet"/>
    <w:basedOn w:val="List"/>
    <w:rsid w:val="00311B89"/>
    <w:pPr>
      <w:numPr>
        <w:numId w:val="13"/>
      </w:numPr>
      <w:tabs>
        <w:tab w:val="clear" w:pos="340"/>
      </w:tabs>
      <w:spacing w:before="40" w:after="40"/>
    </w:pPr>
  </w:style>
  <w:style w:type="character" w:customStyle="1" w:styleId="SpecialBold">
    <w:name w:val="Special Bold"/>
    <w:basedOn w:val="DefaultParagraphFont"/>
    <w:rsid w:val="00311B89"/>
    <w:rPr>
      <w:b/>
      <w:spacing w:val="0"/>
    </w:rPr>
  </w:style>
  <w:style w:type="paragraph" w:styleId="ListBullet2">
    <w:name w:val="List Bullet 2"/>
    <w:basedOn w:val="List2"/>
    <w:rsid w:val="00311B89"/>
    <w:pPr>
      <w:numPr>
        <w:numId w:val="14"/>
      </w:numPr>
      <w:tabs>
        <w:tab w:val="clear" w:pos="680"/>
      </w:tabs>
    </w:pPr>
  </w:style>
  <w:style w:type="paragraph" w:customStyle="1" w:styleId="SuperHeading">
    <w:name w:val="SuperHeading"/>
    <w:basedOn w:val="Normal"/>
    <w:rsid w:val="00311B89"/>
    <w:pPr>
      <w:spacing w:before="240" w:after="120"/>
      <w:outlineLvl w:val="0"/>
    </w:pPr>
    <w:rPr>
      <w:rFonts w:ascii="Times New Roman" w:hAnsi="Times New Roman"/>
      <w:b/>
      <w:sz w:val="32"/>
    </w:rPr>
  </w:style>
  <w:style w:type="paragraph" w:customStyle="1" w:styleId="AllowPageBreak">
    <w:name w:val="AllowPageBreak"/>
    <w:rsid w:val="00311B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311B89"/>
    <w:pPr>
      <w:numPr>
        <w:numId w:val="8"/>
      </w:numPr>
    </w:pPr>
  </w:style>
  <w:style w:type="character" w:customStyle="1" w:styleId="Heading2Char">
    <w:name w:val="Heading 2 Char"/>
    <w:basedOn w:val="DefaultParagraphFont"/>
    <w:link w:val="Heading2"/>
    <w:rsid w:val="00311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B89"/>
    <w:rPr>
      <w:rFonts w:ascii="Courier New" w:eastAsia="Times New Roman" w:hAnsi="Courier New" w:cs="Times New Roman"/>
      <w:i/>
      <w:szCs w:val="20"/>
      <w:lang w:eastAsia="en-US"/>
    </w:rPr>
  </w:style>
  <w:style w:type="paragraph" w:customStyle="1" w:styleId="HeadingBase">
    <w:name w:val="Heading Base"/>
    <w:rsid w:val="00311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B89"/>
    <w:pPr>
      <w:tabs>
        <w:tab w:val="right" w:leader="dot" w:pos="9072"/>
      </w:tabs>
      <w:ind w:left="567"/>
    </w:pPr>
    <w:rPr>
      <w:szCs w:val="22"/>
    </w:rPr>
  </w:style>
  <w:style w:type="paragraph" w:customStyle="1" w:styleId="TOCBase">
    <w:name w:val="TOC Base"/>
    <w:rsid w:val="00311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B89"/>
    <w:pPr>
      <w:tabs>
        <w:tab w:val="right" w:leader="dot" w:pos="9072"/>
      </w:tabs>
      <w:spacing w:before="40" w:after="40"/>
      <w:ind w:left="284"/>
    </w:pPr>
    <w:rPr>
      <w:rFonts w:ascii="Times New Roman" w:hAnsi="Times New Roman"/>
    </w:rPr>
  </w:style>
  <w:style w:type="paragraph" w:styleId="TOC1">
    <w:name w:val="toc 1"/>
    <w:basedOn w:val="TOCBase"/>
    <w:next w:val="Normal"/>
    <w:rsid w:val="00311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B89"/>
    <w:rPr>
      <w:rFonts w:ascii="Times New Roman" w:eastAsia="Times New Roman" w:hAnsi="Times New Roman" w:cs="Times New Roman"/>
      <w:sz w:val="16"/>
      <w:lang w:eastAsia="en-US"/>
    </w:rPr>
  </w:style>
  <w:style w:type="paragraph" w:styleId="Title">
    <w:name w:val="Title"/>
    <w:basedOn w:val="HeadingBase"/>
    <w:link w:val="TitleChar"/>
    <w:qFormat/>
    <w:rsid w:val="00311B89"/>
    <w:pPr>
      <w:spacing w:before="5040"/>
      <w:jc w:val="center"/>
    </w:pPr>
    <w:rPr>
      <w:sz w:val="48"/>
      <w:szCs w:val="72"/>
      <w:lang w:val="en-US"/>
    </w:rPr>
  </w:style>
  <w:style w:type="character" w:customStyle="1" w:styleId="TitleChar">
    <w:name w:val="Title Char"/>
    <w:basedOn w:val="DefaultParagraphFont"/>
    <w:link w:val="Title"/>
    <w:rsid w:val="00311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B89"/>
    <w:pPr>
      <w:tabs>
        <w:tab w:val="left" w:pos="3600"/>
        <w:tab w:val="left" w:pos="3958"/>
      </w:tabs>
    </w:pPr>
  </w:style>
  <w:style w:type="paragraph" w:styleId="List">
    <w:name w:val="List"/>
    <w:basedOn w:val="BodyText"/>
    <w:next w:val="BodyText"/>
    <w:rsid w:val="00311B89"/>
    <w:pPr>
      <w:tabs>
        <w:tab w:val="left" w:pos="340"/>
      </w:tabs>
      <w:spacing w:before="60" w:after="60"/>
      <w:ind w:left="340" w:hanging="340"/>
    </w:pPr>
  </w:style>
  <w:style w:type="paragraph" w:customStyle="1" w:styleId="Note">
    <w:name w:val="Note"/>
    <w:basedOn w:val="BodyText"/>
    <w:rsid w:val="00311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B89"/>
    <w:pPr>
      <w:framePr w:wrap="auto" w:hAnchor="text" w:y="6049"/>
    </w:pPr>
    <w:rPr>
      <w:color w:val="000000"/>
      <w:sz w:val="40"/>
    </w:rPr>
  </w:style>
  <w:style w:type="paragraph" w:customStyle="1" w:styleId="TOCTitle">
    <w:name w:val="TOCTitle"/>
    <w:basedOn w:val="Heading1"/>
    <w:rsid w:val="00311B89"/>
    <w:pPr>
      <w:spacing w:after="240"/>
      <w:jc w:val="center"/>
      <w:outlineLvl w:val="9"/>
    </w:pPr>
    <w:rPr>
      <w:caps/>
    </w:rPr>
  </w:style>
  <w:style w:type="paragraph" w:customStyle="1" w:styleId="Version">
    <w:name w:val="Version"/>
    <w:rsid w:val="00311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B89"/>
    <w:pPr>
      <w:keepNext w:val="0"/>
      <w:tabs>
        <w:tab w:val="right" w:pos="4176"/>
      </w:tabs>
      <w:ind w:left="198" w:hanging="198"/>
    </w:pPr>
    <w:rPr>
      <w:rFonts w:ascii="Garamond" w:hAnsi="Garamond"/>
    </w:rPr>
  </w:style>
  <w:style w:type="paragraph" w:styleId="IndexHeading">
    <w:name w:val="index heading"/>
    <w:basedOn w:val="Normal"/>
    <w:next w:val="Index1"/>
    <w:semiHidden/>
    <w:rsid w:val="00311B89"/>
    <w:pPr>
      <w:spacing w:before="120" w:after="120"/>
    </w:pPr>
    <w:rPr>
      <w:rFonts w:ascii="Arial" w:hAnsi="Arial"/>
      <w:b/>
      <w:color w:val="918585"/>
      <w:sz w:val="24"/>
    </w:rPr>
  </w:style>
  <w:style w:type="paragraph" w:styleId="Header">
    <w:name w:val="header"/>
    <w:basedOn w:val="Normal"/>
    <w:link w:val="HeaderChar"/>
    <w:rsid w:val="00311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B89"/>
    <w:rPr>
      <w:rFonts w:ascii="Times New Roman" w:eastAsia="Times New Roman" w:hAnsi="Times New Roman" w:cs="Times New Roman"/>
      <w:sz w:val="16"/>
      <w:szCs w:val="20"/>
      <w:lang w:val="en-GB" w:eastAsia="en-US"/>
    </w:rPr>
  </w:style>
  <w:style w:type="paragraph" w:customStyle="1" w:styleId="Chapter">
    <w:name w:val="Chapter"/>
    <w:basedOn w:val="Normal"/>
    <w:rsid w:val="00311B89"/>
    <w:pPr>
      <w:spacing w:before="240"/>
    </w:pPr>
    <w:rPr>
      <w:rFonts w:ascii="Times New Roman" w:hAnsi="Times New Roman"/>
      <w:smallCaps/>
      <w:spacing w:val="80"/>
      <w:sz w:val="28"/>
    </w:rPr>
  </w:style>
  <w:style w:type="paragraph" w:customStyle="1" w:styleId="InChapter">
    <w:name w:val="InChapter"/>
    <w:basedOn w:val="Heading3"/>
    <w:rsid w:val="00311B89"/>
    <w:pPr>
      <w:spacing w:after="240"/>
      <w:outlineLvl w:val="9"/>
    </w:pPr>
    <w:rPr>
      <w:noProof/>
    </w:rPr>
  </w:style>
  <w:style w:type="paragraph" w:styleId="Index2">
    <w:name w:val="index 2"/>
    <w:basedOn w:val="Normal"/>
    <w:next w:val="Normal"/>
    <w:semiHidden/>
    <w:rsid w:val="00311B89"/>
    <w:pPr>
      <w:tabs>
        <w:tab w:val="right" w:pos="4176"/>
      </w:tabs>
      <w:ind w:left="568" w:hanging="284"/>
    </w:pPr>
    <w:rPr>
      <w:rFonts w:ascii="Garamond" w:hAnsi="Garamond"/>
    </w:rPr>
  </w:style>
  <w:style w:type="paragraph" w:customStyle="1" w:styleId="Byline">
    <w:name w:val="Byline"/>
    <w:rsid w:val="00311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B89"/>
    <w:pPr>
      <w:tabs>
        <w:tab w:val="clear" w:pos="3600"/>
        <w:tab w:val="clear" w:pos="3958"/>
      </w:tabs>
      <w:jc w:val="right"/>
    </w:pPr>
  </w:style>
  <w:style w:type="character" w:styleId="Emphasis">
    <w:name w:val="Emphasis"/>
    <w:basedOn w:val="DefaultParagraphFont"/>
    <w:qFormat/>
    <w:rsid w:val="00311B89"/>
    <w:rPr>
      <w:i/>
    </w:rPr>
  </w:style>
  <w:style w:type="paragraph" w:styleId="Caption">
    <w:name w:val="caption"/>
    <w:basedOn w:val="BodyText"/>
    <w:next w:val="Normal"/>
    <w:qFormat/>
    <w:rsid w:val="00311B89"/>
    <w:pPr>
      <w:framePr w:w="2268" w:hSpace="181" w:vSpace="181" w:wrap="around" w:vAnchor="text" w:hAnchor="page" w:x="1135" w:y="285" w:anchorLock="1"/>
    </w:pPr>
    <w:rPr>
      <w:i/>
    </w:rPr>
  </w:style>
  <w:style w:type="paragraph" w:customStyle="1" w:styleId="MiniTOCTitle">
    <w:name w:val="MiniTOCTitle"/>
    <w:basedOn w:val="Heading4"/>
    <w:rsid w:val="00311B89"/>
    <w:pPr>
      <w:spacing w:before="240"/>
      <w:outlineLvl w:val="9"/>
    </w:pPr>
    <w:rPr>
      <w:noProof/>
      <w:sz w:val="24"/>
    </w:rPr>
  </w:style>
  <w:style w:type="paragraph" w:customStyle="1" w:styleId="MiniTOCItem">
    <w:name w:val="MiniTOCItem"/>
    <w:basedOn w:val="ListBullet"/>
    <w:rsid w:val="00311B89"/>
    <w:pPr>
      <w:numPr>
        <w:numId w:val="0"/>
      </w:numPr>
      <w:tabs>
        <w:tab w:val="right" w:leader="dot" w:pos="6521"/>
      </w:tabs>
      <w:spacing w:before="0" w:after="0"/>
    </w:pPr>
  </w:style>
  <w:style w:type="paragraph" w:customStyle="1" w:styleId="TOFTitle">
    <w:name w:val="TOFTitle"/>
    <w:basedOn w:val="TOCTitle"/>
    <w:rsid w:val="00311B89"/>
  </w:style>
  <w:style w:type="paragraph" w:styleId="TableofFigures">
    <w:name w:val="table of figures"/>
    <w:basedOn w:val="Normal"/>
    <w:next w:val="Normal"/>
    <w:semiHidden/>
    <w:rsid w:val="00311B89"/>
    <w:pPr>
      <w:tabs>
        <w:tab w:val="right" w:leader="dot" w:pos="9072"/>
      </w:tabs>
      <w:ind w:left="970" w:hanging="403"/>
    </w:pPr>
    <w:rPr>
      <w:rFonts w:ascii="Times New Roman" w:hAnsi="Times New Roman"/>
      <w:b/>
    </w:rPr>
  </w:style>
  <w:style w:type="paragraph" w:styleId="ListNumber">
    <w:name w:val="List Number"/>
    <w:basedOn w:val="List"/>
    <w:rsid w:val="00311B89"/>
    <w:pPr>
      <w:numPr>
        <w:numId w:val="11"/>
      </w:numPr>
    </w:pPr>
  </w:style>
  <w:style w:type="character" w:customStyle="1" w:styleId="WingdingSymbols">
    <w:name w:val="Wingding Symbols"/>
    <w:rsid w:val="00311B89"/>
    <w:rPr>
      <w:rFonts w:ascii="Wingdings" w:hAnsi="Wingdings"/>
    </w:rPr>
  </w:style>
  <w:style w:type="paragraph" w:customStyle="1" w:styleId="TableHeading">
    <w:name w:val="Table Heading"/>
    <w:basedOn w:val="HeadingBase"/>
    <w:rsid w:val="00311B89"/>
    <w:pPr>
      <w:keepLines/>
      <w:pBdr>
        <w:bottom w:val="single" w:sz="6" w:space="1" w:color="918585"/>
      </w:pBdr>
      <w:spacing w:before="240"/>
    </w:pPr>
  </w:style>
  <w:style w:type="character" w:customStyle="1" w:styleId="HotSpot">
    <w:name w:val="HotSpot"/>
    <w:rsid w:val="00311B89"/>
    <w:rPr>
      <w:color w:val="0033CC"/>
      <w:u w:val="none"/>
    </w:rPr>
  </w:style>
  <w:style w:type="paragraph" w:customStyle="1" w:styleId="BodyTextRight">
    <w:name w:val="Body Text Right"/>
    <w:basedOn w:val="BodyText"/>
    <w:rsid w:val="00311B89"/>
    <w:pPr>
      <w:spacing w:before="0" w:after="0"/>
      <w:jc w:val="right"/>
    </w:pPr>
  </w:style>
  <w:style w:type="paragraph" w:styleId="Index3">
    <w:name w:val="index 3"/>
    <w:basedOn w:val="ListNumber2"/>
    <w:next w:val="Normal"/>
    <w:semiHidden/>
    <w:rsid w:val="00311B89"/>
    <w:pPr>
      <w:numPr>
        <w:numId w:val="0"/>
      </w:numPr>
      <w:tabs>
        <w:tab w:val="right" w:leader="dot" w:pos="4176"/>
      </w:tabs>
    </w:pPr>
  </w:style>
  <w:style w:type="paragraph" w:styleId="ListNumber2">
    <w:name w:val="List Number 2"/>
    <w:basedOn w:val="List2"/>
    <w:rsid w:val="00311B89"/>
    <w:pPr>
      <w:numPr>
        <w:numId w:val="10"/>
      </w:numPr>
      <w:tabs>
        <w:tab w:val="clear" w:pos="1060"/>
      </w:tabs>
    </w:pPr>
  </w:style>
  <w:style w:type="paragraph" w:customStyle="1" w:styleId="MarginNote">
    <w:name w:val="Margin Note"/>
    <w:basedOn w:val="BodyText"/>
    <w:rsid w:val="00311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B89"/>
    <w:rPr>
      <w:sz w:val="32"/>
    </w:rPr>
  </w:style>
  <w:style w:type="paragraph" w:customStyle="1" w:styleId="HeadingProcedure">
    <w:name w:val="Heading Procedure"/>
    <w:basedOn w:val="HeadingBase"/>
    <w:next w:val="Normal"/>
    <w:rsid w:val="00311B89"/>
    <w:pPr>
      <w:tabs>
        <w:tab w:val="left" w:pos="0"/>
      </w:tabs>
      <w:spacing w:before="120" w:after="60"/>
    </w:pPr>
    <w:rPr>
      <w:i/>
      <w:color w:val="918585"/>
      <w:sz w:val="22"/>
    </w:rPr>
  </w:style>
  <w:style w:type="paragraph" w:customStyle="1" w:styleId="TableBodyText">
    <w:name w:val="Table Body Text"/>
    <w:basedOn w:val="BodyText"/>
    <w:rsid w:val="00311B89"/>
    <w:pPr>
      <w:spacing w:before="60" w:after="60"/>
    </w:pPr>
  </w:style>
  <w:style w:type="paragraph" w:styleId="ListContinue">
    <w:name w:val="List Continue"/>
    <w:basedOn w:val="List"/>
    <w:rsid w:val="00311B89"/>
    <w:pPr>
      <w:ind w:firstLine="0"/>
    </w:pPr>
  </w:style>
  <w:style w:type="paragraph" w:customStyle="1" w:styleId="ListNote">
    <w:name w:val="List Note"/>
    <w:basedOn w:val="List"/>
    <w:rsid w:val="00311B89"/>
    <w:pPr>
      <w:pBdr>
        <w:top w:val="single" w:sz="6" w:space="2" w:color="918585"/>
        <w:bottom w:val="single" w:sz="6" w:space="2" w:color="918585"/>
      </w:pBdr>
      <w:tabs>
        <w:tab w:val="left" w:pos="1021"/>
      </w:tabs>
      <w:ind w:firstLine="0"/>
    </w:pPr>
  </w:style>
  <w:style w:type="paragraph" w:customStyle="1" w:styleId="Warning">
    <w:name w:val="Warning"/>
    <w:basedOn w:val="BodyText"/>
    <w:rsid w:val="00311B89"/>
    <w:pPr>
      <w:shd w:val="clear" w:color="auto" w:fill="D9D9D9"/>
      <w:tabs>
        <w:tab w:val="left" w:pos="992"/>
      </w:tabs>
      <w:ind w:left="119" w:right="119"/>
    </w:pPr>
    <w:rPr>
      <w:sz w:val="20"/>
    </w:rPr>
  </w:style>
  <w:style w:type="paragraph" w:customStyle="1" w:styleId="MarginIcons">
    <w:name w:val="Margin Icons"/>
    <w:basedOn w:val="BodyText"/>
    <w:rsid w:val="00311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B89"/>
    <w:rPr>
      <w:rFonts w:ascii="Courier New" w:hAnsi="Courier New"/>
    </w:rPr>
  </w:style>
  <w:style w:type="paragraph" w:customStyle="1" w:styleId="NoteBullet">
    <w:name w:val="Note Bullet"/>
    <w:basedOn w:val="Note"/>
    <w:rsid w:val="00311B89"/>
    <w:pPr>
      <w:tabs>
        <w:tab w:val="clear" w:pos="680"/>
      </w:tabs>
      <w:spacing w:before="60" w:after="60"/>
    </w:pPr>
  </w:style>
  <w:style w:type="paragraph" w:customStyle="1" w:styleId="SubHeading2">
    <w:name w:val="SubHeading2"/>
    <w:basedOn w:val="HeadingBase"/>
    <w:rsid w:val="00311B89"/>
    <w:pPr>
      <w:spacing w:before="240" w:after="60"/>
    </w:pPr>
    <w:rPr>
      <w:sz w:val="20"/>
    </w:rPr>
  </w:style>
  <w:style w:type="paragraph" w:customStyle="1" w:styleId="SubHeading1">
    <w:name w:val="SubHeading1"/>
    <w:basedOn w:val="HeadingBase"/>
    <w:rsid w:val="00311B89"/>
    <w:pPr>
      <w:spacing w:before="240" w:after="60"/>
    </w:pPr>
    <w:rPr>
      <w:color w:val="918585"/>
      <w:sz w:val="22"/>
    </w:rPr>
  </w:style>
  <w:style w:type="paragraph" w:customStyle="1" w:styleId="SideHeading">
    <w:name w:val="Side Heading"/>
    <w:basedOn w:val="HeadingBase"/>
    <w:rsid w:val="00311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B89"/>
    <w:pPr>
      <w:numPr>
        <w:numId w:val="12"/>
      </w:numPr>
    </w:pPr>
  </w:style>
  <w:style w:type="paragraph" w:styleId="PlainText">
    <w:name w:val="Plain Text"/>
    <w:basedOn w:val="Normal"/>
    <w:link w:val="PlainTextChar"/>
    <w:rsid w:val="00311B89"/>
    <w:rPr>
      <w:sz w:val="20"/>
    </w:rPr>
  </w:style>
  <w:style w:type="character" w:customStyle="1" w:styleId="PlainTextChar">
    <w:name w:val="Plain Text Char"/>
    <w:basedOn w:val="DefaultParagraphFont"/>
    <w:link w:val="PlainText"/>
    <w:rsid w:val="00311B89"/>
    <w:rPr>
      <w:rFonts w:ascii="Courier New" w:eastAsia="Times New Roman" w:hAnsi="Courier New" w:cs="Times New Roman"/>
      <w:sz w:val="20"/>
      <w:szCs w:val="20"/>
      <w:lang w:eastAsia="en-US"/>
    </w:rPr>
  </w:style>
  <w:style w:type="character" w:customStyle="1" w:styleId="MenuOption">
    <w:name w:val="Menu Option"/>
    <w:basedOn w:val="DefaultParagraphFont"/>
    <w:rsid w:val="00311B89"/>
    <w:rPr>
      <w:b/>
      <w:smallCaps/>
    </w:rPr>
  </w:style>
  <w:style w:type="paragraph" w:customStyle="1" w:styleId="TableListNumber">
    <w:name w:val="Table List Number"/>
    <w:basedOn w:val="ListNumber"/>
    <w:rsid w:val="00311B89"/>
    <w:pPr>
      <w:numPr>
        <w:numId w:val="0"/>
      </w:numPr>
    </w:pPr>
  </w:style>
  <w:style w:type="paragraph" w:styleId="TOC4">
    <w:name w:val="toc 4"/>
    <w:basedOn w:val="TOCBase"/>
    <w:next w:val="Normal"/>
    <w:semiHidden/>
    <w:rsid w:val="00311B89"/>
    <w:pPr>
      <w:tabs>
        <w:tab w:val="right" w:leader="dot" w:pos="9071"/>
      </w:tabs>
      <w:ind w:left="1701"/>
    </w:pPr>
  </w:style>
  <w:style w:type="paragraph" w:customStyle="1" w:styleId="ListAlpha">
    <w:name w:val="List Alpha"/>
    <w:basedOn w:val="List"/>
    <w:rsid w:val="00311B89"/>
    <w:pPr>
      <w:numPr>
        <w:numId w:val="9"/>
      </w:numPr>
    </w:pPr>
  </w:style>
  <w:style w:type="paragraph" w:styleId="List2">
    <w:name w:val="List 2"/>
    <w:basedOn w:val="BodyText"/>
    <w:rsid w:val="00311B89"/>
    <w:pPr>
      <w:tabs>
        <w:tab w:val="left" w:pos="680"/>
      </w:tabs>
      <w:spacing w:before="60" w:after="60"/>
      <w:ind w:left="680" w:hanging="340"/>
    </w:pPr>
  </w:style>
  <w:style w:type="paragraph" w:styleId="List3">
    <w:name w:val="List 3"/>
    <w:basedOn w:val="BodyText"/>
    <w:rsid w:val="00311B89"/>
    <w:pPr>
      <w:tabs>
        <w:tab w:val="left" w:pos="1021"/>
      </w:tabs>
      <w:spacing w:before="60" w:after="60"/>
      <w:ind w:left="1020" w:hanging="340"/>
    </w:pPr>
  </w:style>
  <w:style w:type="paragraph" w:styleId="List4">
    <w:name w:val="List 4"/>
    <w:basedOn w:val="BodyText"/>
    <w:rsid w:val="00311B89"/>
    <w:pPr>
      <w:tabs>
        <w:tab w:val="left" w:pos="1361"/>
      </w:tabs>
      <w:spacing w:before="60" w:after="60"/>
      <w:ind w:left="1361" w:hanging="340"/>
    </w:pPr>
  </w:style>
  <w:style w:type="paragraph" w:styleId="List5">
    <w:name w:val="List 5"/>
    <w:basedOn w:val="BodyText"/>
    <w:rsid w:val="00311B89"/>
    <w:pPr>
      <w:tabs>
        <w:tab w:val="left" w:pos="1701"/>
      </w:tabs>
      <w:spacing w:before="60" w:after="60"/>
      <w:ind w:left="1701" w:hanging="340"/>
    </w:pPr>
  </w:style>
  <w:style w:type="paragraph" w:styleId="ListBullet3">
    <w:name w:val="List Bullet 3"/>
    <w:basedOn w:val="List3"/>
    <w:rsid w:val="00311B89"/>
    <w:pPr>
      <w:numPr>
        <w:numId w:val="15"/>
      </w:numPr>
      <w:tabs>
        <w:tab w:val="clear" w:pos="1021"/>
      </w:tabs>
      <w:ind w:left="1037" w:hanging="357"/>
    </w:pPr>
  </w:style>
  <w:style w:type="paragraph" w:styleId="ListBullet4">
    <w:name w:val="List Bullet 4"/>
    <w:basedOn w:val="List4"/>
    <w:rsid w:val="00311B89"/>
    <w:pPr>
      <w:numPr>
        <w:numId w:val="3"/>
      </w:numPr>
    </w:pPr>
  </w:style>
  <w:style w:type="paragraph" w:styleId="ListBullet5">
    <w:name w:val="List Bullet 5"/>
    <w:basedOn w:val="List5"/>
    <w:rsid w:val="00311B89"/>
    <w:pPr>
      <w:numPr>
        <w:numId w:val="4"/>
      </w:numPr>
    </w:pPr>
  </w:style>
  <w:style w:type="paragraph" w:styleId="ListContinue2">
    <w:name w:val="List Continue 2"/>
    <w:basedOn w:val="List2"/>
    <w:rsid w:val="00311B89"/>
    <w:pPr>
      <w:ind w:firstLine="0"/>
    </w:pPr>
  </w:style>
  <w:style w:type="paragraph" w:styleId="ListContinue3">
    <w:name w:val="List Continue 3"/>
    <w:basedOn w:val="List3"/>
    <w:rsid w:val="00311B89"/>
    <w:pPr>
      <w:ind w:left="1021" w:firstLine="0"/>
    </w:pPr>
  </w:style>
  <w:style w:type="paragraph" w:styleId="ListContinue4">
    <w:name w:val="List Continue 4"/>
    <w:basedOn w:val="List4"/>
    <w:rsid w:val="00311B89"/>
    <w:pPr>
      <w:ind w:firstLine="0"/>
    </w:pPr>
  </w:style>
  <w:style w:type="paragraph" w:styleId="ListContinue5">
    <w:name w:val="List Continue 5"/>
    <w:basedOn w:val="List5"/>
    <w:rsid w:val="00311B89"/>
    <w:pPr>
      <w:ind w:firstLine="0"/>
    </w:pPr>
  </w:style>
  <w:style w:type="paragraph" w:styleId="ListNumber3">
    <w:name w:val="List Number 3"/>
    <w:basedOn w:val="List3"/>
    <w:rsid w:val="00311B89"/>
    <w:pPr>
      <w:numPr>
        <w:numId w:val="5"/>
      </w:numPr>
    </w:pPr>
  </w:style>
  <w:style w:type="paragraph" w:styleId="ListNumber4">
    <w:name w:val="List Number 4"/>
    <w:basedOn w:val="List4"/>
    <w:rsid w:val="00311B89"/>
    <w:pPr>
      <w:numPr>
        <w:numId w:val="6"/>
      </w:numPr>
    </w:pPr>
  </w:style>
  <w:style w:type="paragraph" w:styleId="ListNumber5">
    <w:name w:val="List Number 5"/>
    <w:basedOn w:val="List5"/>
    <w:rsid w:val="00311B89"/>
    <w:pPr>
      <w:numPr>
        <w:numId w:val="7"/>
      </w:numPr>
    </w:pPr>
  </w:style>
  <w:style w:type="paragraph" w:styleId="BlockText">
    <w:name w:val="Block Text"/>
    <w:basedOn w:val="Normal"/>
    <w:rsid w:val="00311B89"/>
    <w:pPr>
      <w:spacing w:after="120"/>
      <w:ind w:left="1440" w:right="1440"/>
    </w:pPr>
  </w:style>
  <w:style w:type="character" w:customStyle="1" w:styleId="Subscript">
    <w:name w:val="Subscript"/>
    <w:basedOn w:val="DefaultParagraphFont"/>
    <w:rsid w:val="00311B89"/>
    <w:rPr>
      <w:sz w:val="16"/>
      <w:vertAlign w:val="subscript"/>
    </w:rPr>
  </w:style>
  <w:style w:type="character" w:customStyle="1" w:styleId="Superscript">
    <w:name w:val="Superscript"/>
    <w:basedOn w:val="DefaultParagraphFont"/>
    <w:rsid w:val="00311B89"/>
    <w:rPr>
      <w:sz w:val="16"/>
      <w:vertAlign w:val="superscript"/>
    </w:rPr>
  </w:style>
  <w:style w:type="character" w:customStyle="1" w:styleId="Symbols">
    <w:name w:val="Symbols"/>
    <w:basedOn w:val="DefaultParagraphFont"/>
    <w:rsid w:val="00311B89"/>
    <w:rPr>
      <w:rFonts w:ascii="Symbol" w:hAnsi="Symbol"/>
    </w:rPr>
  </w:style>
  <w:style w:type="character" w:customStyle="1" w:styleId="MenuOptions">
    <w:name w:val="Menu Options"/>
    <w:basedOn w:val="DefaultParagraphFont"/>
    <w:rsid w:val="00311B89"/>
    <w:rPr>
      <w:rFonts w:ascii="Arial Narrow" w:hAnsi="Arial Narrow"/>
      <w:smallCaps/>
    </w:rPr>
  </w:style>
  <w:style w:type="character" w:customStyle="1" w:styleId="Buttons">
    <w:name w:val="Buttons"/>
    <w:basedOn w:val="DefaultParagraphFont"/>
    <w:rsid w:val="00311B89"/>
    <w:rPr>
      <w:b/>
    </w:rPr>
  </w:style>
  <w:style w:type="character" w:customStyle="1" w:styleId="Underlined">
    <w:name w:val="Underlined"/>
    <w:basedOn w:val="DefaultParagraphFont"/>
    <w:rsid w:val="00311B89"/>
    <w:rPr>
      <w:u w:val="single"/>
    </w:rPr>
  </w:style>
  <w:style w:type="paragraph" w:customStyle="1" w:styleId="TableBodyTextRight">
    <w:name w:val="Table Body Text Right"/>
    <w:basedOn w:val="TableBodyText"/>
    <w:rsid w:val="00311B89"/>
    <w:pPr>
      <w:widowControl w:val="0"/>
      <w:autoSpaceDE w:val="0"/>
      <w:autoSpaceDN w:val="0"/>
      <w:adjustRightInd w:val="0"/>
      <w:jc w:val="right"/>
    </w:pPr>
    <w:rPr>
      <w:rFonts w:cs="Arial"/>
      <w:szCs w:val="18"/>
    </w:rPr>
  </w:style>
  <w:style w:type="paragraph" w:customStyle="1" w:styleId="CopyrightText">
    <w:name w:val="Copyright Text"/>
    <w:basedOn w:val="BodyText"/>
    <w:rsid w:val="00311B89"/>
    <w:rPr>
      <w:sz w:val="18"/>
    </w:rPr>
  </w:style>
  <w:style w:type="paragraph" w:customStyle="1" w:styleId="BodySmallRight">
    <w:name w:val="Body Small Right"/>
    <w:basedOn w:val="BodyTextRight"/>
    <w:rsid w:val="00311B89"/>
    <w:rPr>
      <w:sz w:val="18"/>
      <w:szCs w:val="18"/>
    </w:rPr>
  </w:style>
  <w:style w:type="paragraph" w:customStyle="1" w:styleId="MarginEdition">
    <w:name w:val="Margin Edition"/>
    <w:basedOn w:val="MarginNote"/>
    <w:rsid w:val="00311B89"/>
    <w:pPr>
      <w:spacing w:before="0" w:after="0"/>
    </w:pPr>
    <w:rPr>
      <w:rFonts w:ascii="Times New Roman" w:hAnsi="Times New Roman"/>
      <w:color w:val="999999"/>
    </w:rPr>
  </w:style>
  <w:style w:type="paragraph" w:customStyle="1" w:styleId="Spacer">
    <w:name w:val="Spacer"/>
    <w:basedOn w:val="Normal"/>
    <w:rsid w:val="00311B89"/>
    <w:rPr>
      <w:sz w:val="2"/>
      <w:szCs w:val="2"/>
    </w:rPr>
  </w:style>
  <w:style w:type="character" w:customStyle="1" w:styleId="Small">
    <w:name w:val="Small"/>
    <w:basedOn w:val="DefaultParagraphFont"/>
    <w:rsid w:val="00311B89"/>
    <w:rPr>
      <w:sz w:val="16"/>
    </w:rPr>
  </w:style>
  <w:style w:type="paragraph" w:customStyle="1" w:styleId="WideTable">
    <w:name w:val="Wide Table"/>
    <w:basedOn w:val="Normal"/>
    <w:rsid w:val="00311B89"/>
    <w:pPr>
      <w:ind w:left="-1418"/>
    </w:pPr>
    <w:rPr>
      <w:sz w:val="2"/>
      <w:szCs w:val="2"/>
    </w:rPr>
  </w:style>
  <w:style w:type="character" w:styleId="PageNumber">
    <w:name w:val="page number"/>
    <w:basedOn w:val="DefaultParagraphFont"/>
    <w:rsid w:val="00311B89"/>
  </w:style>
  <w:style w:type="paragraph" w:styleId="Quote">
    <w:name w:val="Quote"/>
    <w:basedOn w:val="Heading1"/>
    <w:link w:val="QuoteChar"/>
    <w:qFormat/>
    <w:rsid w:val="00311B89"/>
    <w:rPr>
      <w:b w:val="0"/>
      <w:sz w:val="72"/>
      <w:szCs w:val="72"/>
      <w:lang w:val="en-NZ"/>
    </w:rPr>
  </w:style>
  <w:style w:type="character" w:customStyle="1" w:styleId="QuoteChar">
    <w:name w:val="Quote Char"/>
    <w:basedOn w:val="DefaultParagraphFont"/>
    <w:link w:val="Quote"/>
    <w:rsid w:val="00311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B89"/>
    <w:pPr>
      <w:pageBreakBefore/>
    </w:pPr>
  </w:style>
  <w:style w:type="paragraph" w:customStyle="1" w:styleId="Border">
    <w:name w:val="Border"/>
    <w:basedOn w:val="Normal"/>
    <w:qFormat/>
    <w:rsid w:val="00311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B89"/>
    <w:rPr>
      <w:b/>
      <w:bCs/>
      <w:i/>
      <w:iCs/>
      <w:color w:val="auto"/>
    </w:rPr>
  </w:style>
  <w:style w:type="paragraph" w:styleId="IntenseQuote">
    <w:name w:val="Intense Quote"/>
    <w:basedOn w:val="Normal"/>
    <w:next w:val="Normal"/>
    <w:link w:val="IntenseQuoteChar"/>
    <w:uiPriority w:val="30"/>
    <w:qFormat/>
    <w:rsid w:val="00311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B89"/>
    <w:rPr>
      <w:smallCaps/>
      <w:color w:val="auto"/>
      <w:u w:val="single"/>
    </w:rPr>
  </w:style>
  <w:style w:type="character" w:styleId="IntenseReference">
    <w:name w:val="Intense Reference"/>
    <w:basedOn w:val="DefaultParagraphFont"/>
    <w:uiPriority w:val="32"/>
    <w:qFormat/>
    <w:rsid w:val="00311B89"/>
    <w:rPr>
      <w:b/>
      <w:bCs/>
      <w:smallCaps/>
      <w:color w:val="auto"/>
      <w:spacing w:val="5"/>
      <w:u w:val="single"/>
    </w:rPr>
  </w:style>
  <w:style w:type="paragraph" w:customStyle="1" w:styleId="2ColumnHeading">
    <w:name w:val="2Column Heading"/>
    <w:basedOn w:val="BodyText"/>
    <w:qFormat/>
    <w:rsid w:val="00311B89"/>
    <w:pPr>
      <w:spacing w:after="60"/>
      <w:ind w:left="-2268"/>
    </w:pPr>
    <w:rPr>
      <w:b/>
    </w:rPr>
  </w:style>
  <w:style w:type="paragraph" w:customStyle="1" w:styleId="Heading1TOC">
    <w:name w:val="Heading1 TOC"/>
    <w:basedOn w:val="Normal"/>
    <w:qFormat/>
    <w:rsid w:val="00311B89"/>
    <w:pPr>
      <w:spacing w:before="240" w:after="120"/>
    </w:pPr>
    <w:rPr>
      <w:rFonts w:ascii="Times New Roman" w:hAnsi="Times New Roman"/>
      <w:b/>
      <w:sz w:val="32"/>
    </w:rPr>
  </w:style>
  <w:style w:type="paragraph" w:customStyle="1" w:styleId="Heading2TOC">
    <w:name w:val="Heading2 TOC"/>
    <w:basedOn w:val="Normal"/>
    <w:qFormat/>
    <w:rsid w:val="00311B89"/>
    <w:pPr>
      <w:spacing w:before="240" w:after="60"/>
    </w:pPr>
    <w:rPr>
      <w:rFonts w:ascii="Times New Roman" w:hAnsi="Times New Roman"/>
      <w:b/>
      <w:sz w:val="28"/>
    </w:rPr>
  </w:style>
  <w:style w:type="character" w:customStyle="1" w:styleId="Underline">
    <w:name w:val="Underline"/>
    <w:basedOn w:val="DefaultParagraphFont"/>
    <w:qFormat/>
    <w:rsid w:val="00311B89"/>
    <w:rPr>
      <w:u w:val="single"/>
    </w:rPr>
  </w:style>
  <w:style w:type="character" w:customStyle="1" w:styleId="BoldandItalics">
    <w:name w:val="Bold and Italics"/>
    <w:qFormat/>
    <w:rsid w:val="00311B89"/>
    <w:rPr>
      <w:b/>
      <w:i/>
      <w:u w:val="none"/>
    </w:rPr>
  </w:style>
  <w:style w:type="paragraph" w:styleId="BalloonText">
    <w:name w:val="Balloon Text"/>
    <w:basedOn w:val="Normal"/>
    <w:link w:val="BalloonTextChar"/>
    <w:rsid w:val="00311B89"/>
    <w:rPr>
      <w:rFonts w:ascii="Tahoma" w:hAnsi="Tahoma" w:cs="Tahoma"/>
      <w:sz w:val="16"/>
      <w:szCs w:val="16"/>
    </w:rPr>
  </w:style>
  <w:style w:type="character" w:customStyle="1" w:styleId="BalloonTextChar">
    <w:name w:val="Balloon Text Char"/>
    <w:basedOn w:val="DefaultParagraphFont"/>
    <w:link w:val="BalloonText"/>
    <w:rsid w:val="00311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B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B89"/>
    <w:rPr>
      <w:b/>
      <w:color w:val="660033"/>
      <w:spacing w:val="0"/>
    </w:rPr>
  </w:style>
  <w:style w:type="paragraph" w:customStyle="1" w:styleId="Nameditemlist">
    <w:name w:val="Named item list"/>
    <w:basedOn w:val="BodyText"/>
    <w:qFormat/>
    <w:rsid w:val="00311B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2376</Words>
  <Characters>14887</Characters>
  <Application>Microsoft Office Word</Application>
  <DocSecurity>0</DocSecurity>
  <Lines>531</Lines>
  <Paragraphs>247</Paragraphs>
  <ScaleCrop>false</ScaleCrop>
  <Company>Author-it Software Corporation Ltd.</Company>
  <LinksUpToDate>false</LinksUpToDate>
  <CharactersWithSpaces>17071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UEENEEN105A Install and maintain rail signalling power supplies</dc:title>
  <dc:subject>Approved</dc:subject>
  <dc:creator>E-OZ Training Standards</dc:creator>
  <cp:keywords>Release: 2</cp:keywords>
  <dc:description>Review Date: 12 April 2008</dc:description>
  <cp:lastModifiedBy>HSD_TPCMSd.prod</cp:lastModifiedBy>
  <cp:revision>3</cp:revision>
  <dcterms:created xsi:type="dcterms:W3CDTF">2013-08-14T06:18:00Z</dcterms:created>
  <dcterms:modified xsi:type="dcterms:W3CDTF">2013-08-14T06:18:00Z</dcterms:modified>
</cp:coreProperties>
</file>