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7AD" w:rsidP="002347AD">
      <w:pPr>
        <w:pStyle w:val="Title"/>
      </w:pPr>
      <w:r>
        <w:fldChar w:fldCharType="begin"/>
      </w:r>
      <w:r>
        <w:instrText xml:space="preserve"> TITLE   \* MERGEFORMAT </w:instrText>
      </w:r>
      <w:r>
        <w:fldChar w:fldCharType="separate"/>
      </w:r>
      <w:r>
        <w:t>UEENEEN101A Maintain mechanical rail signalling equipment and infrastructure</w:t>
      </w:r>
      <w:r>
        <w:fldChar w:fldCharType="end"/>
      </w:r>
    </w:p>
    <w:p w:rsidR="002347AD" w:rsidP="002347AD">
      <w:pPr>
        <w:pStyle w:val="Version"/>
        <w:sectPr w:rsidSect="00754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4E88" w:rsidP="00754E88">
      <w:pPr>
        <w:pStyle w:val="SuperHeading"/>
      </w:pPr>
      <w:r w:rsidRPr="00754E88">
        <w:t>UEENEEN101A Maintain mechanical rail signalling equipment and infrastructure</w:t>
      </w:r>
    </w:p>
    <w:p w:rsidR="00000000" w:rsidRPr="00754E88" w:rsidP="00754E88">
      <w:pPr>
        <w:pStyle w:val="Heading1"/>
      </w:pPr>
      <w:bookmarkStart w:id="1" w:name="O_585640"/>
      <w:bookmarkEnd w:id="1"/>
      <w:r w:rsidRPr="00754E88">
        <w:t>Modification History</w:t>
      </w:r>
    </w:p>
    <w:p w:rsidR="00000000" w:rsidRPr="00754E88" w:rsidP="00754E88">
      <w:pPr>
        <w:pStyle w:val="BodyText"/>
      </w:pPr>
      <w:r w:rsidRPr="00754E88">
        <w:t>Not applicable.</w:t>
      </w:r>
    </w:p>
    <w:p w:rsidR="00000000" w:rsidRPr="00754E88" w:rsidP="00754E88">
      <w:pPr>
        <w:pStyle w:val="AllowPageBreak"/>
      </w:pPr>
    </w:p>
    <w:p w:rsidR="00000000" w:rsidRPr="00754E88" w:rsidP="00754E88">
      <w:pPr>
        <w:pStyle w:val="Heading1"/>
      </w:pPr>
      <w:bookmarkStart w:id="2" w:name="O_585639"/>
      <w:bookmarkEnd w:id="2"/>
      <w:r w:rsidRPr="00754E88">
        <w:t>Unit Descriptor</w:t>
      </w:r>
    </w:p>
    <w:tbl>
      <w:tblPr>
        <w:tblW w:w="0" w:type="auto"/>
        <w:tblLayout w:type="fixed"/>
        <w:tblCellMar>
          <w:left w:w="62" w:type="dxa"/>
          <w:right w:w="62" w:type="dxa"/>
        </w:tblCellMar>
        <w:tblLook w:val="0000"/>
      </w:tblPr>
      <w:tblGrid>
        <w:gridCol w:w="2700"/>
        <w:gridCol w:w="5760"/>
      </w:tblGrid>
      <w:tr w:rsidTr="002347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1)</w:t>
            </w:r>
            <w:r w:rsidRPr="00754E88">
              <w:t xml:space="preserve"> </w:t>
            </w:r>
            <w:r w:rsidRPr="00754E88">
              <w:rPr>
                <w:rStyle w:val="SpecialBold"/>
              </w:rPr>
              <w:t>Scope:</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4E8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1.1) Descriptor</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 xml:space="preserve">This unit covers maintenance of mechanical signalling and infrastructure, connected to electro mechanical equipment. It encompasses safe working, regulatory requirements, following maintenance procedures, checking operation and functionality of signalling </w:t>
            </w:r>
            <w:r w:rsidRPr="00754E88">
              <w:t>equipment and infrastructure, and reporting.</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3" w:name="O_585638"/>
      <w:bookmarkEnd w:id="3"/>
      <w:r w:rsidRPr="00754E88">
        <w:t>Application of the Unit</w:t>
      </w:r>
    </w:p>
    <w:tbl>
      <w:tblPr>
        <w:tblW w:w="0" w:type="auto"/>
        <w:tblLayout w:type="fixed"/>
        <w:tblCellMar>
          <w:left w:w="62" w:type="dxa"/>
          <w:right w:w="62" w:type="dxa"/>
        </w:tblCellMar>
        <w:tblLook w:val="0000"/>
      </w:tblPr>
      <w:tblGrid>
        <w:gridCol w:w="2672"/>
        <w:gridCol w:w="5699"/>
      </w:tblGrid>
      <w:tr w:rsidTr="002347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2)</w:t>
            </w:r>
          </w:p>
        </w:tc>
      </w:tr>
      <w:tr w:rsidTr="002347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This unit shall apply to qualifications in installation and maintenance of rail signalling.</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4" w:name="O_585637"/>
      <w:bookmarkEnd w:id="4"/>
      <w:r w:rsidRPr="00754E88">
        <w:t xml:space="preserve">Licensing/Regulatory </w:t>
      </w:r>
      <w:r w:rsidRPr="00754E88">
        <w:t>Information</w:t>
      </w:r>
    </w:p>
    <w:tbl>
      <w:tblPr>
        <w:tblW w:w="0" w:type="auto"/>
        <w:tblLayout w:type="fixed"/>
        <w:tblCellMar>
          <w:left w:w="62" w:type="dxa"/>
          <w:right w:w="62" w:type="dxa"/>
        </w:tblCellMar>
        <w:tblLook w:val="0000"/>
      </w:tblPr>
      <w:tblGrid>
        <w:gridCol w:w="2700"/>
        <w:gridCol w:w="5760"/>
      </w:tblGrid>
      <w:tr w:rsidTr="002347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 xml:space="preserve">3) </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The skills and knowledge described in this unit may only be practised in the workplace under the codes of practice and regulations of the State/Territory for which the work is carried out. This includes codes of practi</w:t>
            </w:r>
            <w:r w:rsidRPr="00754E88">
              <w:t>ce such as the ‘Code of Practice for the Defined Interstate Rail Network’ for work carried out on that network.</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5" w:name="O_585636"/>
      <w:bookmarkEnd w:id="5"/>
      <w:r w:rsidRPr="00754E88">
        <w:t>Pre-Requisites</w:t>
      </w:r>
    </w:p>
    <w:tbl>
      <w:tblPr>
        <w:tblW w:w="0" w:type="auto"/>
        <w:tblLayout w:type="fixed"/>
        <w:tblCellMar>
          <w:left w:w="62" w:type="dxa"/>
          <w:right w:w="62" w:type="dxa"/>
        </w:tblCellMar>
        <w:tblLook w:val="0000"/>
      </w:tblPr>
      <w:tblGrid>
        <w:gridCol w:w="2700"/>
        <w:gridCol w:w="1350"/>
        <w:gridCol w:w="4410"/>
      </w:tblGrid>
      <w:tr w:rsidTr="002347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 xml:space="preserve">4) </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4.1)</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Granting compete</w:t>
            </w:r>
            <w:r w:rsidRPr="00754E88">
              <w:t>ncy in this unit shall be made only after competency in the following unit(s) has/have been confirmed.</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UEENEEE101A</w:t>
            </w:r>
          </w:p>
        </w:tc>
        <w:tc>
          <w:tcPr>
            <w:tcW w:w="441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Apply Occupational Health and Safety regulations, codes and practices in the workplace</w:t>
            </w:r>
          </w:p>
        </w:tc>
      </w:tr>
    </w:tbl>
    <w:p w:rsidR="00000000" w:rsidRPr="00754E88" w:rsidP="00754E8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347A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 xml:space="preserve">4.2) </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Participants are best equipped to achieve competency in this unit if they have reading, writing and numeracy skills indicated by the following scales. Description of each scale is given in Volume 2, Part 3 ‘Literacy and Numeracy’</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Reading</w:t>
            </w:r>
          </w:p>
        </w:tc>
        <w:tc>
          <w:tcPr>
            <w:tcW w:w="81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w:t>
            </w:r>
          </w:p>
        </w:tc>
        <w:tc>
          <w:tcPr>
            <w:tcW w:w="99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Writing</w:t>
            </w: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w:t>
            </w:r>
          </w:p>
        </w:tc>
        <w:tc>
          <w:tcPr>
            <w:tcW w:w="12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Numeracy</w:t>
            </w:r>
          </w:p>
        </w:tc>
        <w:tc>
          <w:tcPr>
            <w:tcW w:w="72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3</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6" w:name="O_585635"/>
      <w:bookmarkEnd w:id="6"/>
      <w:r w:rsidRPr="00754E88">
        <w:t>Employability Skills Information</w:t>
      </w:r>
    </w:p>
    <w:tbl>
      <w:tblPr>
        <w:tblW w:w="0" w:type="auto"/>
        <w:tblLayout w:type="fixed"/>
        <w:tblCellMar>
          <w:left w:w="62" w:type="dxa"/>
          <w:right w:w="62" w:type="dxa"/>
        </w:tblCellMar>
        <w:tblLook w:val="0000"/>
      </w:tblPr>
      <w:tblGrid>
        <w:gridCol w:w="2700"/>
        <w:gridCol w:w="5760"/>
      </w:tblGrid>
      <w:tr w:rsidTr="002347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 xml:space="preserve">5) </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This unit contains Employability Skills</w:t>
            </w:r>
          </w:p>
          <w:p w:rsidR="00000000" w:rsidRPr="00754E88" w:rsidP="00754E88">
            <w:pPr>
              <w:pStyle w:val="BodyText"/>
            </w:pPr>
            <w:r w:rsidRPr="00754E88">
              <w:t xml:space="preserve">The required outcomes described in this unit of competency contain applicable facets of </w:t>
            </w:r>
            <w:r w:rsidRPr="00754E88">
              <w:t>Employability Skills. The Employability Skills Summary of the qualification in which this unit of competency is packaged will assist in identifying Employability Skill requirements.</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7" w:name="O_585634"/>
      <w:bookmarkEnd w:id="7"/>
      <w:r w:rsidRPr="00754E88">
        <w:t>Elements and Performance Criteria Pre-Content</w:t>
      </w:r>
    </w:p>
    <w:tbl>
      <w:tblPr>
        <w:tblW w:w="0" w:type="auto"/>
        <w:tblLayout w:type="fixed"/>
        <w:tblCellMar>
          <w:left w:w="62" w:type="dxa"/>
          <w:right w:w="62" w:type="dxa"/>
        </w:tblCellMar>
        <w:tblLook w:val="0000"/>
      </w:tblPr>
      <w:tblGrid>
        <w:gridCol w:w="2700"/>
        <w:gridCol w:w="5760"/>
      </w:tblGrid>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6)</w:t>
            </w:r>
            <w:r w:rsidRPr="00754E8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Performance Criteria describe the required performance needed to demonstrate achievement of the element. Assessment of performance is to be consistent with the Evidence Guide.</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8" w:name="O_585633"/>
      <w:bookmarkEnd w:id="8"/>
      <w:r w:rsidRPr="00754E8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347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PERFORMANCE CRITERIA</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w:t>
            </w:r>
          </w:p>
        </w:tc>
        <w:tc>
          <w:tcPr>
            <w:tcW w:w="2296"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Prepare maintain  mechanical signalling equipment and infrastructure</w:t>
            </w: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1.1</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OHS procedures for a given work area are identified, obtained and understood.</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1.2</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Established OHS risk control measures and procedures are followed in preparation for the work.</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1.3</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Safety hazards that have not previously been identified are noted, and established risk control measures are implemented.</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1.4</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Maintenance is appropriately sequenced in accordance with job schedule</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1.5</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Appropriate personnel are consulted to ensure the work is coordinated effectively with others involved on the work site</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1.6</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Location of equipment to be maintained is determine</w:t>
            </w:r>
            <w:r w:rsidRPr="00754E88">
              <w:t>d from job specifications and diagrams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1.7</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Materials needed for maintenance are obtained in accordance with established procedures and checked against job requirements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1.8</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Tools, equipment and testing devices needed to conduct maintenance work are obtained in accordance with established procedures and checked for correct operation and safety</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w:t>
            </w:r>
          </w:p>
        </w:tc>
        <w:tc>
          <w:tcPr>
            <w:tcW w:w="2296"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Carry out the maintenance of mechanical signalling equipment and infrastructure</w:t>
            </w: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w:t>
            </w:r>
            <w:r w:rsidRPr="00754E88">
              <w:t>.1</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 xml:space="preserve">OHS risk control measures and procedures for carrying out the work are followed. </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2.2</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All chemicals, lubricants and consumables are used and disposed of in compliance with material safety sheets and OHS codes and practices.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2.3</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 xml:space="preserve">All rubbish, weeds </w:t>
            </w:r>
            <w:r w:rsidRPr="00754E88">
              <w:t>and obstructions are removed from equipment and housings.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2.4</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Initial visual check of operational equipment is performed to identify any equipment faults.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2.5</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External surfaces are prepared/painted to organisation standards to protect the equipment.</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2.6</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All internal surfaces and operational components are cleaned and lubricated to ensure operational effectiveness.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2.7</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Maintenance is carried out in accordance with relevant standards and requirements and established routines.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2.8</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Established me</w:t>
            </w:r>
            <w:r w:rsidRPr="00754E88">
              <w:t>thods for dealing with unexpected situations are discussed with appropriate person(s) and documented.</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2.9</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Unexpected situations are dealt with safely and with the approval of an authorised person.</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2.10</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Maintenance is carried out efficiently without waste of materials or damage to apparatus and the surrounding environment or services and using sustainable energy practices.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w:t>
            </w:r>
          </w:p>
        </w:tc>
        <w:tc>
          <w:tcPr>
            <w:tcW w:w="2296"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Complete the maintenance of mechanical signalling equipment and infrastructure</w:t>
            </w: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w:t>
            </w:r>
            <w:r w:rsidRPr="00754E88">
              <w:t>.1</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OHS work completion risk control measures and procedures are followed.</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3.2</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Approval to conduct a check of equipment operation is obtained in accordance with relevant operational rules and procedures.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3.3</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Track clearance check is made before conducting equipment operation check to ensure safe train movement.</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3.4</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Authorised equipment check is carried out in accordance with operating procedures to identify any equipment faults.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3.5</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Operational effective</w:t>
            </w:r>
            <w:r w:rsidRPr="00754E88">
              <w:t>ness of equipment is confirmed through observation during train movements if required.</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3.6</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Equipments faults are correctly identified; recorded and appropriate corrective action is taken.</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3.7</w:t>
            </w:r>
          </w:p>
        </w:tc>
        <w:tc>
          <w:tcPr>
            <w:tcW w:w="48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Equipment is locked and secured to prevent unauthorised ac</w:t>
            </w:r>
            <w:r w:rsidRPr="00754E88">
              <w:t>cess.</w:t>
            </w:r>
          </w:p>
        </w:tc>
      </w:tr>
      <w:tr w:rsidTr="002347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t>3.8</w:t>
            </w:r>
          </w:p>
        </w:tc>
        <w:tc>
          <w:tcPr>
            <w:tcW w:w="48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Work completion is documented and appropriate person(s) notified in accordance with established procedures, and relevant reports produced.</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9" w:name="O_585632"/>
      <w:bookmarkEnd w:id="9"/>
      <w:r w:rsidRPr="00754E88">
        <w:t>Required Skills and Knowledge</w:t>
      </w:r>
    </w:p>
    <w:tbl>
      <w:tblPr>
        <w:tblW w:w="0" w:type="auto"/>
        <w:tblLayout w:type="fixed"/>
        <w:tblCellMar>
          <w:left w:w="62" w:type="dxa"/>
          <w:right w:w="62" w:type="dxa"/>
        </w:tblCellMar>
        <w:tblLook w:val="0000"/>
      </w:tblPr>
      <w:tblGrid>
        <w:gridCol w:w="8460"/>
      </w:tblGrid>
      <w:tr w:rsidTr="002347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REQUIRED SKILLS AND KNOWLEDGE</w:t>
            </w:r>
          </w:p>
        </w:tc>
      </w:tr>
      <w:tr w:rsidTr="002347A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8)</w:t>
            </w:r>
            <w:r w:rsidRPr="00754E88">
              <w:t xml:space="preserve">  This describes the essential skills and knowledge and their level, required for this unit.</w:t>
            </w:r>
          </w:p>
          <w:p w:rsidR="00000000" w:rsidRPr="00754E88" w:rsidP="00754E88">
            <w:pPr>
              <w:pStyle w:val="BodyText"/>
            </w:pPr>
            <w:r w:rsidRPr="00754E88">
              <w:t>Evidence shall show that knowledge has been acquired of safe working practices and servicing mechanical rail signalling equipment and infrastructure.</w:t>
            </w:r>
          </w:p>
          <w:p w:rsidR="00000000" w:rsidRPr="00754E88" w:rsidP="00754E88">
            <w:pPr>
              <w:pStyle w:val="BodyText"/>
            </w:pPr>
            <w:r w:rsidRPr="00754E88">
              <w:t>All knowledge</w:t>
            </w:r>
            <w:r w:rsidRPr="00754E88">
              <w:t xml:space="preserve"> and skills detailed in this unit should be contextualised to current industry practices and technologies.</w:t>
            </w:r>
          </w:p>
          <w:p w:rsidR="00000000" w:rsidRPr="00754E88" w:rsidP="00754E88">
            <w:pPr>
              <w:pStyle w:val="BodyText"/>
            </w:pPr>
            <w:r w:rsidRPr="00754E88">
              <w:rPr>
                <w:rStyle w:val="SpecialBold"/>
              </w:rPr>
              <w:t>KS01-EN101A             Mechanical rail signalling equipment and infrastructure maintenance requirements and techniques</w:t>
            </w:r>
          </w:p>
          <w:p w:rsidR="00000000" w:rsidRPr="00754E88" w:rsidP="00754E88">
            <w:pPr>
              <w:pStyle w:val="BodyText"/>
            </w:pPr>
            <w:r w:rsidRPr="00754E88">
              <w:t>Evidence shall show an understanding of mechanical rail signaling equipment and infrastructure maintenance requirements and techniques, applying safe working practices and relevant Standards, Codes and Regulations to an extent indicated by the following as</w:t>
            </w:r>
            <w:r w:rsidRPr="00754E88">
              <w:t>pects:</w:t>
            </w:r>
          </w:p>
          <w:p w:rsidR="00000000" w:rsidRPr="00754E88" w:rsidP="00754E88">
            <w:pPr>
              <w:pStyle w:val="BodyText"/>
            </w:pPr>
            <w:r w:rsidRPr="00754E88">
              <w:t>Basic rail operations encompassing:</w:t>
            </w:r>
          </w:p>
          <w:p w:rsidR="00000000" w:rsidRPr="00754E88" w:rsidP="00754E88">
            <w:pPr>
              <w:pStyle w:val="BodyText"/>
            </w:pPr>
            <w:r w:rsidRPr="00754E88">
              <w:t>Rail terminology</w:t>
            </w:r>
          </w:p>
          <w:p w:rsidR="00000000" w:rsidRPr="00754E88" w:rsidP="00754E88">
            <w:pPr>
              <w:pStyle w:val="BodyText"/>
            </w:pPr>
            <w:r w:rsidRPr="00754E88">
              <w:t>Train dynamics</w:t>
            </w:r>
          </w:p>
          <w:p w:rsidR="00000000" w:rsidRPr="00754E88" w:rsidP="00754E88">
            <w:pPr>
              <w:pStyle w:val="BodyText"/>
            </w:pPr>
            <w:r w:rsidRPr="00754E88">
              <w:t>Essentials of safe movement of trains</w:t>
            </w:r>
          </w:p>
          <w:p w:rsidR="00000000" w:rsidRPr="00754E88" w:rsidP="00754E88">
            <w:pPr>
              <w:pStyle w:val="BodyText"/>
            </w:pPr>
            <w:r w:rsidRPr="00754E88">
              <w:t>Purpose of rail signaling</w:t>
            </w:r>
          </w:p>
          <w:p w:rsidR="00000000" w:rsidRPr="00754E88" w:rsidP="00754E88">
            <w:pPr>
              <w:pStyle w:val="BodyText"/>
            </w:pPr>
          </w:p>
          <w:p w:rsidR="00000000" w:rsidRPr="00754E88" w:rsidP="00754E88">
            <w:pPr>
              <w:pStyle w:val="BodyText"/>
            </w:pPr>
            <w:r w:rsidRPr="00754E88">
              <w:t xml:space="preserve">Rail signaling, regulations and codes encompassing: </w:t>
            </w:r>
          </w:p>
          <w:p w:rsidR="00000000" w:rsidRPr="00754E88" w:rsidP="00754E88">
            <w:pPr>
              <w:pStyle w:val="BodyText"/>
            </w:pPr>
            <w:r w:rsidRPr="00754E88">
              <w:t>Codes philosophy and format</w:t>
            </w:r>
          </w:p>
          <w:p w:rsidR="00000000" w:rsidRPr="00754E88" w:rsidP="00754E88">
            <w:pPr>
              <w:pStyle w:val="BodyText"/>
            </w:pPr>
            <w:r w:rsidRPr="00754E88">
              <w:t>How to read and apply a code</w:t>
            </w:r>
          </w:p>
          <w:p w:rsidR="00000000" w:rsidRPr="00754E88" w:rsidP="00754E88">
            <w:pPr>
              <w:pStyle w:val="BodyText"/>
            </w:pPr>
            <w:r w:rsidRPr="00754E88">
              <w:t xml:space="preserve">Codes </w:t>
            </w:r>
            <w:r w:rsidRPr="00754E88">
              <w:t>that apply to rail signaling - relevant to a particular rail network.</w:t>
            </w:r>
          </w:p>
          <w:p w:rsidR="00000000" w:rsidRPr="00754E88" w:rsidP="00754E88">
            <w:pPr>
              <w:pStyle w:val="BodyText"/>
            </w:pPr>
          </w:p>
          <w:p w:rsidR="00000000" w:rsidRPr="00754E88" w:rsidP="00754E88">
            <w:pPr>
              <w:pStyle w:val="BodyText"/>
            </w:pPr>
            <w:r w:rsidRPr="00754E88">
              <w:t>Technical manuals and catalogues encompassing:</w:t>
            </w:r>
          </w:p>
          <w:p w:rsidR="00000000" w:rsidRPr="00754E88" w:rsidP="00754E88">
            <w:pPr>
              <w:pStyle w:val="BodyText"/>
            </w:pPr>
            <w:r w:rsidRPr="00754E88">
              <w:t>Typical format</w:t>
            </w:r>
          </w:p>
          <w:p w:rsidR="00000000" w:rsidRPr="00754E88" w:rsidP="00754E88">
            <w:pPr>
              <w:pStyle w:val="BodyText"/>
            </w:pPr>
            <w:r w:rsidRPr="00754E88">
              <w:t>How to read and apply information</w:t>
            </w:r>
          </w:p>
          <w:p w:rsidR="00000000" w:rsidRPr="00754E88" w:rsidP="00754E88">
            <w:pPr>
              <w:pStyle w:val="BodyText"/>
            </w:pPr>
          </w:p>
          <w:p w:rsidR="00000000" w:rsidRPr="00754E88" w:rsidP="00754E88">
            <w:pPr>
              <w:pStyle w:val="BodyText"/>
            </w:pPr>
            <w:r w:rsidRPr="00754E88">
              <w:t>Environmental and heritage awareness encompassing:</w:t>
            </w:r>
          </w:p>
          <w:p w:rsidR="00000000" w:rsidRPr="00754E88" w:rsidP="00754E88">
            <w:pPr>
              <w:pStyle w:val="BodyText"/>
            </w:pPr>
            <w:r w:rsidRPr="00754E88">
              <w:t>Purpose of environmental and heritage</w:t>
            </w:r>
            <w:r w:rsidRPr="00754E88">
              <w:t xml:space="preserve"> regulation</w:t>
            </w:r>
          </w:p>
          <w:p w:rsidR="00000000" w:rsidRPr="00754E88" w:rsidP="00754E88">
            <w:pPr>
              <w:pStyle w:val="BodyText"/>
            </w:pPr>
            <w:r w:rsidRPr="00754E88">
              <w:t>Typical issues affecting electrotechnology services and systems</w:t>
            </w:r>
          </w:p>
          <w:p w:rsidR="00000000" w:rsidRPr="00754E88" w:rsidP="00754E88">
            <w:pPr>
              <w:pStyle w:val="BodyText"/>
            </w:pPr>
            <w:r w:rsidRPr="00754E88">
              <w:t>Meeting requirements</w:t>
            </w:r>
          </w:p>
          <w:p w:rsidR="00000000" w:rsidRPr="00754E88" w:rsidP="00754E88">
            <w:pPr>
              <w:pStyle w:val="BodyText"/>
            </w:pPr>
          </w:p>
          <w:p w:rsidR="00000000" w:rsidRPr="00754E88" w:rsidP="00754E88">
            <w:pPr>
              <w:pStyle w:val="BodyText"/>
            </w:pPr>
            <w:r w:rsidRPr="00754E88">
              <w:t>Enterprise work activities records encompassing:</w:t>
            </w:r>
          </w:p>
          <w:p w:rsidR="00000000" w:rsidRPr="00754E88" w:rsidP="00754E88">
            <w:pPr>
              <w:pStyle w:val="BodyText"/>
            </w:pPr>
            <w:r w:rsidRPr="00754E88">
              <w:t>Purpose and extent of maintaining work activities records in an enterprise</w:t>
            </w:r>
          </w:p>
          <w:p w:rsidR="00000000" w:rsidRPr="00754E88" w:rsidP="00754E88">
            <w:pPr>
              <w:pStyle w:val="BodyText"/>
            </w:pPr>
            <w:r w:rsidRPr="00754E88">
              <w:t>Types of records for maintaining w</w:t>
            </w:r>
            <w:r w:rsidRPr="00754E88">
              <w:t>ork activities in an enterprise</w:t>
            </w:r>
          </w:p>
          <w:p w:rsidR="00000000" w:rsidRPr="00754E88" w:rsidP="00754E88">
            <w:pPr>
              <w:pStyle w:val="BodyText"/>
            </w:pPr>
            <w:r w:rsidRPr="00754E88">
              <w:t>Methods for recording and maintaining work records</w:t>
            </w:r>
          </w:p>
          <w:p w:rsidR="00000000" w:rsidRPr="00754E88" w:rsidP="00754E88">
            <w:pPr>
              <w:pStyle w:val="BodyText"/>
            </w:pPr>
            <w:r w:rsidRPr="00754E88">
              <w:t>Work records required by regulation requirements</w:t>
            </w:r>
          </w:p>
          <w:p w:rsidR="00000000" w:rsidRPr="00754E88" w:rsidP="00754E88">
            <w:pPr>
              <w:pStyle w:val="BodyText"/>
            </w:pPr>
          </w:p>
          <w:p w:rsidR="00000000" w:rsidRPr="00754E88" w:rsidP="00754E88">
            <w:pPr>
              <w:pStyle w:val="BodyText"/>
            </w:pPr>
            <w:r w:rsidRPr="00754E88">
              <w:t>Electrical safe working practices encompassing:</w:t>
            </w:r>
          </w:p>
          <w:p w:rsidR="00000000" w:rsidRPr="00754E88" w:rsidP="00754E88">
            <w:pPr>
              <w:pStyle w:val="BodyText"/>
            </w:pPr>
            <w:r w:rsidRPr="00754E88">
              <w:t>Risk management and assessment of risk:</w:t>
            </w:r>
          </w:p>
          <w:p w:rsidR="00000000" w:rsidRPr="00754E88" w:rsidP="00754E88">
            <w:pPr>
              <w:pStyle w:val="BodyText"/>
            </w:pPr>
            <w:r w:rsidRPr="00754E88">
              <w:t>Principle and purpose of risk management, and</w:t>
            </w:r>
          </w:p>
          <w:p w:rsidR="00000000" w:rsidRPr="00754E88" w:rsidP="00754E88">
            <w:pPr>
              <w:pStyle w:val="BodyText"/>
            </w:pPr>
            <w:r w:rsidRPr="00754E88">
              <w:t>Processes for conducting a risk assessment</w:t>
            </w:r>
          </w:p>
          <w:p w:rsidR="00000000" w:rsidRPr="00754E88" w:rsidP="00754E88">
            <w:pPr>
              <w:pStyle w:val="BodyText"/>
            </w:pPr>
            <w:r w:rsidRPr="00754E88">
              <w:t>Hazards associated with low-voltage, extra-low voltage and high-currents;</w:t>
            </w:r>
          </w:p>
          <w:p w:rsidR="00000000" w:rsidRPr="00754E88" w:rsidP="00754E88">
            <w:pPr>
              <w:pStyle w:val="BodyText"/>
            </w:pPr>
            <w:r w:rsidRPr="00754E88">
              <w:t>Arrangement of power distribution and circuits in an electrical installations</w:t>
            </w:r>
          </w:p>
          <w:p w:rsidR="00000000" w:rsidRPr="00754E88" w:rsidP="00754E88">
            <w:pPr>
              <w:pStyle w:val="BodyText"/>
            </w:pPr>
            <w:r w:rsidRPr="00754E88">
              <w:t>Parts of an ele</w:t>
            </w:r>
            <w:r w:rsidRPr="00754E88">
              <w:t xml:space="preserve">ctrical system and equipment that operate at low-voltage and extra-low voltage, </w:t>
            </w:r>
          </w:p>
          <w:p w:rsidR="00000000" w:rsidRPr="00754E88" w:rsidP="00754E88">
            <w:pPr>
              <w:pStyle w:val="BodyText"/>
            </w:pPr>
            <w:r w:rsidRPr="00754E88">
              <w:t>Parts of an electrical system and equipment where high-currents are likely.</w:t>
            </w:r>
          </w:p>
          <w:p w:rsidR="00000000" w:rsidRPr="00754E88" w:rsidP="00754E88">
            <w:pPr>
              <w:pStyle w:val="BodyText"/>
            </w:pPr>
            <w:r w:rsidRPr="00754E88">
              <w:t>Safety, selection, use, maintenance and care of test equipment:</w:t>
            </w:r>
          </w:p>
          <w:p w:rsidR="00000000" w:rsidRPr="00754E88" w:rsidP="00754E88">
            <w:pPr>
              <w:pStyle w:val="BodyText"/>
            </w:pPr>
            <w:r w:rsidRPr="00754E88">
              <w:t>Safety characteristics of electrica</w:t>
            </w:r>
            <w:r w:rsidRPr="00754E88">
              <w:t>l testing devices,</w:t>
            </w:r>
          </w:p>
          <w:p w:rsidR="00000000" w:rsidRPr="00754E88" w:rsidP="00754E88">
            <w:pPr>
              <w:pStyle w:val="BodyText"/>
            </w:pPr>
            <w:r w:rsidRPr="00754E88">
              <w:t>Safe use of electrical testing device, and</w:t>
            </w:r>
          </w:p>
          <w:p w:rsidR="00000000" w:rsidRPr="00754E88" w:rsidP="00754E88">
            <w:pPr>
              <w:pStyle w:val="BodyText"/>
            </w:pPr>
            <w:r w:rsidRPr="00754E88">
              <w:t>Checks and storage methods for maintaining the safety of testing devices.</w:t>
            </w:r>
          </w:p>
          <w:p w:rsidR="00000000" w:rsidRPr="00754E88" w:rsidP="00754E88">
            <w:pPr>
              <w:pStyle w:val="BodyText"/>
            </w:pPr>
          </w:p>
          <w:p w:rsidR="00000000" w:rsidRPr="00754E88" w:rsidP="00754E88">
            <w:pPr>
              <w:pStyle w:val="BodyText"/>
            </w:pPr>
            <w:r w:rsidRPr="00754E88">
              <w:t xml:space="preserve">Rail safe working practices encompassing: </w:t>
            </w:r>
          </w:p>
          <w:p w:rsidR="00000000" w:rsidRPr="00754E88" w:rsidP="00754E88">
            <w:pPr>
              <w:pStyle w:val="BodyText"/>
            </w:pPr>
            <w:r w:rsidRPr="00754E88">
              <w:t>Rail enterprise safety standard and procedures</w:t>
            </w:r>
          </w:p>
          <w:p w:rsidR="00000000" w:rsidRPr="00754E88" w:rsidP="00754E88">
            <w:pPr>
              <w:pStyle w:val="BodyText"/>
            </w:pPr>
            <w:r w:rsidRPr="00754E88">
              <w:t>Rail safe working requirement</w:t>
            </w:r>
            <w:r w:rsidRPr="00754E88">
              <w:t>s</w:t>
            </w:r>
          </w:p>
          <w:p w:rsidR="00000000" w:rsidRPr="00754E88" w:rsidP="00754E88">
            <w:pPr>
              <w:pStyle w:val="BodyText"/>
            </w:pPr>
            <w:r w:rsidRPr="00754E88">
              <w:t>Possessions protection and management</w:t>
            </w:r>
          </w:p>
          <w:p w:rsidR="00000000" w:rsidRPr="00754E88" w:rsidP="00754E88">
            <w:pPr>
              <w:pStyle w:val="BodyText"/>
            </w:pPr>
          </w:p>
          <w:p w:rsidR="00000000" w:rsidRPr="00754E88" w:rsidP="00754E88">
            <w:pPr>
              <w:pStyle w:val="BodyText"/>
            </w:pPr>
            <w:r w:rsidRPr="00754E88">
              <w:t>Rail signaling, drawings and diagrams encompassing:</w:t>
            </w:r>
          </w:p>
          <w:p w:rsidR="00000000" w:rsidRPr="00754E88" w:rsidP="00754E88">
            <w:pPr>
              <w:pStyle w:val="BodyText"/>
            </w:pPr>
            <w:r w:rsidRPr="00754E88">
              <w:t>Drawing types and applications encompassing:</w:t>
            </w:r>
          </w:p>
          <w:p w:rsidR="00000000" w:rsidRPr="00754E88" w:rsidP="00754E88">
            <w:pPr>
              <w:pStyle w:val="BodyText"/>
            </w:pPr>
            <w:r w:rsidRPr="00754E88">
              <w:t>Drawing layouts and conventions.</w:t>
            </w:r>
          </w:p>
          <w:p w:rsidR="00000000" w:rsidRPr="00754E88" w:rsidP="00754E88">
            <w:pPr>
              <w:pStyle w:val="BodyText"/>
            </w:pPr>
            <w:r w:rsidRPr="00754E88">
              <w:t>Drawing symbols</w:t>
            </w:r>
          </w:p>
          <w:p w:rsidR="00000000" w:rsidRPr="00754E88" w:rsidP="00754E88">
            <w:pPr>
              <w:pStyle w:val="BodyText"/>
            </w:pPr>
            <w:r w:rsidRPr="00754E88">
              <w:t>Cable and equipment schedules</w:t>
            </w:r>
          </w:p>
          <w:p w:rsidR="00000000" w:rsidRPr="00754E88" w:rsidP="00754E88">
            <w:pPr>
              <w:pStyle w:val="BodyText"/>
            </w:pPr>
          </w:p>
          <w:p w:rsidR="00000000" w:rsidRPr="00754E88" w:rsidP="00754E88">
            <w:pPr>
              <w:pStyle w:val="BodyText"/>
            </w:pPr>
            <w:r w:rsidRPr="00754E88">
              <w:t xml:space="preserve">Rail signaling principles, mechanical </w:t>
            </w:r>
            <w:r w:rsidRPr="00754E88">
              <w:t>encompassing:</w:t>
            </w:r>
          </w:p>
          <w:p w:rsidR="00000000" w:rsidRPr="00754E88" w:rsidP="00754E88">
            <w:pPr>
              <w:pStyle w:val="BodyText"/>
            </w:pPr>
            <w:r w:rsidRPr="00754E88">
              <w:t>Overview of mechanical rail signaling</w:t>
            </w:r>
          </w:p>
          <w:p w:rsidR="00000000" w:rsidRPr="00754E88" w:rsidP="00754E88">
            <w:pPr>
              <w:pStyle w:val="BodyText"/>
            </w:pPr>
            <w:r w:rsidRPr="00754E88">
              <w:t xml:space="preserve">Purpose of elements of a mechanical rail signaling systems - signals, point actuating systems, locking and train detection systems, control input devices, indicators, diagrams and monitors, interlocking, </w:t>
            </w:r>
            <w:r w:rsidRPr="00754E88">
              <w:t>and safe working systems.</w:t>
            </w:r>
          </w:p>
          <w:p w:rsidR="00000000" w:rsidRPr="00754E88" w:rsidP="00754E88">
            <w:pPr>
              <w:pStyle w:val="BodyText"/>
            </w:pPr>
          </w:p>
          <w:p w:rsidR="00000000" w:rsidRPr="00754E88" w:rsidP="00754E88">
            <w:pPr>
              <w:pStyle w:val="BodyText"/>
            </w:pPr>
            <w:r w:rsidRPr="00754E88">
              <w:t xml:space="preserve">Rail signaling, mechanical equipment encompassing: </w:t>
            </w:r>
          </w:p>
          <w:p w:rsidR="00000000" w:rsidRPr="00754E88" w:rsidP="00754E88">
            <w:pPr>
              <w:pStyle w:val="BodyText"/>
            </w:pPr>
            <w:r w:rsidRPr="00754E88">
              <w:t>Equipment and their components</w:t>
            </w:r>
          </w:p>
          <w:p w:rsidR="00000000" w:rsidRPr="00754E88" w:rsidP="00754E88">
            <w:pPr>
              <w:pStyle w:val="BodyText"/>
            </w:pPr>
            <w:r w:rsidRPr="00754E88">
              <w:t xml:space="preserve">Operating principles </w:t>
            </w:r>
          </w:p>
          <w:p w:rsidR="00000000" w:rsidRPr="00754E88" w:rsidP="00754E88">
            <w:pPr>
              <w:pStyle w:val="BodyText"/>
            </w:pPr>
            <w:r w:rsidRPr="00754E88">
              <w:t>Servicing procedures.</w:t>
            </w:r>
          </w:p>
          <w:p w:rsidR="00000000" w:rsidRPr="00754E88" w:rsidP="00754E88">
            <w:pPr>
              <w:pStyle w:val="BodyText"/>
            </w:pPr>
          </w:p>
          <w:p w:rsidR="00000000" w:rsidRPr="00754E88" w:rsidP="00754E88">
            <w:pPr>
              <w:pStyle w:val="BodyText"/>
            </w:pPr>
            <w:r w:rsidRPr="00754E88">
              <w:t>Rail signaling, point actuating devices encompassing:</w:t>
            </w:r>
          </w:p>
          <w:p w:rsidR="00000000" w:rsidRPr="00754E88" w:rsidP="00754E88">
            <w:pPr>
              <w:pStyle w:val="BodyText"/>
            </w:pPr>
            <w:r w:rsidRPr="00754E88">
              <w:t xml:space="preserve">Equipment and their components - point machines, detectors, claw/clamp locks, swing nose mechanisms, in-bearer mechanisms </w:t>
            </w:r>
          </w:p>
          <w:p w:rsidR="00000000" w:rsidRPr="00754E88" w:rsidP="00754E88">
            <w:pPr>
              <w:pStyle w:val="BodyText"/>
            </w:pPr>
            <w:r w:rsidRPr="00754E88">
              <w:t xml:space="preserve">Operating principles </w:t>
            </w:r>
          </w:p>
          <w:p w:rsidR="00000000" w:rsidRPr="00754E88" w:rsidP="00754E88">
            <w:pPr>
              <w:pStyle w:val="BodyText"/>
            </w:pPr>
            <w:r w:rsidRPr="00754E88">
              <w:t>Servicing procedures</w:t>
            </w:r>
          </w:p>
          <w:p w:rsidR="00000000" w:rsidRPr="00754E88" w:rsidP="00754E88">
            <w:pPr>
              <w:pStyle w:val="BodyText"/>
            </w:pPr>
          </w:p>
          <w:p w:rsidR="00000000" w:rsidRPr="00754E88" w:rsidP="00754E88">
            <w:pPr>
              <w:pStyle w:val="BodyText"/>
            </w:pPr>
            <w:r w:rsidRPr="00754E88">
              <w:t xml:space="preserve">Rail signaling, interlocking systems, mechanical encompassing: </w:t>
            </w:r>
          </w:p>
          <w:p w:rsidR="00000000" w:rsidRPr="00754E88" w:rsidP="00754E88">
            <w:pPr>
              <w:pStyle w:val="BodyText"/>
            </w:pPr>
            <w:r w:rsidRPr="00754E88">
              <w:t>Equipment and their compo</w:t>
            </w:r>
            <w:r w:rsidRPr="00754E88">
              <w:t>nents</w:t>
            </w:r>
          </w:p>
          <w:p w:rsidR="00000000" w:rsidRPr="00754E88" w:rsidP="00754E88">
            <w:pPr>
              <w:pStyle w:val="BodyText"/>
            </w:pPr>
            <w:r w:rsidRPr="00754E88">
              <w:t xml:space="preserve">Operating principles and parameters </w:t>
            </w:r>
          </w:p>
          <w:p w:rsidR="00000000" w:rsidRPr="00754E88" w:rsidP="00754E88">
            <w:pPr>
              <w:pStyle w:val="BodyText"/>
            </w:pPr>
            <w:r w:rsidRPr="00754E88">
              <w:t>Servicing procedures</w:t>
            </w:r>
          </w:p>
          <w:p w:rsidR="00000000" w:rsidRPr="00754E88" w:rsidP="00754E88">
            <w:pPr>
              <w:pStyle w:val="BodyText"/>
            </w:pPr>
          </w:p>
          <w:p w:rsidR="00000000" w:rsidRPr="00754E88" w:rsidP="00754E88">
            <w:pPr>
              <w:pStyle w:val="BodyText"/>
            </w:pPr>
            <w:r w:rsidRPr="00754E88">
              <w:t xml:space="preserve">Rail signaling, electro-pneumatic equipment encompassing: </w:t>
            </w:r>
          </w:p>
          <w:p w:rsidR="00000000" w:rsidRPr="00754E88" w:rsidP="00754E88">
            <w:pPr>
              <w:pStyle w:val="BodyText"/>
            </w:pPr>
            <w:r w:rsidRPr="00754E88">
              <w:t>Equipment and their components - compressors, air lines, control valves</w:t>
            </w:r>
          </w:p>
          <w:p w:rsidR="00000000" w:rsidRPr="00754E88" w:rsidP="00754E88">
            <w:pPr>
              <w:pStyle w:val="BodyText"/>
            </w:pPr>
            <w:r w:rsidRPr="00754E88">
              <w:t xml:space="preserve">Operating principles and parameters </w:t>
            </w:r>
          </w:p>
          <w:p w:rsidR="00000000" w:rsidRPr="00754E88" w:rsidP="00754E88">
            <w:pPr>
              <w:pStyle w:val="BodyText"/>
            </w:pPr>
            <w:r w:rsidRPr="00754E88">
              <w:t>Servicing procedures.</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10" w:name="O_585631"/>
      <w:bookmarkEnd w:id="10"/>
      <w:r w:rsidRPr="00754E88">
        <w:t>Evidence Guide</w:t>
      </w:r>
    </w:p>
    <w:tbl>
      <w:tblPr>
        <w:tblW w:w="0" w:type="auto"/>
        <w:tblLayout w:type="fixed"/>
        <w:tblCellMar>
          <w:left w:w="62" w:type="dxa"/>
          <w:right w:w="62" w:type="dxa"/>
        </w:tblCellMar>
        <w:tblLook w:val="0000"/>
      </w:tblPr>
      <w:tblGrid>
        <w:gridCol w:w="8460"/>
      </w:tblGrid>
      <w:tr w:rsidTr="002347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EVIDENCE GUIDE</w:t>
            </w:r>
          </w:p>
        </w:tc>
      </w:tr>
      <w:tr w:rsidTr="002347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9)</w:t>
            </w:r>
            <w:r w:rsidRPr="00754E88">
              <w:t xml:space="preserve">  The evidence guide provides advice on assessment and must be read in conjunction with the Performance Criteria, Required Skills and Knowl</w:t>
            </w:r>
            <w:r w:rsidRPr="00754E88">
              <w:t>edge, the Range Statement and the Assessment Guidelines for this Training Package.</w:t>
            </w:r>
          </w:p>
          <w:p w:rsidR="00000000" w:rsidRPr="00754E88" w:rsidP="00754E88">
            <w:pPr>
              <w:pStyle w:val="BodyText"/>
            </w:pPr>
            <w:r w:rsidRPr="00754E88">
              <w:t>The Evidence Guide forms an integral part of this unit. It must be used in conjunction with all components parts of this unit and performed in accordance with the Assessment</w:t>
            </w:r>
            <w:r w:rsidRPr="00754E88">
              <w:t xml:space="preserve"> Guidelines of this Training Package.</w:t>
            </w:r>
          </w:p>
        </w:tc>
      </w:tr>
    </w:tbl>
    <w:p w:rsidR="00000000" w:rsidRPr="00754E88" w:rsidP="00754E88">
      <w:pPr>
        <w:pStyle w:val="BodyText"/>
      </w:pPr>
    </w:p>
    <w:tbl>
      <w:tblPr>
        <w:tblW w:w="0" w:type="auto"/>
        <w:tblLayout w:type="fixed"/>
        <w:tblCellMar>
          <w:left w:w="62" w:type="dxa"/>
          <w:right w:w="62" w:type="dxa"/>
        </w:tblCellMar>
        <w:tblLook w:val="0000"/>
      </w:tblPr>
      <w:tblGrid>
        <w:gridCol w:w="1890"/>
        <w:gridCol w:w="6570"/>
      </w:tblGrid>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9.1)</w:t>
            </w:r>
          </w:p>
        </w:tc>
      </w:tr>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Longitudinal competency development approaches to assessment, such as Profiling, require data to be reliably gathered in a form that can be consistently interpreted over time. This appro</w:t>
            </w:r>
            <w:r w:rsidRPr="00754E88">
              <w:t>ach is best utilised in Apprenticeship programs and reduces assessment intervention. It is the industry-preferred model for apprenticeships. However, where summative (or final) assessment is used it must include the application of the competency in the nor</w:t>
            </w:r>
            <w:r w:rsidRPr="00754E88">
              <w:t>mal work environment or, at a minimum, the application of the competency in a realistically simulated work environment. In some circumstances, assessment in part or full can occur outside the workplace. However, it must be in accordance with industry and r</w:t>
            </w:r>
            <w:r w:rsidRPr="00754E88">
              <w:t>egulatory policy.</w:t>
            </w:r>
          </w:p>
          <w:p w:rsidR="00000000" w:rsidRPr="00754E88" w:rsidP="00754E88">
            <w:pPr>
              <w:pStyle w:val="BodyText"/>
            </w:pPr>
            <w:r w:rsidRPr="00754E88">
              <w:t>Methods chosen for</w:t>
            </w:r>
            <w:r w:rsidRPr="00754E88">
              <w:t xml:space="preserve"> a particular assessment will be influenced by various factors. These include the extent of the assessment, the most effective locations for the assessment activities to take place, access to physical resources, additional safety measures that may be requi</w:t>
            </w:r>
            <w:r w:rsidRPr="00754E88">
              <w:t>red and the critical nature of the competencies being assessed.</w:t>
            </w:r>
          </w:p>
          <w:p w:rsidR="00000000" w:rsidRPr="00754E88" w:rsidP="00754E88">
            <w:pPr>
              <w:pStyle w:val="BodyText"/>
            </w:pPr>
            <w:r w:rsidRPr="00754E88">
              <w:t>The critical safety issues inherent in working with electricity, electrical equipment, gas or any other hazardous substance/material present a challenge for those determining competence. Sourc</w:t>
            </w:r>
            <w:r w:rsidRPr="00754E88">
              <w:t>es of evidence need to be ‘rich’ in nature to minimise error in judgment.</w:t>
            </w:r>
          </w:p>
          <w:p w:rsidR="00000000" w:rsidRPr="00754E88" w:rsidP="00754E88">
            <w:pPr>
              <w:pStyle w:val="BodyText"/>
            </w:pPr>
            <w:r w:rsidRPr="00754E88">
              <w:t>Activities associated with normal everyday work influence decisions about how/how much the data gathered will contribute to its ‘richness’. Some skills are more critical to safety an</w:t>
            </w:r>
            <w:r w:rsidRPr="00754E88">
              <w:t>d operational requirements while the same skills may be more or less frequently practised. These points are raised for the assessors to consider when choosing an assessment method and developing assessment instruments. Sample assessment instruments are inc</w:t>
            </w:r>
            <w:r w:rsidRPr="00754E88">
              <w:t>luded for Assessors in the Assessment Guidelines of this Training Package.</w:t>
            </w:r>
          </w:p>
        </w:tc>
      </w:tr>
    </w:tbl>
    <w:p w:rsidR="00000000" w:rsidRPr="00754E88" w:rsidP="00754E88">
      <w:pPr>
        <w:pStyle w:val="BodyText"/>
      </w:pPr>
    </w:p>
    <w:tbl>
      <w:tblPr>
        <w:tblW w:w="0" w:type="auto"/>
        <w:tblLayout w:type="fixed"/>
        <w:tblCellMar>
          <w:left w:w="62" w:type="dxa"/>
          <w:right w:w="62" w:type="dxa"/>
        </w:tblCellMar>
        <w:tblLook w:val="0000"/>
      </w:tblPr>
      <w:tblGrid>
        <w:gridCol w:w="1890"/>
        <w:gridCol w:w="6570"/>
      </w:tblGrid>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9.2)</w:t>
            </w:r>
          </w:p>
        </w:tc>
      </w:tr>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Before the critical aspects of evidence are considered all prerequisites must be met.</w:t>
            </w:r>
          </w:p>
          <w:p w:rsidR="00000000" w:rsidRPr="00754E88" w:rsidP="00754E88">
            <w:pPr>
              <w:pStyle w:val="BodyText"/>
            </w:pPr>
            <w:r w:rsidRPr="00754E88">
              <w:t xml:space="preserve">Evidence </w:t>
            </w:r>
            <w:r w:rsidRPr="00754E88">
              <w:t>for competence in this unit shall be considered holistically.  Each Element and associated performance criteria shall be demonstrated on at least two occasions in accordance with the ‘Assessment Guidelines – UEE11’.  Evidence shall also comprise:</w:t>
            </w:r>
          </w:p>
          <w:p w:rsidR="00000000" w:rsidRPr="00754E88" w:rsidP="00754E88">
            <w:pPr>
              <w:pStyle w:val="ListBullet"/>
            </w:pPr>
            <w:r w:rsidRPr="00754E88">
              <w:t>A repres</w:t>
            </w:r>
            <w:r w:rsidRPr="00754E88">
              <w:t>entative body of work performance demonstrated within the timeframes typically expected of the discipline, work function and industrial environment. In particular this shall incorporate evidence that shows a candidate is able to:</w:t>
            </w:r>
          </w:p>
          <w:p w:rsidR="00000000" w:rsidRPr="00754E88" w:rsidP="00754E88">
            <w:pPr>
              <w:pStyle w:val="ListBullet2"/>
            </w:pPr>
            <w:r w:rsidRPr="00754E88">
              <w:t>Implement Occupational He</w:t>
            </w:r>
            <w:r w:rsidRPr="00754E88">
              <w:t>alth and Safety workplace procedures and practices including the use of risk control measures as specified in the performance criteria and range statement</w:t>
            </w:r>
          </w:p>
          <w:p w:rsidR="00000000" w:rsidRPr="00754E88" w:rsidP="00754E88">
            <w:pPr>
              <w:pStyle w:val="ListBullet2"/>
            </w:pPr>
            <w:r w:rsidRPr="00754E88">
              <w:t>Apply sustainable energy principles and practices as specified in the performance criteria and range statement</w:t>
            </w:r>
          </w:p>
          <w:p w:rsidR="00000000" w:rsidRPr="00754E88" w:rsidP="00754E88">
            <w:pPr>
              <w:pStyle w:val="ListBullet2"/>
            </w:pPr>
            <w:r w:rsidRPr="00754E88">
              <w:t>Demonstrate an understanding of the essential knowledge and associated skills as described in this unit.  It may be required by some jurisdiction</w:t>
            </w:r>
            <w:r w:rsidRPr="00754E88">
              <w:t>s that RTOs provide a percentile graded result for the purpose of regulatory or licensing requirements.</w:t>
            </w:r>
          </w:p>
          <w:p w:rsidR="00000000" w:rsidRPr="00754E88" w:rsidP="00754E88">
            <w:pPr>
              <w:pStyle w:val="ListBullet2"/>
            </w:pPr>
            <w:r w:rsidRPr="00754E88">
              <w:t>Demonstrate an appropriate level of skills enabling employment</w:t>
            </w:r>
          </w:p>
          <w:p w:rsidR="00000000" w:rsidRPr="00754E88" w:rsidP="00754E88">
            <w:pPr>
              <w:pStyle w:val="ListBullet2"/>
            </w:pPr>
            <w:r w:rsidRPr="00754E88">
              <w:t>Conduct work observing the relevant Anti Discrimination legislation, regulations, polices</w:t>
            </w:r>
            <w:r w:rsidRPr="00754E88">
              <w:t xml:space="preserve"> and workplace procedures</w:t>
            </w:r>
          </w:p>
          <w:p w:rsidR="00000000" w:rsidRPr="00754E88" w:rsidP="00754E88">
            <w:pPr>
              <w:pStyle w:val="ListBullet"/>
            </w:pPr>
            <w:r w:rsidRPr="00754E88">
              <w:t>Demonstrated consistent performance across a representative range of contexts from the prescribed items below:</w:t>
            </w:r>
          </w:p>
          <w:p w:rsidR="00000000" w:rsidRPr="00754E88" w:rsidP="00754E88">
            <w:pPr>
              <w:pStyle w:val="ListBullet2"/>
            </w:pPr>
            <w:r w:rsidRPr="00754E88">
              <w:t>Service mechanical signalling equipment and infrastructure as described in 8) and including:</w:t>
            </w:r>
          </w:p>
          <w:p w:rsidR="00000000" w:rsidRPr="00754E88" w:rsidP="00754E88">
            <w:pPr>
              <w:pStyle w:val="ListAlpha2"/>
            </w:pPr>
            <w:r w:rsidRPr="00754E88">
              <w:t>Int</w:t>
            </w:r>
            <w:r w:rsidRPr="00754E88">
              <w:t>erpreting specifications correctly</w:t>
            </w:r>
          </w:p>
          <w:p w:rsidR="00000000" w:rsidRPr="00754E88" w:rsidP="00754E88">
            <w:pPr>
              <w:pStyle w:val="ListAlpha2"/>
            </w:pPr>
            <w:r w:rsidRPr="00754E88">
              <w:t>Maintaining equipment in accordance with workplace procedures</w:t>
            </w:r>
          </w:p>
          <w:p w:rsidR="00000000" w:rsidRPr="00754E88" w:rsidP="00754E88">
            <w:pPr>
              <w:pStyle w:val="ListAlpha2"/>
            </w:pPr>
            <w:r w:rsidRPr="00754E88">
              <w:t>Using chemicals and tools safely</w:t>
            </w:r>
          </w:p>
          <w:p w:rsidR="00000000" w:rsidRPr="00754E88" w:rsidP="00754E88">
            <w:pPr>
              <w:pStyle w:val="ListAlpha2"/>
            </w:pPr>
            <w:r w:rsidRPr="00754E88">
              <w:t>Testing that equipment is fully functional after maintenance</w:t>
            </w:r>
          </w:p>
          <w:p w:rsidR="00000000" w:rsidRPr="00754E88" w:rsidP="00754E88">
            <w:pPr>
              <w:pStyle w:val="ListAlpha2"/>
            </w:pPr>
            <w:r w:rsidRPr="00754E88">
              <w:t>Checking that technical/operational specifica</w:t>
            </w:r>
            <w:r w:rsidRPr="00754E88">
              <w:t>tions are met and that equipment is in compliance with work orders</w:t>
            </w:r>
          </w:p>
          <w:p w:rsidR="00000000" w:rsidRPr="00754E88" w:rsidP="00754E88">
            <w:pPr>
              <w:pStyle w:val="ListAlpha2"/>
            </w:pPr>
            <w:r w:rsidRPr="00754E88">
              <w:t>Applying effective fault diagnosis techniques,</w:t>
            </w:r>
          </w:p>
          <w:p w:rsidR="00000000" w:rsidRPr="00754E88" w:rsidP="00754E88">
            <w:pPr>
              <w:pStyle w:val="ListAlpha2"/>
            </w:pPr>
            <w:r w:rsidRPr="00754E88">
              <w:t>Ensuring safe trained movement through work area,</w:t>
            </w:r>
          </w:p>
          <w:p w:rsidR="00000000" w:rsidRPr="00754E88" w:rsidP="00754E88">
            <w:pPr>
              <w:pStyle w:val="ListAlpha2"/>
            </w:pPr>
            <w:r w:rsidRPr="00754E88">
              <w:t>Following relevant codes of practice, OHS and environmental protection procedures and requir</w:t>
            </w:r>
            <w:r w:rsidRPr="00754E88">
              <w:t>ements</w:t>
            </w:r>
          </w:p>
          <w:p w:rsidR="00000000" w:rsidRPr="00754E88" w:rsidP="00754E88">
            <w:pPr>
              <w:pStyle w:val="ListAlpha2"/>
            </w:pPr>
            <w:r w:rsidRPr="00754E88">
              <w:t>Completing relevant technical reports, records and documentation, and</w:t>
            </w:r>
          </w:p>
          <w:p w:rsidR="00000000" w:rsidRPr="00754E88" w:rsidP="00754E88">
            <w:pPr>
              <w:pStyle w:val="ListAlpha2"/>
            </w:pPr>
            <w:r w:rsidRPr="00754E88">
              <w:t>Dealing with unplanned events by drawing on essential knowledge and skills to provide appropriate solutions incorporated in the holistic assessment with the above listed items</w:t>
            </w:r>
          </w:p>
          <w:p w:rsidR="00000000" w:rsidRPr="00754E88" w:rsidP="00754E88">
            <w:pPr>
              <w:pStyle w:val="BodyText"/>
            </w:pPr>
            <w:r w:rsidRPr="00754E88">
              <w:t>Not</w:t>
            </w:r>
            <w:r w:rsidRPr="00754E88">
              <w:t xml:space="preserve">e: </w:t>
            </w:r>
          </w:p>
          <w:p w:rsidR="00000000" w:rsidRPr="00754E88" w:rsidP="00754E88">
            <w:pPr>
              <w:pStyle w:val="BodyText"/>
            </w:pPr>
            <w:r w:rsidRPr="00754E88">
              <w:t>Successful completion of relevant vendor training may be used to contribute to evidence on which competency is deemed. In these cases the alignment of outcomes of vendor training with performance criteria and critical aspects of evidence shall be clear</w:t>
            </w:r>
            <w:r w:rsidRPr="00754E88">
              <w:t>ly identified.</w:t>
            </w:r>
          </w:p>
        </w:tc>
      </w:tr>
    </w:tbl>
    <w:p w:rsidR="00000000" w:rsidRPr="00754E88" w:rsidP="00754E88">
      <w:pPr>
        <w:pStyle w:val="BodyText"/>
      </w:pPr>
    </w:p>
    <w:tbl>
      <w:tblPr>
        <w:tblW w:w="0" w:type="auto"/>
        <w:tblLayout w:type="fixed"/>
        <w:tblCellMar>
          <w:left w:w="62" w:type="dxa"/>
          <w:right w:w="62" w:type="dxa"/>
        </w:tblCellMar>
        <w:tblLook w:val="0000"/>
      </w:tblPr>
      <w:tblGrid>
        <w:gridCol w:w="1890"/>
        <w:gridCol w:w="6570"/>
      </w:tblGrid>
      <w:tr w:rsidTr="002347A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9.3)</w:t>
            </w:r>
          </w:p>
        </w:tc>
      </w:tr>
      <w:tr w:rsidTr="002347A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This unit should be assessed as it relates to normal work practice using procedures, information and resources typical of a workplace. This should include:</w:t>
            </w:r>
          </w:p>
          <w:p w:rsidR="00000000" w:rsidRPr="00754E88" w:rsidP="00754E88">
            <w:pPr>
              <w:pStyle w:val="ListBullet"/>
            </w:pPr>
            <w:r w:rsidRPr="00754E88">
              <w:t>OHS policy and work procedures and instructions.</w:t>
            </w:r>
          </w:p>
          <w:p w:rsidR="00000000" w:rsidRPr="00754E88" w:rsidP="00754E88">
            <w:pPr>
              <w:pStyle w:val="ListBullet"/>
            </w:pPr>
            <w:r w:rsidRPr="00754E88">
              <w:t>Suitable work environment, facilities, equipment and materials to undertake actual work as prescribed by this unit.</w:t>
            </w:r>
          </w:p>
          <w:p w:rsidR="00000000" w:rsidRPr="00754E88" w:rsidP="00754E88">
            <w:pPr>
              <w:pStyle w:val="BodyText"/>
            </w:pPr>
            <w:r w:rsidRPr="00754E88">
              <w:t>These should be used in the formal learning/assessment environment.</w:t>
            </w:r>
          </w:p>
          <w:p w:rsidR="00000000" w:rsidRPr="00754E88" w:rsidP="00754E88">
            <w:pPr>
              <w:pStyle w:val="BodyText"/>
            </w:pPr>
            <w:r w:rsidRPr="00754E88">
              <w:t>Note:</w:t>
            </w:r>
          </w:p>
          <w:p w:rsidR="00000000" w:rsidRPr="00754E88" w:rsidP="00754E88">
            <w:pPr>
              <w:pStyle w:val="BodyText"/>
            </w:pPr>
            <w:r w:rsidRPr="00754E88">
              <w:t xml:space="preserve">Where simulation </w:t>
            </w:r>
            <w:r w:rsidRPr="00754E88">
              <w:t>is considered a suitable strategy for assessment, conditions must be authentic and as far as possible reproduce and replicate the workplace and be consistent with the approved industry simulation policy.</w:t>
            </w:r>
          </w:p>
          <w:p w:rsidR="00000000" w:rsidRPr="00754E88" w:rsidP="00754E88">
            <w:pPr>
              <w:pStyle w:val="BodyText"/>
            </w:pPr>
            <w:r w:rsidRPr="00754E88">
              <w:t>The resources used for assessment should reflect cur</w:t>
            </w:r>
            <w:r w:rsidRPr="00754E88">
              <w:t>rent industry practices in relation to servicing mechanical signalling equipment and infrastructure.</w:t>
            </w:r>
          </w:p>
        </w:tc>
      </w:tr>
    </w:tbl>
    <w:p w:rsidR="00000000" w:rsidRPr="00754E88" w:rsidP="00754E88">
      <w:pPr>
        <w:pStyle w:val="BodyText"/>
      </w:pPr>
    </w:p>
    <w:tbl>
      <w:tblPr>
        <w:tblW w:w="0" w:type="auto"/>
        <w:tblLayout w:type="fixed"/>
        <w:tblCellMar>
          <w:left w:w="62" w:type="dxa"/>
          <w:right w:w="62" w:type="dxa"/>
        </w:tblCellMar>
        <w:tblLook w:val="0000"/>
      </w:tblPr>
      <w:tblGrid>
        <w:gridCol w:w="1890"/>
        <w:gridCol w:w="6570"/>
      </w:tblGrid>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9.4)</w:t>
            </w:r>
          </w:p>
        </w:tc>
      </w:tr>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This unit shall be assessed by methods given in Volume 1, Part 3 ‘Assessment Guidelines’.</w:t>
            </w:r>
          </w:p>
          <w:p w:rsidR="00000000" w:rsidRPr="00754E88" w:rsidP="00754E88">
            <w:pPr>
              <w:pStyle w:val="BodyText"/>
            </w:pPr>
            <w:r w:rsidRPr="00754E88">
              <w:t xml:space="preserve">Note: </w:t>
            </w:r>
          </w:p>
          <w:p w:rsidR="00000000" w:rsidRPr="00754E88" w:rsidP="00754E88">
            <w:pPr>
              <w:pStyle w:val="BodyText"/>
            </w:pPr>
            <w:r w:rsidRPr="00754E88">
              <w:t>Competent performance with inherent safe working practices is expected in the Industry to which this unit applies. This requires assessment in a structured environment which is intended primarily for learning/assessment and incorporates all necessary equip</w:t>
            </w:r>
            <w:r w:rsidRPr="00754E88">
              <w:t>ment and facilities for learners to develop and demonstrate the essential knowledge and skills described in this unit.</w:t>
            </w:r>
          </w:p>
        </w:tc>
      </w:tr>
    </w:tbl>
    <w:p w:rsidR="00000000" w:rsidRPr="00754E88" w:rsidP="00754E88">
      <w:pPr>
        <w:pStyle w:val="BodyText"/>
      </w:pPr>
    </w:p>
    <w:tbl>
      <w:tblPr>
        <w:tblW w:w="0" w:type="auto"/>
        <w:tblLayout w:type="fixed"/>
        <w:tblCellMar>
          <w:left w:w="62" w:type="dxa"/>
          <w:right w:w="62" w:type="dxa"/>
        </w:tblCellMar>
        <w:tblLook w:val="0000"/>
      </w:tblPr>
      <w:tblGrid>
        <w:gridCol w:w="1890"/>
        <w:gridCol w:w="6570"/>
      </w:tblGrid>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9.5)</w:t>
            </w:r>
          </w:p>
        </w:tc>
      </w:tr>
      <w:tr w:rsidTr="002347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There are no concurrent assessment recommendations for this unit.</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11" w:name="O_585630"/>
      <w:bookmarkEnd w:id="11"/>
      <w:r w:rsidRPr="00754E88">
        <w:t>Range Statement</w:t>
      </w:r>
    </w:p>
    <w:tbl>
      <w:tblPr>
        <w:tblW w:w="0" w:type="auto"/>
        <w:tblLayout w:type="fixed"/>
        <w:tblCellMar>
          <w:left w:w="62" w:type="dxa"/>
          <w:right w:w="62" w:type="dxa"/>
        </w:tblCellMar>
        <w:tblLook w:val="0000"/>
      </w:tblPr>
      <w:tblGrid>
        <w:gridCol w:w="8460"/>
      </w:tblGrid>
      <w:tr w:rsidTr="002347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RANGE STATEMENT</w:t>
            </w:r>
          </w:p>
        </w:tc>
      </w:tr>
      <w:tr w:rsidTr="002347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10)</w:t>
            </w:r>
            <w:r w:rsidRPr="00754E88">
              <w:t xml:space="preserve">  This relates to the unit as a whole providing the range of contexts and conditions to which the performance criteria apply. It allows for different work environments and situations that will affect perf</w:t>
            </w:r>
            <w:r w:rsidRPr="00754E88">
              <w:t>ormance.</w:t>
            </w:r>
          </w:p>
          <w:p w:rsidR="00000000" w:rsidRPr="00754E88" w:rsidP="00754E88">
            <w:pPr>
              <w:pStyle w:val="BodyText"/>
            </w:pPr>
            <w:r w:rsidRPr="00754E88">
              <w:t>This unit shall be demonstrated in relation to:</w:t>
            </w:r>
          </w:p>
          <w:p w:rsidR="00000000" w:rsidRPr="00754E88" w:rsidP="00754E88">
            <w:pPr>
              <w:pStyle w:val="ListBullet"/>
            </w:pPr>
            <w:r w:rsidRPr="00754E88">
              <w:t>The relevant State/Territory codes of practice and safe working requirements.</w:t>
            </w:r>
          </w:p>
          <w:p w:rsidR="00000000" w:rsidRPr="00754E88" w:rsidP="00754E88">
            <w:pPr>
              <w:pStyle w:val="ListBullet"/>
            </w:pPr>
            <w:r w:rsidRPr="00754E88">
              <w:t>Code of practice for the defined interstate rail network.</w:t>
            </w:r>
          </w:p>
          <w:p w:rsidR="00000000" w:rsidRPr="00754E88" w:rsidP="00754E88">
            <w:pPr>
              <w:pStyle w:val="BodyText"/>
            </w:pPr>
            <w:r w:rsidRPr="00754E88">
              <w:t>Equipment relevant to a particular rail network may include the following:</w:t>
            </w:r>
          </w:p>
          <w:p w:rsidR="00000000" w:rsidRPr="00754E88" w:rsidP="00754E88">
            <w:pPr>
              <w:pStyle w:val="ListBullet2"/>
            </w:pPr>
            <w:r w:rsidRPr="00754E88">
              <w:t>Mechanical signalling equipment may include points, derails, signals, rodding &amp; cranks, signal leads, annett locks, and ground frames.</w:t>
            </w:r>
          </w:p>
          <w:p w:rsidR="00000000" w:rsidRPr="00754E88" w:rsidP="00754E88">
            <w:pPr>
              <w:pStyle w:val="ListBullet2"/>
            </w:pPr>
            <w:r w:rsidRPr="00754E88">
              <w:t>Infrastructure may include foundations, signa</w:t>
            </w:r>
            <w:r w:rsidRPr="00754E88">
              <w:t>l structures, housings and platforms.</w:t>
            </w:r>
          </w:p>
          <w:p w:rsidR="00000000" w:rsidRPr="00754E88" w:rsidP="00754E88">
            <w:pPr>
              <w:pStyle w:val="ListBullet2"/>
            </w:pPr>
            <w:r w:rsidRPr="00754E88">
              <w:t>Electromechanical equipment may include lever locks, releasing switches, point detectors/controllers, circuit controllers, indication &amp; repeating devices.</w:t>
            </w:r>
          </w:p>
          <w:p w:rsidR="00000000" w:rsidRPr="00754E88" w:rsidP="00754E88">
            <w:pPr>
              <w:pStyle w:val="ListBullet2"/>
            </w:pPr>
            <w:r w:rsidRPr="00754E88">
              <w:t>Test equipment may include mechanical measurement devices, to s</w:t>
            </w:r>
            <w:r w:rsidRPr="00754E88">
              <w:t>pecified tolerance.  (e.g. steel rule, gauges), multimeter</w:t>
            </w:r>
          </w:p>
          <w:p w:rsidR="00000000" w:rsidRPr="00754E88" w:rsidP="00754E88">
            <w:pPr>
              <w:pStyle w:val="BodyText"/>
            </w:pPr>
            <w:r w:rsidRPr="00754E88">
              <w:t>Activities may include: maintenance, cleaning, and lubricating of equipment using work procedures, location: &amp; circuit plans and locking sketches.</w:t>
            </w:r>
          </w:p>
          <w:p w:rsidR="00000000" w:rsidRPr="00754E88" w:rsidP="00754E88">
            <w:pPr>
              <w:pStyle w:val="BodyText"/>
            </w:pPr>
            <w:r w:rsidRPr="00754E88">
              <w:t>Generic terms used throughout this Vocational Stan</w:t>
            </w:r>
            <w:r w:rsidRPr="00754E88">
              <w:t>dard shall be regarded as part of the Range Statement in which competency is demonstrated. The definition of these and other terms that apply are given in Volume 2, Section 2.1.</w:t>
            </w:r>
          </w:p>
        </w:tc>
      </w:tr>
    </w:tbl>
    <w:p w:rsidR="00000000" w:rsidRPr="00754E88" w:rsidP="00754E88">
      <w:pPr>
        <w:pStyle w:val="BodyText"/>
      </w:pPr>
    </w:p>
    <w:p w:rsidR="00000000" w:rsidRPr="00754E88" w:rsidP="00754E88">
      <w:pPr>
        <w:pStyle w:val="AllowPageBreak"/>
      </w:pPr>
    </w:p>
    <w:p w:rsidR="00000000" w:rsidRPr="00754E88" w:rsidP="00754E88">
      <w:pPr>
        <w:pStyle w:val="Heading1"/>
      </w:pPr>
      <w:bookmarkStart w:id="12" w:name="O_585629"/>
      <w:bookmarkEnd w:id="12"/>
      <w:r w:rsidRPr="00754E88">
        <w:t>Unit Sector(s)</w:t>
      </w:r>
    </w:p>
    <w:p w:rsidR="00000000" w:rsidRPr="00754E88" w:rsidP="00754E88">
      <w:pPr>
        <w:pStyle w:val="BodyText"/>
      </w:pPr>
      <w:r w:rsidRPr="00754E88">
        <w:t>Not applicable.</w:t>
      </w:r>
    </w:p>
    <w:p w:rsidR="00000000" w:rsidRPr="00754E88" w:rsidP="00754E88">
      <w:pPr>
        <w:pStyle w:val="AllowPageBreak"/>
      </w:pPr>
    </w:p>
    <w:p w:rsidR="00000000" w:rsidRPr="00754E88" w:rsidP="00754E88">
      <w:pPr>
        <w:pStyle w:val="Heading1"/>
      </w:pPr>
      <w:bookmarkStart w:id="13" w:name="O_585628"/>
      <w:bookmarkEnd w:id="13"/>
      <w:r w:rsidRPr="00754E88">
        <w:t>Competency Field</w:t>
      </w:r>
    </w:p>
    <w:tbl>
      <w:tblPr>
        <w:tblW w:w="0" w:type="auto"/>
        <w:tblLayout w:type="fixed"/>
        <w:tblCellMar>
          <w:left w:w="62" w:type="dxa"/>
          <w:right w:w="62" w:type="dxa"/>
        </w:tblCellMar>
        <w:tblLook w:val="0000"/>
      </w:tblPr>
      <w:tblGrid>
        <w:gridCol w:w="2700"/>
        <w:gridCol w:w="5760"/>
      </w:tblGrid>
      <w:tr w:rsidTr="002347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54E88">
            <w:pPr>
              <w:pStyle w:val="BodyText"/>
              <w:rPr>
                <w:lang w:val="en-NZ"/>
              </w:rPr>
            </w:pPr>
            <w:r w:rsidRPr="00754E88">
              <w:rPr>
                <w:rStyle w:val="SpecialBold"/>
              </w:rPr>
              <w:t xml:space="preserve">11) </w:t>
            </w:r>
          </w:p>
        </w:tc>
      </w:tr>
      <w:tr w:rsidTr="002347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4E88" w:rsidP="00754E88">
            <w:pPr>
              <w:pStyle w:val="BodyText"/>
            </w:pPr>
            <w:r w:rsidRPr="00754E88">
              <w:t>Rail Signalling</w:t>
            </w:r>
          </w:p>
        </w:tc>
      </w:tr>
    </w:tbl>
    <w:p w:rsidR="00000000" w:rsidRPr="00754E88" w:rsidP="00754E88">
      <w:pPr>
        <w:pStyle w:val="BodyText"/>
      </w:pPr>
    </w:p>
    <w:p w:rsidR="00000000" w:rsidRPr="00754E88" w:rsidP="00754E88"/>
    <w:sectPr w:rsidSect="00754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88" w:rsidRPr="002347AD" w:rsidP="00234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D" w:rsidP="00754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47AD" w:rsidP="00754E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347AD" w:rsidP="00754E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88" w:rsidRPr="002347AD" w:rsidP="002347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D" w:rsidRPr="002D2AF8" w:rsidP="00754E88">
    <w:pPr>
      <w:pStyle w:val="Header"/>
      <w:framePr w:wrap="around"/>
    </w:pPr>
    <w:r>
      <w:fldChar w:fldCharType="begin"/>
    </w:r>
    <w:r>
      <w:instrText xml:space="preserve"> TITLE   \* MERGEFORMAT </w:instrText>
    </w:r>
    <w:r>
      <w:fldChar w:fldCharType="separate"/>
    </w:r>
    <w:r>
      <w:t>UEENEEN101A Maintain mechanical rail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347AD" w:rsidP="00754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6C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0C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88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DEC1F69"/>
    <w:multiLevelType w:val="multilevel"/>
    <w:tmpl w:val="4A7E550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E88"/>
    <w:pPr>
      <w:spacing w:before="360" w:after="60"/>
      <w:outlineLvl w:val="0"/>
    </w:pPr>
    <w:rPr>
      <w:sz w:val="32"/>
    </w:rPr>
  </w:style>
  <w:style w:type="paragraph" w:styleId="Heading2">
    <w:name w:val="heading 2"/>
    <w:basedOn w:val="HeadingBase"/>
    <w:next w:val="BodyText"/>
    <w:link w:val="Heading2Char"/>
    <w:qFormat/>
    <w:rsid w:val="00754E88"/>
    <w:pPr>
      <w:keepLines/>
      <w:spacing w:before="240" w:after="120"/>
      <w:outlineLvl w:val="1"/>
    </w:pPr>
    <w:rPr>
      <w:sz w:val="28"/>
      <w:szCs w:val="40"/>
    </w:rPr>
  </w:style>
  <w:style w:type="paragraph" w:styleId="Heading3">
    <w:name w:val="heading 3"/>
    <w:basedOn w:val="HeadingBase"/>
    <w:next w:val="BodyText"/>
    <w:link w:val="Heading3Char"/>
    <w:qFormat/>
    <w:rsid w:val="00754E88"/>
    <w:pPr>
      <w:spacing w:before="180" w:after="120"/>
      <w:outlineLvl w:val="2"/>
    </w:pPr>
    <w:rPr>
      <w:spacing w:val="-10"/>
      <w:kern w:val="32"/>
    </w:rPr>
  </w:style>
  <w:style w:type="paragraph" w:styleId="Heading4">
    <w:name w:val="heading 4"/>
    <w:basedOn w:val="HeadingBase"/>
    <w:next w:val="BodyText"/>
    <w:link w:val="Heading4Char"/>
    <w:qFormat/>
    <w:rsid w:val="00754E88"/>
    <w:pPr>
      <w:spacing w:before="160" w:after="120"/>
      <w:outlineLvl w:val="3"/>
    </w:pPr>
    <w:rPr>
      <w:sz w:val="22"/>
    </w:rPr>
  </w:style>
  <w:style w:type="paragraph" w:styleId="Heading5">
    <w:name w:val="heading 5"/>
    <w:basedOn w:val="HeadingBase"/>
    <w:next w:val="Normal"/>
    <w:link w:val="Heading5Char"/>
    <w:qFormat/>
    <w:rsid w:val="00754E88"/>
    <w:pPr>
      <w:spacing w:before="80"/>
      <w:outlineLvl w:val="4"/>
    </w:pPr>
    <w:rPr>
      <w:color w:val="918585"/>
      <w:sz w:val="20"/>
    </w:rPr>
  </w:style>
  <w:style w:type="paragraph" w:styleId="Heading6">
    <w:name w:val="heading 6"/>
    <w:basedOn w:val="HeadingBase"/>
    <w:next w:val="Normal"/>
    <w:link w:val="Heading6Char"/>
    <w:qFormat/>
    <w:rsid w:val="00754E88"/>
    <w:pPr>
      <w:spacing w:before="60"/>
      <w:outlineLvl w:val="5"/>
    </w:pPr>
    <w:rPr>
      <w:color w:val="918585"/>
      <w:sz w:val="20"/>
    </w:rPr>
  </w:style>
  <w:style w:type="paragraph" w:styleId="Heading7">
    <w:name w:val="heading 7"/>
    <w:basedOn w:val="Normal"/>
    <w:next w:val="Normal"/>
    <w:link w:val="Heading7Char"/>
    <w:qFormat/>
    <w:rsid w:val="00754E88"/>
    <w:pPr>
      <w:ind w:left="720"/>
      <w:outlineLvl w:val="6"/>
    </w:pPr>
    <w:rPr>
      <w:i/>
    </w:rPr>
  </w:style>
  <w:style w:type="paragraph" w:styleId="Heading8">
    <w:name w:val="heading 8"/>
    <w:basedOn w:val="Normal"/>
    <w:next w:val="Normal"/>
    <w:link w:val="Heading8Char"/>
    <w:qFormat/>
    <w:rsid w:val="00754E88"/>
    <w:pPr>
      <w:ind w:left="720"/>
      <w:outlineLvl w:val="7"/>
    </w:pPr>
    <w:rPr>
      <w:i/>
    </w:rPr>
  </w:style>
  <w:style w:type="paragraph" w:styleId="Heading9">
    <w:name w:val="heading 9"/>
    <w:basedOn w:val="Normal"/>
    <w:next w:val="Normal"/>
    <w:link w:val="Heading9Char"/>
    <w:qFormat/>
    <w:rsid w:val="00754E88"/>
    <w:pPr>
      <w:ind w:left="720"/>
      <w:outlineLvl w:val="8"/>
    </w:pPr>
    <w:rPr>
      <w:i/>
    </w:rPr>
  </w:style>
  <w:style w:type="character" w:default="1" w:styleId="DefaultParagraphFont">
    <w:name w:val="Default Paragraph Font"/>
    <w:uiPriority w:val="1"/>
    <w:unhideWhenUsed/>
    <w:rsid w:val="00754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E88"/>
  </w:style>
  <w:style w:type="character" w:customStyle="1" w:styleId="Heading1Char">
    <w:name w:val="Heading 1 Char"/>
    <w:basedOn w:val="DefaultParagraphFont"/>
    <w:link w:val="Heading1"/>
    <w:rsid w:val="00754E88"/>
    <w:rPr>
      <w:rFonts w:ascii="Times New Roman" w:eastAsia="Times New Roman" w:hAnsi="Times New Roman" w:cs="Times New Roman"/>
      <w:b/>
      <w:sz w:val="32"/>
      <w:szCs w:val="20"/>
      <w:lang w:eastAsia="en-US"/>
    </w:rPr>
  </w:style>
  <w:style w:type="paragraph" w:styleId="BodyText">
    <w:name w:val="Body Text"/>
    <w:basedOn w:val="Normal"/>
    <w:link w:val="BodyTextChar"/>
    <w:rsid w:val="00754E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E88"/>
    <w:rPr>
      <w:rFonts w:ascii="Times New Roman" w:eastAsia="Times New Roman" w:hAnsi="Times New Roman" w:cs="Times New Roman"/>
      <w:sz w:val="24"/>
      <w:lang w:eastAsia="en-US"/>
    </w:rPr>
  </w:style>
  <w:style w:type="paragraph" w:styleId="ListBullet">
    <w:name w:val="List Bullet"/>
    <w:basedOn w:val="List"/>
    <w:rsid w:val="00754E88"/>
    <w:pPr>
      <w:numPr>
        <w:numId w:val="13"/>
      </w:numPr>
      <w:tabs>
        <w:tab w:val="clear" w:pos="340"/>
      </w:tabs>
      <w:spacing w:before="40" w:after="40"/>
    </w:pPr>
  </w:style>
  <w:style w:type="character" w:customStyle="1" w:styleId="SpecialBold">
    <w:name w:val="Special Bold"/>
    <w:basedOn w:val="DefaultParagraphFont"/>
    <w:rsid w:val="00754E88"/>
    <w:rPr>
      <w:b/>
      <w:spacing w:val="0"/>
    </w:rPr>
  </w:style>
  <w:style w:type="paragraph" w:styleId="ListBullet2">
    <w:name w:val="List Bullet 2"/>
    <w:basedOn w:val="List2"/>
    <w:rsid w:val="00754E88"/>
    <w:pPr>
      <w:numPr>
        <w:numId w:val="14"/>
      </w:numPr>
      <w:tabs>
        <w:tab w:val="clear" w:pos="680"/>
      </w:tabs>
    </w:pPr>
  </w:style>
  <w:style w:type="paragraph" w:customStyle="1" w:styleId="SuperHeading">
    <w:name w:val="SuperHeading"/>
    <w:basedOn w:val="Normal"/>
    <w:rsid w:val="00754E88"/>
    <w:pPr>
      <w:spacing w:before="240" w:after="120"/>
      <w:outlineLvl w:val="0"/>
    </w:pPr>
    <w:rPr>
      <w:rFonts w:ascii="Times New Roman" w:hAnsi="Times New Roman"/>
      <w:b/>
      <w:sz w:val="32"/>
    </w:rPr>
  </w:style>
  <w:style w:type="paragraph" w:customStyle="1" w:styleId="AllowPageBreak">
    <w:name w:val="AllowPageBreak"/>
    <w:rsid w:val="00754E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54E88"/>
    <w:pPr>
      <w:numPr>
        <w:numId w:val="8"/>
      </w:numPr>
    </w:pPr>
  </w:style>
  <w:style w:type="character" w:customStyle="1" w:styleId="Heading2Char">
    <w:name w:val="Heading 2 Char"/>
    <w:basedOn w:val="DefaultParagraphFont"/>
    <w:link w:val="Heading2"/>
    <w:rsid w:val="00754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E88"/>
    <w:rPr>
      <w:rFonts w:ascii="Courier New" w:eastAsia="Times New Roman" w:hAnsi="Courier New" w:cs="Times New Roman"/>
      <w:i/>
      <w:szCs w:val="20"/>
      <w:lang w:eastAsia="en-US"/>
    </w:rPr>
  </w:style>
  <w:style w:type="paragraph" w:customStyle="1" w:styleId="HeadingBase">
    <w:name w:val="Heading Base"/>
    <w:rsid w:val="00754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E88"/>
    <w:pPr>
      <w:tabs>
        <w:tab w:val="right" w:leader="dot" w:pos="9072"/>
      </w:tabs>
      <w:ind w:left="567"/>
    </w:pPr>
    <w:rPr>
      <w:szCs w:val="22"/>
    </w:rPr>
  </w:style>
  <w:style w:type="paragraph" w:customStyle="1" w:styleId="TOCBase">
    <w:name w:val="TOC Base"/>
    <w:rsid w:val="00754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E88"/>
    <w:pPr>
      <w:tabs>
        <w:tab w:val="right" w:leader="dot" w:pos="9072"/>
      </w:tabs>
      <w:spacing w:before="40" w:after="40"/>
      <w:ind w:left="284"/>
    </w:pPr>
    <w:rPr>
      <w:rFonts w:ascii="Times New Roman" w:hAnsi="Times New Roman"/>
    </w:rPr>
  </w:style>
  <w:style w:type="paragraph" w:styleId="TOC1">
    <w:name w:val="toc 1"/>
    <w:basedOn w:val="TOCBase"/>
    <w:next w:val="Normal"/>
    <w:rsid w:val="00754E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E88"/>
    <w:rPr>
      <w:rFonts w:ascii="Times New Roman" w:eastAsia="Times New Roman" w:hAnsi="Times New Roman" w:cs="Times New Roman"/>
      <w:sz w:val="16"/>
      <w:lang w:eastAsia="en-US"/>
    </w:rPr>
  </w:style>
  <w:style w:type="paragraph" w:styleId="Title">
    <w:name w:val="Title"/>
    <w:basedOn w:val="HeadingBase"/>
    <w:link w:val="TitleChar"/>
    <w:qFormat/>
    <w:rsid w:val="00754E88"/>
    <w:pPr>
      <w:spacing w:before="5040"/>
      <w:jc w:val="center"/>
    </w:pPr>
    <w:rPr>
      <w:sz w:val="48"/>
      <w:szCs w:val="72"/>
      <w:lang w:val="en-US"/>
    </w:rPr>
  </w:style>
  <w:style w:type="character" w:customStyle="1" w:styleId="TitleChar">
    <w:name w:val="Title Char"/>
    <w:basedOn w:val="DefaultParagraphFont"/>
    <w:link w:val="Title"/>
    <w:rsid w:val="00754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E88"/>
    <w:pPr>
      <w:tabs>
        <w:tab w:val="left" w:pos="3600"/>
        <w:tab w:val="left" w:pos="3958"/>
      </w:tabs>
    </w:pPr>
  </w:style>
  <w:style w:type="paragraph" w:styleId="List">
    <w:name w:val="List"/>
    <w:basedOn w:val="BodyText"/>
    <w:next w:val="BodyText"/>
    <w:rsid w:val="00754E88"/>
    <w:pPr>
      <w:tabs>
        <w:tab w:val="left" w:pos="340"/>
      </w:tabs>
      <w:spacing w:before="60" w:after="60"/>
      <w:ind w:left="340" w:hanging="340"/>
    </w:pPr>
  </w:style>
  <w:style w:type="paragraph" w:customStyle="1" w:styleId="Note">
    <w:name w:val="Note"/>
    <w:basedOn w:val="BodyText"/>
    <w:rsid w:val="00754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E88"/>
    <w:pPr>
      <w:framePr w:wrap="auto" w:hAnchor="text" w:y="6049"/>
    </w:pPr>
    <w:rPr>
      <w:color w:val="000000"/>
      <w:sz w:val="40"/>
    </w:rPr>
  </w:style>
  <w:style w:type="paragraph" w:customStyle="1" w:styleId="TOCTitle">
    <w:name w:val="TOCTitle"/>
    <w:basedOn w:val="Heading1"/>
    <w:rsid w:val="00754E88"/>
    <w:pPr>
      <w:spacing w:after="240"/>
      <w:jc w:val="center"/>
      <w:outlineLvl w:val="9"/>
    </w:pPr>
    <w:rPr>
      <w:caps/>
    </w:rPr>
  </w:style>
  <w:style w:type="paragraph" w:customStyle="1" w:styleId="Version">
    <w:name w:val="Version"/>
    <w:rsid w:val="00754E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E88"/>
    <w:pPr>
      <w:keepNext w:val="0"/>
      <w:tabs>
        <w:tab w:val="right" w:pos="4176"/>
      </w:tabs>
      <w:ind w:left="198" w:hanging="198"/>
    </w:pPr>
    <w:rPr>
      <w:rFonts w:ascii="Garamond" w:hAnsi="Garamond"/>
    </w:rPr>
  </w:style>
  <w:style w:type="paragraph" w:styleId="IndexHeading">
    <w:name w:val="index heading"/>
    <w:basedOn w:val="Normal"/>
    <w:next w:val="Index1"/>
    <w:semiHidden/>
    <w:rsid w:val="00754E88"/>
    <w:pPr>
      <w:spacing w:before="120" w:after="120"/>
    </w:pPr>
    <w:rPr>
      <w:rFonts w:ascii="Arial" w:hAnsi="Arial"/>
      <w:b/>
      <w:color w:val="918585"/>
      <w:sz w:val="24"/>
    </w:rPr>
  </w:style>
  <w:style w:type="paragraph" w:styleId="Header">
    <w:name w:val="header"/>
    <w:basedOn w:val="Normal"/>
    <w:link w:val="HeaderChar"/>
    <w:rsid w:val="00754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E88"/>
    <w:rPr>
      <w:rFonts w:ascii="Times New Roman" w:eastAsia="Times New Roman" w:hAnsi="Times New Roman" w:cs="Times New Roman"/>
      <w:sz w:val="16"/>
      <w:szCs w:val="20"/>
      <w:lang w:val="en-GB" w:eastAsia="en-US"/>
    </w:rPr>
  </w:style>
  <w:style w:type="paragraph" w:customStyle="1" w:styleId="Chapter">
    <w:name w:val="Chapter"/>
    <w:basedOn w:val="Normal"/>
    <w:rsid w:val="00754E88"/>
    <w:pPr>
      <w:spacing w:before="240"/>
    </w:pPr>
    <w:rPr>
      <w:rFonts w:ascii="Times New Roman" w:hAnsi="Times New Roman"/>
      <w:smallCaps/>
      <w:spacing w:val="80"/>
      <w:sz w:val="28"/>
    </w:rPr>
  </w:style>
  <w:style w:type="paragraph" w:customStyle="1" w:styleId="InChapter">
    <w:name w:val="InChapter"/>
    <w:basedOn w:val="Heading3"/>
    <w:rsid w:val="00754E88"/>
    <w:pPr>
      <w:spacing w:after="240"/>
      <w:outlineLvl w:val="9"/>
    </w:pPr>
    <w:rPr>
      <w:noProof/>
    </w:rPr>
  </w:style>
  <w:style w:type="paragraph" w:styleId="Index2">
    <w:name w:val="index 2"/>
    <w:basedOn w:val="Normal"/>
    <w:next w:val="Normal"/>
    <w:semiHidden/>
    <w:rsid w:val="00754E88"/>
    <w:pPr>
      <w:tabs>
        <w:tab w:val="right" w:pos="4176"/>
      </w:tabs>
      <w:ind w:left="568" w:hanging="284"/>
    </w:pPr>
    <w:rPr>
      <w:rFonts w:ascii="Garamond" w:hAnsi="Garamond"/>
    </w:rPr>
  </w:style>
  <w:style w:type="paragraph" w:customStyle="1" w:styleId="Byline">
    <w:name w:val="Byline"/>
    <w:rsid w:val="00754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E88"/>
    <w:pPr>
      <w:tabs>
        <w:tab w:val="clear" w:pos="3600"/>
        <w:tab w:val="clear" w:pos="3958"/>
      </w:tabs>
      <w:jc w:val="right"/>
    </w:pPr>
  </w:style>
  <w:style w:type="character" w:styleId="Emphasis">
    <w:name w:val="Emphasis"/>
    <w:basedOn w:val="DefaultParagraphFont"/>
    <w:qFormat/>
    <w:rsid w:val="00754E88"/>
    <w:rPr>
      <w:i/>
    </w:rPr>
  </w:style>
  <w:style w:type="paragraph" w:styleId="Caption">
    <w:name w:val="caption"/>
    <w:basedOn w:val="BodyText"/>
    <w:next w:val="Normal"/>
    <w:qFormat/>
    <w:rsid w:val="00754E88"/>
    <w:pPr>
      <w:framePr w:w="2268" w:hSpace="181" w:vSpace="181" w:wrap="around" w:vAnchor="text" w:hAnchor="page" w:x="1135" w:y="285" w:anchorLock="1"/>
    </w:pPr>
    <w:rPr>
      <w:i/>
    </w:rPr>
  </w:style>
  <w:style w:type="paragraph" w:customStyle="1" w:styleId="MiniTOCTitle">
    <w:name w:val="MiniTOCTitle"/>
    <w:basedOn w:val="Heading4"/>
    <w:rsid w:val="00754E88"/>
    <w:pPr>
      <w:spacing w:before="240"/>
      <w:outlineLvl w:val="9"/>
    </w:pPr>
    <w:rPr>
      <w:noProof/>
      <w:sz w:val="24"/>
    </w:rPr>
  </w:style>
  <w:style w:type="paragraph" w:customStyle="1" w:styleId="MiniTOCItem">
    <w:name w:val="MiniTOCItem"/>
    <w:basedOn w:val="ListBullet"/>
    <w:rsid w:val="00754E88"/>
    <w:pPr>
      <w:numPr>
        <w:numId w:val="0"/>
      </w:numPr>
      <w:tabs>
        <w:tab w:val="right" w:leader="dot" w:pos="6521"/>
      </w:tabs>
      <w:spacing w:before="0" w:after="0"/>
    </w:pPr>
  </w:style>
  <w:style w:type="paragraph" w:customStyle="1" w:styleId="TOFTitle">
    <w:name w:val="TOFTitle"/>
    <w:basedOn w:val="TOCTitle"/>
    <w:rsid w:val="00754E88"/>
  </w:style>
  <w:style w:type="paragraph" w:styleId="TableofFigures">
    <w:name w:val="table of figures"/>
    <w:basedOn w:val="Normal"/>
    <w:next w:val="Normal"/>
    <w:semiHidden/>
    <w:rsid w:val="00754E88"/>
    <w:pPr>
      <w:tabs>
        <w:tab w:val="right" w:leader="dot" w:pos="9072"/>
      </w:tabs>
      <w:ind w:left="970" w:hanging="403"/>
    </w:pPr>
    <w:rPr>
      <w:rFonts w:ascii="Times New Roman" w:hAnsi="Times New Roman"/>
      <w:b/>
    </w:rPr>
  </w:style>
  <w:style w:type="paragraph" w:styleId="ListNumber">
    <w:name w:val="List Number"/>
    <w:basedOn w:val="List"/>
    <w:rsid w:val="00754E88"/>
    <w:pPr>
      <w:numPr>
        <w:numId w:val="11"/>
      </w:numPr>
    </w:pPr>
  </w:style>
  <w:style w:type="character" w:customStyle="1" w:styleId="WingdingSymbols">
    <w:name w:val="Wingding Symbols"/>
    <w:rsid w:val="00754E88"/>
    <w:rPr>
      <w:rFonts w:ascii="Wingdings" w:hAnsi="Wingdings"/>
    </w:rPr>
  </w:style>
  <w:style w:type="paragraph" w:customStyle="1" w:styleId="TableHeading">
    <w:name w:val="Table Heading"/>
    <w:basedOn w:val="HeadingBase"/>
    <w:rsid w:val="00754E88"/>
    <w:pPr>
      <w:keepLines/>
      <w:pBdr>
        <w:bottom w:val="single" w:sz="6" w:space="1" w:color="918585"/>
      </w:pBdr>
      <w:spacing w:before="240"/>
    </w:pPr>
  </w:style>
  <w:style w:type="character" w:customStyle="1" w:styleId="HotSpot">
    <w:name w:val="HotSpot"/>
    <w:rsid w:val="00754E88"/>
    <w:rPr>
      <w:color w:val="0033CC"/>
      <w:u w:val="none"/>
    </w:rPr>
  </w:style>
  <w:style w:type="paragraph" w:customStyle="1" w:styleId="BodyTextRight">
    <w:name w:val="Body Text Right"/>
    <w:basedOn w:val="BodyText"/>
    <w:rsid w:val="00754E88"/>
    <w:pPr>
      <w:spacing w:before="0" w:after="0"/>
      <w:jc w:val="right"/>
    </w:pPr>
  </w:style>
  <w:style w:type="paragraph" w:styleId="Index3">
    <w:name w:val="index 3"/>
    <w:basedOn w:val="ListNumber2"/>
    <w:next w:val="Normal"/>
    <w:semiHidden/>
    <w:rsid w:val="00754E88"/>
    <w:pPr>
      <w:numPr>
        <w:numId w:val="0"/>
      </w:numPr>
      <w:tabs>
        <w:tab w:val="right" w:leader="dot" w:pos="4176"/>
      </w:tabs>
    </w:pPr>
  </w:style>
  <w:style w:type="paragraph" w:styleId="ListNumber2">
    <w:name w:val="List Number 2"/>
    <w:basedOn w:val="List2"/>
    <w:rsid w:val="00754E88"/>
    <w:pPr>
      <w:numPr>
        <w:numId w:val="10"/>
      </w:numPr>
      <w:tabs>
        <w:tab w:val="clear" w:pos="1060"/>
      </w:tabs>
    </w:pPr>
  </w:style>
  <w:style w:type="paragraph" w:customStyle="1" w:styleId="MarginNote">
    <w:name w:val="Margin Note"/>
    <w:basedOn w:val="BodyText"/>
    <w:rsid w:val="00754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E88"/>
    <w:rPr>
      <w:sz w:val="32"/>
    </w:rPr>
  </w:style>
  <w:style w:type="paragraph" w:customStyle="1" w:styleId="HeadingProcedure">
    <w:name w:val="Heading Procedure"/>
    <w:basedOn w:val="HeadingBase"/>
    <w:next w:val="Normal"/>
    <w:rsid w:val="00754E88"/>
    <w:pPr>
      <w:tabs>
        <w:tab w:val="left" w:pos="0"/>
      </w:tabs>
      <w:spacing w:before="120" w:after="60"/>
    </w:pPr>
    <w:rPr>
      <w:i/>
      <w:color w:val="918585"/>
      <w:sz w:val="22"/>
    </w:rPr>
  </w:style>
  <w:style w:type="paragraph" w:customStyle="1" w:styleId="TableBodyText">
    <w:name w:val="Table Body Text"/>
    <w:basedOn w:val="BodyText"/>
    <w:rsid w:val="00754E88"/>
    <w:pPr>
      <w:spacing w:before="60" w:after="60"/>
    </w:pPr>
  </w:style>
  <w:style w:type="paragraph" w:styleId="ListContinue">
    <w:name w:val="List Continue"/>
    <w:basedOn w:val="List"/>
    <w:rsid w:val="00754E88"/>
    <w:pPr>
      <w:ind w:firstLine="0"/>
    </w:pPr>
  </w:style>
  <w:style w:type="paragraph" w:customStyle="1" w:styleId="ListNote">
    <w:name w:val="List Note"/>
    <w:basedOn w:val="List"/>
    <w:rsid w:val="00754E88"/>
    <w:pPr>
      <w:pBdr>
        <w:top w:val="single" w:sz="6" w:space="2" w:color="918585"/>
        <w:bottom w:val="single" w:sz="6" w:space="2" w:color="918585"/>
      </w:pBdr>
      <w:tabs>
        <w:tab w:val="left" w:pos="1021"/>
      </w:tabs>
      <w:ind w:firstLine="0"/>
    </w:pPr>
  </w:style>
  <w:style w:type="paragraph" w:customStyle="1" w:styleId="Warning">
    <w:name w:val="Warning"/>
    <w:basedOn w:val="BodyText"/>
    <w:rsid w:val="00754E88"/>
    <w:pPr>
      <w:shd w:val="clear" w:color="auto" w:fill="D9D9D9"/>
      <w:tabs>
        <w:tab w:val="left" w:pos="992"/>
      </w:tabs>
      <w:ind w:left="119" w:right="119"/>
    </w:pPr>
    <w:rPr>
      <w:sz w:val="20"/>
    </w:rPr>
  </w:style>
  <w:style w:type="paragraph" w:customStyle="1" w:styleId="MarginIcons">
    <w:name w:val="Margin Icons"/>
    <w:basedOn w:val="BodyText"/>
    <w:rsid w:val="00754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E88"/>
    <w:rPr>
      <w:rFonts w:ascii="Courier New" w:hAnsi="Courier New"/>
    </w:rPr>
  </w:style>
  <w:style w:type="paragraph" w:customStyle="1" w:styleId="NoteBullet">
    <w:name w:val="Note Bullet"/>
    <w:basedOn w:val="Note"/>
    <w:rsid w:val="00754E88"/>
    <w:pPr>
      <w:tabs>
        <w:tab w:val="clear" w:pos="680"/>
      </w:tabs>
      <w:spacing w:before="60" w:after="60"/>
    </w:pPr>
  </w:style>
  <w:style w:type="paragraph" w:customStyle="1" w:styleId="SubHeading2">
    <w:name w:val="SubHeading2"/>
    <w:basedOn w:val="HeadingBase"/>
    <w:rsid w:val="00754E88"/>
    <w:pPr>
      <w:spacing w:before="240" w:after="60"/>
    </w:pPr>
    <w:rPr>
      <w:sz w:val="20"/>
    </w:rPr>
  </w:style>
  <w:style w:type="paragraph" w:customStyle="1" w:styleId="SubHeading1">
    <w:name w:val="SubHeading1"/>
    <w:basedOn w:val="HeadingBase"/>
    <w:rsid w:val="00754E88"/>
    <w:pPr>
      <w:spacing w:before="240" w:after="60"/>
    </w:pPr>
    <w:rPr>
      <w:color w:val="918585"/>
      <w:sz w:val="22"/>
    </w:rPr>
  </w:style>
  <w:style w:type="paragraph" w:customStyle="1" w:styleId="SideHeading">
    <w:name w:val="Side Heading"/>
    <w:basedOn w:val="HeadingBase"/>
    <w:rsid w:val="00754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E88"/>
    <w:pPr>
      <w:numPr>
        <w:numId w:val="12"/>
      </w:numPr>
    </w:pPr>
  </w:style>
  <w:style w:type="paragraph" w:styleId="PlainText">
    <w:name w:val="Plain Text"/>
    <w:basedOn w:val="Normal"/>
    <w:link w:val="PlainTextChar"/>
    <w:rsid w:val="00754E88"/>
    <w:rPr>
      <w:sz w:val="20"/>
    </w:rPr>
  </w:style>
  <w:style w:type="character" w:customStyle="1" w:styleId="PlainTextChar">
    <w:name w:val="Plain Text Char"/>
    <w:basedOn w:val="DefaultParagraphFont"/>
    <w:link w:val="PlainText"/>
    <w:rsid w:val="00754E88"/>
    <w:rPr>
      <w:rFonts w:ascii="Courier New" w:eastAsia="Times New Roman" w:hAnsi="Courier New" w:cs="Times New Roman"/>
      <w:sz w:val="20"/>
      <w:szCs w:val="20"/>
      <w:lang w:eastAsia="en-US"/>
    </w:rPr>
  </w:style>
  <w:style w:type="character" w:customStyle="1" w:styleId="MenuOption">
    <w:name w:val="Menu Option"/>
    <w:basedOn w:val="DefaultParagraphFont"/>
    <w:rsid w:val="00754E88"/>
    <w:rPr>
      <w:b/>
      <w:smallCaps/>
    </w:rPr>
  </w:style>
  <w:style w:type="paragraph" w:customStyle="1" w:styleId="TableListNumber">
    <w:name w:val="Table List Number"/>
    <w:basedOn w:val="ListNumber"/>
    <w:rsid w:val="00754E88"/>
    <w:pPr>
      <w:numPr>
        <w:numId w:val="0"/>
      </w:numPr>
    </w:pPr>
  </w:style>
  <w:style w:type="paragraph" w:styleId="TOC4">
    <w:name w:val="toc 4"/>
    <w:basedOn w:val="TOCBase"/>
    <w:next w:val="Normal"/>
    <w:semiHidden/>
    <w:rsid w:val="00754E88"/>
    <w:pPr>
      <w:tabs>
        <w:tab w:val="right" w:leader="dot" w:pos="9071"/>
      </w:tabs>
      <w:ind w:left="1701"/>
    </w:pPr>
  </w:style>
  <w:style w:type="paragraph" w:customStyle="1" w:styleId="ListAlpha">
    <w:name w:val="List Alpha"/>
    <w:basedOn w:val="List"/>
    <w:rsid w:val="00754E88"/>
    <w:pPr>
      <w:numPr>
        <w:numId w:val="9"/>
      </w:numPr>
    </w:pPr>
  </w:style>
  <w:style w:type="paragraph" w:styleId="List2">
    <w:name w:val="List 2"/>
    <w:basedOn w:val="BodyText"/>
    <w:rsid w:val="00754E88"/>
    <w:pPr>
      <w:tabs>
        <w:tab w:val="left" w:pos="680"/>
      </w:tabs>
      <w:spacing w:before="60" w:after="60"/>
      <w:ind w:left="680" w:hanging="340"/>
    </w:pPr>
  </w:style>
  <w:style w:type="paragraph" w:styleId="List3">
    <w:name w:val="List 3"/>
    <w:basedOn w:val="BodyText"/>
    <w:rsid w:val="00754E88"/>
    <w:pPr>
      <w:tabs>
        <w:tab w:val="left" w:pos="1021"/>
      </w:tabs>
      <w:spacing w:before="60" w:after="60"/>
      <w:ind w:left="1020" w:hanging="340"/>
    </w:pPr>
  </w:style>
  <w:style w:type="paragraph" w:styleId="List4">
    <w:name w:val="List 4"/>
    <w:basedOn w:val="BodyText"/>
    <w:rsid w:val="00754E88"/>
    <w:pPr>
      <w:tabs>
        <w:tab w:val="left" w:pos="1361"/>
      </w:tabs>
      <w:spacing w:before="60" w:after="60"/>
      <w:ind w:left="1361" w:hanging="340"/>
    </w:pPr>
  </w:style>
  <w:style w:type="paragraph" w:styleId="List5">
    <w:name w:val="List 5"/>
    <w:basedOn w:val="BodyText"/>
    <w:rsid w:val="00754E88"/>
    <w:pPr>
      <w:tabs>
        <w:tab w:val="left" w:pos="1701"/>
      </w:tabs>
      <w:spacing w:before="60" w:after="60"/>
      <w:ind w:left="1701" w:hanging="340"/>
    </w:pPr>
  </w:style>
  <w:style w:type="paragraph" w:styleId="ListBullet3">
    <w:name w:val="List Bullet 3"/>
    <w:basedOn w:val="List3"/>
    <w:rsid w:val="00754E88"/>
    <w:pPr>
      <w:numPr>
        <w:numId w:val="15"/>
      </w:numPr>
      <w:tabs>
        <w:tab w:val="clear" w:pos="1021"/>
      </w:tabs>
      <w:ind w:left="1037" w:hanging="357"/>
    </w:pPr>
  </w:style>
  <w:style w:type="paragraph" w:styleId="ListBullet4">
    <w:name w:val="List Bullet 4"/>
    <w:basedOn w:val="List4"/>
    <w:rsid w:val="00754E88"/>
    <w:pPr>
      <w:numPr>
        <w:numId w:val="3"/>
      </w:numPr>
    </w:pPr>
  </w:style>
  <w:style w:type="paragraph" w:styleId="ListBullet5">
    <w:name w:val="List Bullet 5"/>
    <w:basedOn w:val="List5"/>
    <w:rsid w:val="00754E88"/>
    <w:pPr>
      <w:numPr>
        <w:numId w:val="4"/>
      </w:numPr>
    </w:pPr>
  </w:style>
  <w:style w:type="paragraph" w:styleId="ListContinue2">
    <w:name w:val="List Continue 2"/>
    <w:basedOn w:val="List2"/>
    <w:rsid w:val="00754E88"/>
    <w:pPr>
      <w:ind w:firstLine="0"/>
    </w:pPr>
  </w:style>
  <w:style w:type="paragraph" w:styleId="ListContinue3">
    <w:name w:val="List Continue 3"/>
    <w:basedOn w:val="List3"/>
    <w:rsid w:val="00754E88"/>
    <w:pPr>
      <w:ind w:left="1021" w:firstLine="0"/>
    </w:pPr>
  </w:style>
  <w:style w:type="paragraph" w:styleId="ListContinue4">
    <w:name w:val="List Continue 4"/>
    <w:basedOn w:val="List4"/>
    <w:rsid w:val="00754E88"/>
    <w:pPr>
      <w:ind w:firstLine="0"/>
    </w:pPr>
  </w:style>
  <w:style w:type="paragraph" w:styleId="ListContinue5">
    <w:name w:val="List Continue 5"/>
    <w:basedOn w:val="List5"/>
    <w:rsid w:val="00754E88"/>
    <w:pPr>
      <w:ind w:firstLine="0"/>
    </w:pPr>
  </w:style>
  <w:style w:type="paragraph" w:styleId="ListNumber3">
    <w:name w:val="List Number 3"/>
    <w:basedOn w:val="List3"/>
    <w:rsid w:val="00754E88"/>
    <w:pPr>
      <w:numPr>
        <w:numId w:val="5"/>
      </w:numPr>
    </w:pPr>
  </w:style>
  <w:style w:type="paragraph" w:styleId="ListNumber4">
    <w:name w:val="List Number 4"/>
    <w:basedOn w:val="List4"/>
    <w:rsid w:val="00754E88"/>
    <w:pPr>
      <w:numPr>
        <w:numId w:val="6"/>
      </w:numPr>
    </w:pPr>
  </w:style>
  <w:style w:type="paragraph" w:styleId="ListNumber5">
    <w:name w:val="List Number 5"/>
    <w:basedOn w:val="List5"/>
    <w:rsid w:val="00754E88"/>
    <w:pPr>
      <w:numPr>
        <w:numId w:val="7"/>
      </w:numPr>
    </w:pPr>
  </w:style>
  <w:style w:type="paragraph" w:styleId="BlockText">
    <w:name w:val="Block Text"/>
    <w:basedOn w:val="Normal"/>
    <w:rsid w:val="00754E88"/>
    <w:pPr>
      <w:spacing w:after="120"/>
      <w:ind w:left="1440" w:right="1440"/>
    </w:pPr>
  </w:style>
  <w:style w:type="character" w:customStyle="1" w:styleId="Subscript">
    <w:name w:val="Subscript"/>
    <w:basedOn w:val="DefaultParagraphFont"/>
    <w:rsid w:val="00754E88"/>
    <w:rPr>
      <w:sz w:val="16"/>
      <w:vertAlign w:val="subscript"/>
    </w:rPr>
  </w:style>
  <w:style w:type="character" w:customStyle="1" w:styleId="Superscript">
    <w:name w:val="Superscript"/>
    <w:basedOn w:val="DefaultParagraphFont"/>
    <w:rsid w:val="00754E88"/>
    <w:rPr>
      <w:sz w:val="16"/>
      <w:vertAlign w:val="superscript"/>
    </w:rPr>
  </w:style>
  <w:style w:type="character" w:customStyle="1" w:styleId="Symbols">
    <w:name w:val="Symbols"/>
    <w:basedOn w:val="DefaultParagraphFont"/>
    <w:rsid w:val="00754E88"/>
    <w:rPr>
      <w:rFonts w:ascii="Symbol" w:hAnsi="Symbol"/>
    </w:rPr>
  </w:style>
  <w:style w:type="character" w:customStyle="1" w:styleId="MenuOptions">
    <w:name w:val="Menu Options"/>
    <w:basedOn w:val="DefaultParagraphFont"/>
    <w:rsid w:val="00754E88"/>
    <w:rPr>
      <w:rFonts w:ascii="Arial Narrow" w:hAnsi="Arial Narrow"/>
      <w:smallCaps/>
    </w:rPr>
  </w:style>
  <w:style w:type="character" w:customStyle="1" w:styleId="Buttons">
    <w:name w:val="Buttons"/>
    <w:basedOn w:val="DefaultParagraphFont"/>
    <w:rsid w:val="00754E88"/>
    <w:rPr>
      <w:b/>
    </w:rPr>
  </w:style>
  <w:style w:type="character" w:customStyle="1" w:styleId="Underlined">
    <w:name w:val="Underlined"/>
    <w:basedOn w:val="DefaultParagraphFont"/>
    <w:rsid w:val="00754E88"/>
    <w:rPr>
      <w:u w:val="single"/>
    </w:rPr>
  </w:style>
  <w:style w:type="paragraph" w:customStyle="1" w:styleId="TableBodyTextRight">
    <w:name w:val="Table Body Text Right"/>
    <w:basedOn w:val="TableBodyText"/>
    <w:rsid w:val="00754E88"/>
    <w:pPr>
      <w:widowControl w:val="0"/>
      <w:autoSpaceDE w:val="0"/>
      <w:autoSpaceDN w:val="0"/>
      <w:adjustRightInd w:val="0"/>
      <w:jc w:val="right"/>
    </w:pPr>
    <w:rPr>
      <w:rFonts w:cs="Arial"/>
      <w:szCs w:val="18"/>
    </w:rPr>
  </w:style>
  <w:style w:type="paragraph" w:customStyle="1" w:styleId="CopyrightText">
    <w:name w:val="Copyright Text"/>
    <w:basedOn w:val="BodyText"/>
    <w:rsid w:val="00754E88"/>
    <w:rPr>
      <w:sz w:val="18"/>
    </w:rPr>
  </w:style>
  <w:style w:type="paragraph" w:customStyle="1" w:styleId="BodySmallRight">
    <w:name w:val="Body Small Right"/>
    <w:basedOn w:val="BodyTextRight"/>
    <w:rsid w:val="00754E88"/>
    <w:rPr>
      <w:sz w:val="18"/>
      <w:szCs w:val="18"/>
    </w:rPr>
  </w:style>
  <w:style w:type="paragraph" w:customStyle="1" w:styleId="MarginEdition">
    <w:name w:val="Margin Edition"/>
    <w:basedOn w:val="MarginNote"/>
    <w:rsid w:val="00754E88"/>
    <w:pPr>
      <w:spacing w:before="0" w:after="0"/>
    </w:pPr>
    <w:rPr>
      <w:rFonts w:ascii="Times New Roman" w:hAnsi="Times New Roman"/>
      <w:color w:val="999999"/>
    </w:rPr>
  </w:style>
  <w:style w:type="paragraph" w:customStyle="1" w:styleId="Spacer">
    <w:name w:val="Spacer"/>
    <w:basedOn w:val="Normal"/>
    <w:rsid w:val="00754E88"/>
    <w:rPr>
      <w:sz w:val="2"/>
      <w:szCs w:val="2"/>
    </w:rPr>
  </w:style>
  <w:style w:type="character" w:customStyle="1" w:styleId="Small">
    <w:name w:val="Small"/>
    <w:basedOn w:val="DefaultParagraphFont"/>
    <w:rsid w:val="00754E88"/>
    <w:rPr>
      <w:sz w:val="16"/>
    </w:rPr>
  </w:style>
  <w:style w:type="paragraph" w:customStyle="1" w:styleId="WideTable">
    <w:name w:val="Wide Table"/>
    <w:basedOn w:val="Normal"/>
    <w:rsid w:val="00754E88"/>
    <w:pPr>
      <w:ind w:left="-1418"/>
    </w:pPr>
    <w:rPr>
      <w:sz w:val="2"/>
      <w:szCs w:val="2"/>
    </w:rPr>
  </w:style>
  <w:style w:type="character" w:styleId="PageNumber">
    <w:name w:val="page number"/>
    <w:basedOn w:val="DefaultParagraphFont"/>
    <w:rsid w:val="00754E88"/>
  </w:style>
  <w:style w:type="paragraph" w:styleId="Quote">
    <w:name w:val="Quote"/>
    <w:basedOn w:val="Heading1"/>
    <w:link w:val="QuoteChar"/>
    <w:qFormat/>
    <w:rsid w:val="00754E88"/>
    <w:rPr>
      <w:b w:val="0"/>
      <w:sz w:val="72"/>
      <w:szCs w:val="72"/>
      <w:lang w:val="en-NZ"/>
    </w:rPr>
  </w:style>
  <w:style w:type="character" w:customStyle="1" w:styleId="QuoteChar">
    <w:name w:val="Quote Char"/>
    <w:basedOn w:val="DefaultParagraphFont"/>
    <w:link w:val="Quote"/>
    <w:rsid w:val="00754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E88"/>
    <w:pPr>
      <w:pageBreakBefore/>
    </w:pPr>
  </w:style>
  <w:style w:type="paragraph" w:customStyle="1" w:styleId="Border">
    <w:name w:val="Border"/>
    <w:basedOn w:val="Normal"/>
    <w:qFormat/>
    <w:rsid w:val="00754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E88"/>
    <w:rPr>
      <w:b/>
      <w:bCs/>
      <w:i/>
      <w:iCs/>
      <w:color w:val="auto"/>
    </w:rPr>
  </w:style>
  <w:style w:type="paragraph" w:styleId="IntenseQuote">
    <w:name w:val="Intense Quote"/>
    <w:basedOn w:val="Normal"/>
    <w:next w:val="Normal"/>
    <w:link w:val="IntenseQuoteChar"/>
    <w:uiPriority w:val="30"/>
    <w:qFormat/>
    <w:rsid w:val="00754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E88"/>
    <w:rPr>
      <w:smallCaps/>
      <w:color w:val="auto"/>
      <w:u w:val="single"/>
    </w:rPr>
  </w:style>
  <w:style w:type="character" w:styleId="IntenseReference">
    <w:name w:val="Intense Reference"/>
    <w:basedOn w:val="DefaultParagraphFont"/>
    <w:uiPriority w:val="32"/>
    <w:qFormat/>
    <w:rsid w:val="00754E88"/>
    <w:rPr>
      <w:b/>
      <w:bCs/>
      <w:smallCaps/>
      <w:color w:val="auto"/>
      <w:spacing w:val="5"/>
      <w:u w:val="single"/>
    </w:rPr>
  </w:style>
  <w:style w:type="paragraph" w:customStyle="1" w:styleId="2ColumnHeading">
    <w:name w:val="2Column Heading"/>
    <w:basedOn w:val="BodyText"/>
    <w:qFormat/>
    <w:rsid w:val="00754E88"/>
    <w:pPr>
      <w:spacing w:after="60"/>
      <w:ind w:left="-2268"/>
    </w:pPr>
    <w:rPr>
      <w:b/>
    </w:rPr>
  </w:style>
  <w:style w:type="paragraph" w:customStyle="1" w:styleId="Heading1TOC">
    <w:name w:val="Heading1 TOC"/>
    <w:basedOn w:val="Normal"/>
    <w:qFormat/>
    <w:rsid w:val="00754E88"/>
    <w:pPr>
      <w:spacing w:before="240" w:after="120"/>
    </w:pPr>
    <w:rPr>
      <w:rFonts w:ascii="Times New Roman" w:hAnsi="Times New Roman"/>
      <w:b/>
      <w:sz w:val="32"/>
    </w:rPr>
  </w:style>
  <w:style w:type="paragraph" w:customStyle="1" w:styleId="Heading2TOC">
    <w:name w:val="Heading2 TOC"/>
    <w:basedOn w:val="Normal"/>
    <w:qFormat/>
    <w:rsid w:val="00754E88"/>
    <w:pPr>
      <w:spacing w:before="240" w:after="60"/>
    </w:pPr>
    <w:rPr>
      <w:rFonts w:ascii="Times New Roman" w:hAnsi="Times New Roman"/>
      <w:b/>
      <w:sz w:val="28"/>
    </w:rPr>
  </w:style>
  <w:style w:type="character" w:customStyle="1" w:styleId="Underline">
    <w:name w:val="Underline"/>
    <w:basedOn w:val="DefaultParagraphFont"/>
    <w:qFormat/>
    <w:rsid w:val="00754E88"/>
    <w:rPr>
      <w:u w:val="single"/>
    </w:rPr>
  </w:style>
  <w:style w:type="character" w:customStyle="1" w:styleId="BoldandItalics">
    <w:name w:val="Bold and Italics"/>
    <w:qFormat/>
    <w:rsid w:val="00754E88"/>
    <w:rPr>
      <w:b/>
      <w:i/>
      <w:u w:val="none"/>
    </w:rPr>
  </w:style>
  <w:style w:type="paragraph" w:styleId="BalloonText">
    <w:name w:val="Balloon Text"/>
    <w:basedOn w:val="Normal"/>
    <w:link w:val="BalloonTextChar"/>
    <w:rsid w:val="00754E88"/>
    <w:rPr>
      <w:rFonts w:ascii="Tahoma" w:hAnsi="Tahoma" w:cs="Tahoma"/>
      <w:sz w:val="16"/>
      <w:szCs w:val="16"/>
    </w:rPr>
  </w:style>
  <w:style w:type="character" w:customStyle="1" w:styleId="BalloonTextChar">
    <w:name w:val="Balloon Text Char"/>
    <w:basedOn w:val="DefaultParagraphFont"/>
    <w:link w:val="BalloonText"/>
    <w:rsid w:val="00754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E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E88"/>
    <w:rPr>
      <w:b/>
      <w:color w:val="660033"/>
      <w:spacing w:val="0"/>
    </w:rPr>
  </w:style>
  <w:style w:type="paragraph" w:customStyle="1" w:styleId="Nameditemlist">
    <w:name w:val="Named item list"/>
    <w:basedOn w:val="BodyText"/>
    <w:qFormat/>
    <w:rsid w:val="00754E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2356</Words>
  <Characters>14780</Characters>
  <Application>Microsoft Office Word</Application>
  <DocSecurity>0</DocSecurity>
  <Lines>544</Lines>
  <Paragraphs>242</Paragraphs>
  <ScaleCrop>false</ScaleCrop>
  <Company>Author-it Software Corporation Ltd.</Company>
  <LinksUpToDate>false</LinksUpToDate>
  <CharactersWithSpaces>16949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UEENEEN101A Maintain mechanical rail signalling equipment and infrastructure</dc:title>
  <dc:subject>Approved</dc:subject>
  <dc:creator>E-OZ Training Standards</dc:creator>
  <cp:keywords>Release: 2</cp:keywords>
  <dc:description>Review Date: 12 April 2008</dc:description>
  <cp:lastModifiedBy>HSD_TPCMSd.prod</cp:lastModifiedBy>
  <cp:revision>3</cp:revision>
  <dcterms:created xsi:type="dcterms:W3CDTF">2013-08-14T06:36:00Z</dcterms:created>
  <dcterms:modified xsi:type="dcterms:W3CDTF">2013-08-14T06:36:00Z</dcterms:modified>
</cp:coreProperties>
</file>