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844" w:rsidP="006E7844">
      <w:pPr>
        <w:pStyle w:val="Title"/>
      </w:pPr>
      <w:bookmarkStart w:id="0" w:name="_GoBack"/>
      <w:bookmarkEnd w:id="0"/>
      <w:r>
        <w:fldChar w:fldCharType="begin"/>
      </w:r>
      <w:r>
        <w:instrText xml:space="preserve"> TITLE   \* MERGEFORMAT </w:instrText>
      </w:r>
      <w:r>
        <w:fldChar w:fldCharType="separate"/>
      </w:r>
      <w:r>
        <w:t>UEENEEK149A Verify compliance and functionality of a extra low voltage renewable energy installation</w:t>
      </w:r>
      <w:r>
        <w:fldChar w:fldCharType="end"/>
      </w:r>
    </w:p>
    <w:p w:rsidR="006E7844" w:rsidP="006E7844">
      <w:pPr>
        <w:pStyle w:val="Version"/>
        <w:sectPr w:rsidSect="00A74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CFA" w:rsidP="00A74CFA">
      <w:pPr>
        <w:pStyle w:val="SuperHeading"/>
      </w:pPr>
      <w:r w:rsidRPr="00A74CFA">
        <w:t>UEENEEK149A Verify compliance and functionality of a extra low voltage renewable energy installation</w:t>
      </w:r>
    </w:p>
    <w:p w:rsidR="00000000" w:rsidRPr="00A74CFA" w:rsidP="00A74CFA">
      <w:pPr>
        <w:pStyle w:val="Heading1"/>
      </w:pPr>
      <w:bookmarkStart w:id="1" w:name="O_420087"/>
      <w:bookmarkEnd w:id="1"/>
      <w:r w:rsidRPr="00A74CFA">
        <w:t>Modification History</w:t>
      </w:r>
    </w:p>
    <w:p w:rsidR="00000000" w:rsidRPr="00A74CFA" w:rsidP="00A74CFA">
      <w:pPr>
        <w:pStyle w:val="BodyText"/>
      </w:pPr>
      <w:r w:rsidRPr="00A74CFA">
        <w:t>Not applicable.</w:t>
      </w:r>
    </w:p>
    <w:p w:rsidR="00000000" w:rsidRPr="00A74CFA" w:rsidP="00A74CFA">
      <w:pPr>
        <w:pStyle w:val="AllowPageBreak"/>
      </w:pPr>
    </w:p>
    <w:p w:rsidR="00000000" w:rsidRPr="00A74CFA" w:rsidP="00A74CFA">
      <w:pPr>
        <w:pStyle w:val="Heading1"/>
      </w:pPr>
      <w:bookmarkStart w:id="2" w:name="O_420085"/>
      <w:bookmarkEnd w:id="2"/>
      <w:r w:rsidRPr="00A74CFA">
        <w:t>Unit Descriptor</w:t>
      </w:r>
    </w:p>
    <w:tbl>
      <w:tblPr>
        <w:tblW w:w="0" w:type="auto"/>
        <w:tblLayout w:type="fixed"/>
        <w:tblCellMar>
          <w:left w:w="62" w:type="dxa"/>
          <w:right w:w="62" w:type="dxa"/>
        </w:tblCellMar>
        <w:tblLook w:val="0000"/>
      </w:tblPr>
      <w:tblGrid>
        <w:gridCol w:w="2700"/>
        <w:gridCol w:w="5760"/>
      </w:tblGrid>
      <w:tr w:rsidTr="006E78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1)</w:t>
            </w:r>
            <w:r w:rsidRPr="00A74CFA">
              <w:t xml:space="preserve"> </w:t>
            </w:r>
            <w:r w:rsidRPr="00A74CFA">
              <w:rPr>
                <w:rStyle w:val="SpecialBold"/>
              </w:rPr>
              <w:t>Scope:</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4CF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1.1) Descriptor</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 xml:space="preserve">This competency standard unit covers inspection and testing to verify whether a extra low voltage Stand-alone Power System is safe and complies </w:t>
            </w:r>
            <w:r w:rsidRPr="00A74CFA">
              <w:t>with all requirements. It encompasses working safely, visual inspections and mandatory, optional and functional test procedures, identifying non-compliance defects and mandatory reporting requirements.</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3" w:name="O_420074"/>
      <w:bookmarkEnd w:id="3"/>
      <w:r w:rsidRPr="00A74CFA">
        <w:t>Application of the Unit</w:t>
      </w:r>
    </w:p>
    <w:tbl>
      <w:tblPr>
        <w:tblW w:w="0" w:type="auto"/>
        <w:tblLayout w:type="fixed"/>
        <w:tblCellMar>
          <w:left w:w="62" w:type="dxa"/>
          <w:right w:w="62" w:type="dxa"/>
        </w:tblCellMar>
        <w:tblLook w:val="0000"/>
      </w:tblPr>
      <w:tblGrid>
        <w:gridCol w:w="2672"/>
        <w:gridCol w:w="5699"/>
      </w:tblGrid>
      <w:tr w:rsidTr="006E78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Application</w:t>
            </w:r>
            <w:r w:rsidRPr="00A74CFA">
              <w:rPr>
                <w:rStyle w:val="SpecialBold"/>
              </w:rPr>
              <w:t xml:space="preserve"> of the Unit</w:t>
            </w:r>
          </w:p>
        </w:tc>
        <w:tc>
          <w:tcPr>
            <w:tcW w:w="5699"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2)</w:t>
            </w:r>
          </w:p>
        </w:tc>
      </w:tr>
      <w:tr w:rsidTr="006E78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This competency standard unit is intended to augment formally acquired competencies. It is suitable for employment-based programs under an approved contract of training</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4" w:name="O_420081"/>
      <w:bookmarkEnd w:id="4"/>
      <w:r w:rsidRPr="00A74CFA">
        <w:t>Licensing/Regulatory Information</w:t>
      </w:r>
    </w:p>
    <w:tbl>
      <w:tblPr>
        <w:tblW w:w="0" w:type="auto"/>
        <w:tblLayout w:type="fixed"/>
        <w:tblCellMar>
          <w:left w:w="62" w:type="dxa"/>
          <w:right w:w="62" w:type="dxa"/>
        </w:tblCellMar>
        <w:tblLook w:val="0000"/>
      </w:tblPr>
      <w:tblGrid>
        <w:gridCol w:w="2700"/>
        <w:gridCol w:w="5760"/>
      </w:tblGrid>
      <w:tr w:rsidTr="006E78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 xml:space="preserve">3) </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The skills and knowledge described in this unit do NOT require a licence to practice in the workplace at ELV levels, subject to regulations for undertaking of electrical work. Practice in workplace and during training is also subj</w:t>
            </w:r>
            <w:r w:rsidRPr="00A74CFA">
              <w:t>ect to regulations directly related to occupational health and safety and where applicable contracts of training such as apprenticeships and the like.</w:t>
            </w:r>
          </w:p>
          <w:p w:rsidR="00000000" w:rsidRPr="00A74CFA" w:rsidP="00A74CFA">
            <w:pPr>
              <w:pStyle w:val="BodyText"/>
            </w:pPr>
            <w:r w:rsidRPr="00A74CFA">
              <w:t>Note:</w:t>
            </w:r>
          </w:p>
          <w:p w:rsidR="00000000" w:rsidRPr="00A74CFA" w:rsidP="00A74CFA">
            <w:pPr>
              <w:pStyle w:val="BodyText"/>
            </w:pPr>
            <w:r w:rsidRPr="00A74CFA">
              <w:t>Compliance with permits may be required in various jurisdictions and typically relates to the opera</w:t>
            </w:r>
            <w:r w:rsidRPr="00A74CFA">
              <w:t>tion of plant, machinery and equipment such as elevating work platforms, powder operated fixing tools, power operated tools, vehicles, road signage and traffic control, lifting equipment and the like. Permits may also be required for some work environments</w:t>
            </w:r>
            <w:r w:rsidRPr="00A74CFA">
              <w:t xml:space="preserve"> such as confined spaces, working aloft, near live electrical apparatus, site rehabilitation and the like.</w:t>
            </w:r>
          </w:p>
          <w:p w:rsidR="00000000" w:rsidRPr="00A74CFA" w:rsidP="00A74CFA">
            <w:pPr>
              <w:pStyle w:val="BodyText"/>
            </w:pPr>
            <w:r w:rsidRPr="00A74CFA">
              <w:t>Compliance may be required in various jurisdictions relating to currency in first aid, confined space, lifting, risk safety measure and the like.</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5" w:name="O_420082"/>
      <w:bookmarkEnd w:id="5"/>
      <w:r w:rsidRPr="00A74CFA">
        <w:t>Pre-Requisites</w:t>
      </w:r>
    </w:p>
    <w:tbl>
      <w:tblPr>
        <w:tblW w:w="0" w:type="auto"/>
        <w:tblLayout w:type="fixed"/>
        <w:tblCellMar>
          <w:left w:w="62" w:type="dxa"/>
          <w:right w:w="62" w:type="dxa"/>
        </w:tblCellMar>
        <w:tblLook w:val="0000"/>
      </w:tblPr>
      <w:tblGrid>
        <w:gridCol w:w="2700"/>
        <w:gridCol w:w="1440"/>
        <w:gridCol w:w="4320"/>
      </w:tblGrid>
      <w:tr w:rsidTr="006E78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 xml:space="preserve">4) </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4.1)</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Granting of competency in this unit shall be made only after competency in the following unit(s) has/have been confirmed:</w:t>
            </w:r>
          </w:p>
        </w:tc>
      </w:tr>
      <w:tr w:rsidTr="006E784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UEENEEE101A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Apply Occupational Health and Safety regulations, codes and practices in the workplace</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UEENEEE102A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Fabricate, assemble and dismantle utilities industry components</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UEENEEE104A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Solve problems in d.c. circuits</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UEENEEE105A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Fix and secure electrotechnology equipment</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UEENEEE107A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Use drawings, diagrams, schedules, standards, codes and specifications</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UEENEEE108A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Lay wiring/cabling and terminate accessories for extra-low voltage (ELV) circuit</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UEENEEE119A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Solve problems in m</w:t>
            </w:r>
            <w:r w:rsidRPr="00A74CFA">
              <w:t>ultiple path extra low voltage (ELV) a.c. circuits</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UEENEEE137A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Document and apply measures to control OHS risks associated with electrotechnology work</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UEENEEG101A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Solve problems in electromagnetic devices and related circuits</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UEENEEK123A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Carry out basic repairs to renewable energy apparatus</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UEENEEK127A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Diagnose and rectify faults in renewable energy control systems</w:t>
            </w:r>
          </w:p>
        </w:tc>
      </w:tr>
      <w:tr w:rsidTr="006E784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UEENEEK128A</w:t>
            </w:r>
          </w:p>
        </w:tc>
        <w:tc>
          <w:tcPr>
            <w:tcW w:w="432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Solve problems in stand-alone renewable energy systems</w:t>
            </w:r>
          </w:p>
        </w:tc>
      </w:tr>
      <w:tr w:rsidTr="006E784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UEENEEK134A</w:t>
            </w:r>
          </w:p>
        </w:tc>
        <w:tc>
          <w:tcPr>
            <w:tcW w:w="432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Install ELV stand-alone photovoltaic power systems</w:t>
            </w:r>
          </w:p>
        </w:tc>
      </w:tr>
    </w:tbl>
    <w:p w:rsidR="00000000" w:rsidRPr="00A74CFA" w:rsidP="00A74CF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E784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 xml:space="preserve">4.2) </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 xml:space="preserve">Participants are best equipped to achieve this unit if they have reading, writing and maths skills indicated by the following scales. Description </w:t>
            </w:r>
            <w:r w:rsidRPr="00A74CFA">
              <w:t>of each scale is given in Volume 2, Part 3 “Literacy and Numeracy”</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Reading</w:t>
            </w:r>
          </w:p>
        </w:tc>
        <w:tc>
          <w:tcPr>
            <w:tcW w:w="81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w:t>
            </w:r>
          </w:p>
        </w:tc>
        <w:tc>
          <w:tcPr>
            <w:tcW w:w="99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Writing</w:t>
            </w: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w:t>
            </w:r>
          </w:p>
        </w:tc>
        <w:tc>
          <w:tcPr>
            <w:tcW w:w="12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Numeracy</w:t>
            </w:r>
          </w:p>
        </w:tc>
        <w:tc>
          <w:tcPr>
            <w:tcW w:w="72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3</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6" w:name="O_420078"/>
      <w:bookmarkEnd w:id="6"/>
      <w:r w:rsidRPr="00A74CFA">
        <w:t>Employability Skills Information</w:t>
      </w:r>
    </w:p>
    <w:tbl>
      <w:tblPr>
        <w:tblW w:w="0" w:type="auto"/>
        <w:tblLayout w:type="fixed"/>
        <w:tblCellMar>
          <w:left w:w="62" w:type="dxa"/>
          <w:right w:w="62" w:type="dxa"/>
        </w:tblCellMar>
        <w:tblLook w:val="0000"/>
      </w:tblPr>
      <w:tblGrid>
        <w:gridCol w:w="2700"/>
        <w:gridCol w:w="5760"/>
      </w:tblGrid>
      <w:tr w:rsidTr="006E78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 xml:space="preserve">5) </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74CFA">
              <w:t>requirements.</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7" w:name="O_420077"/>
      <w:bookmarkEnd w:id="7"/>
      <w:r w:rsidRPr="00A74CFA">
        <w:t>Elements and Performance Criteria Pre-Content</w:t>
      </w:r>
    </w:p>
    <w:tbl>
      <w:tblPr>
        <w:tblW w:w="0" w:type="auto"/>
        <w:tblLayout w:type="fixed"/>
        <w:tblCellMar>
          <w:left w:w="62" w:type="dxa"/>
          <w:right w:w="62" w:type="dxa"/>
        </w:tblCellMar>
        <w:tblLook w:val="0000"/>
      </w:tblPr>
      <w:tblGrid>
        <w:gridCol w:w="2700"/>
        <w:gridCol w:w="5760"/>
      </w:tblGrid>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6)</w:t>
            </w:r>
            <w:r w:rsidRPr="00A74CF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Performance Criteria describe the required performance needed to demonstrate achievement of the element. Assessment of performance is to be consistent with the Evidence Guide.</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8" w:name="O_420076"/>
      <w:bookmarkEnd w:id="8"/>
      <w:r w:rsidRPr="00A74CF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E784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PERFORMANCE CRITER</w:t>
            </w:r>
            <w:r w:rsidRPr="00A74CFA">
              <w:rPr>
                <w:rStyle w:val="SpecialBold"/>
              </w:rPr>
              <w:t>IA</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w:t>
            </w:r>
          </w:p>
        </w:tc>
        <w:tc>
          <w:tcPr>
            <w:tcW w:w="2296" w:type="dxa"/>
            <w:vMerge w:val="restart"/>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Prepare to inspect and test an RE installation.</w:t>
            </w: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1.1</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 xml:space="preserve">OHS procedures for a given work area are obtained and understood. </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1.2</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Established OHS risk control measures and procedures in preparation for the work are followed.</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1.3</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Safety hazards, which have not previously been identified, are noted and established risk control measures are implemented.</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1.4</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Documentation or deemed to comply standard on which installation is based is reviewed and understood.</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1.5</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Appropriate pers</w:t>
            </w:r>
            <w:r w:rsidRPr="00A74CFA">
              <w:t>onnel are consulted to ensure the work is co-ordinated effectively with others involved on the work site.</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1.6</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Tools, equipment and testing devices needed to verify compliance are obtained in accordance with established procedures and checked for correct operation and safety.</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1.7</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Preparatory work is checked to ensure no unnecessary damage has occurred and compli</w:t>
            </w:r>
            <w:r w:rsidRPr="00A74CFA">
              <w:t>es with requirements.</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w:t>
            </w:r>
          </w:p>
        </w:tc>
        <w:tc>
          <w:tcPr>
            <w:tcW w:w="2296" w:type="dxa"/>
            <w:vMerge w:val="restart"/>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Visually inspect and conduct safety testing on the installation.</w:t>
            </w: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2.1</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OHS risk control measures and procedures for carrying out the work are followed.</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2.2</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The need to test or m</w:t>
            </w:r>
            <w:r w:rsidRPr="00A74CFA">
              <w:t>easure live is determined in strict accordance with OHS requirements and when necessary conducted within established safety procedures.</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2.3</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Circuits/machines/plant are checked as being isolated where necessary in strict accordance OHS requirements and p</w:t>
            </w:r>
            <w:r w:rsidRPr="00A74CFA">
              <w:t>rocedures.</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2.4</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Wiring is checked for suitability for the environments in which they are installed and suitably protected from damage or overheating.</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2.5</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Cable conductor sizes are acquired as meeting current-carrying capacity requirements and voltage</w:t>
            </w:r>
            <w:r w:rsidRPr="00A74CFA">
              <w:softHyphen/>
            </w:r>
            <w:r w:rsidRPr="00A74CFA">
              <w:t xml:space="preserve"> drop</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2.6</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Protection methods and devices are validated as meeting co-ordination requirements for overload and short-circuit protection.</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2.7</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Switchgear and control gear is validated as being appropriately rated and meeting functional requirements.</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2.8</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Evidence that electrical equipment complies with safety requirements is cited.</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2.9</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Earthing system components are checked that they are correctly located and conductors correctly sized.</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2.10</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Marking on switchboards are checked for accuracy and cl</w:t>
            </w:r>
            <w:r w:rsidRPr="00A74CFA">
              <w:t>arity and comply with requirements.</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2.11</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Visual inspection is conducted to ensure that the system complies with requirements.</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2.12</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 xml:space="preserve">Testing is conducted to verify that circuit connections are correct; voltage drop is within limits; circuit protection </w:t>
            </w:r>
            <w:r w:rsidRPr="00A74CFA">
              <w:t>operates as intended; polarities are correct; charging rates are compliant with specification</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w:t>
            </w:r>
          </w:p>
        </w:tc>
        <w:tc>
          <w:tcPr>
            <w:tcW w:w="2296"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3.1</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OHS work completion risk control measures and procedures are followed.</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3.2</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Work site is cleaned and made safe in accordance with established procedures.</w:t>
            </w:r>
          </w:p>
        </w:tc>
      </w:tr>
      <w:tr w:rsidTr="006E78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3.3</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Non-compliance defects are identified and reported in accordance with established procedures</w:t>
            </w:r>
          </w:p>
        </w:tc>
      </w:tr>
      <w:tr w:rsidTr="006E7844">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3.4</w:t>
            </w:r>
          </w:p>
        </w:tc>
        <w:tc>
          <w:tcPr>
            <w:tcW w:w="48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Recommendations for rectifying defects are made in accordance with esta</w:t>
            </w:r>
            <w:r w:rsidRPr="00A74CFA">
              <w:t>blished procedures.</w:t>
            </w:r>
          </w:p>
        </w:tc>
      </w:tr>
      <w:tr w:rsidTr="006E7844">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3.5</w:t>
            </w:r>
          </w:p>
        </w:tc>
        <w:tc>
          <w:tcPr>
            <w:tcW w:w="48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Documentation is completed in accordance with established procedures.</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9" w:name="O_420084"/>
      <w:bookmarkEnd w:id="9"/>
      <w:r w:rsidRPr="00A74CFA">
        <w:t>Required Skills and Knowledge</w:t>
      </w:r>
    </w:p>
    <w:tbl>
      <w:tblPr>
        <w:tblW w:w="0" w:type="auto"/>
        <w:tblLayout w:type="fixed"/>
        <w:tblCellMar>
          <w:left w:w="62" w:type="dxa"/>
          <w:right w:w="62" w:type="dxa"/>
        </w:tblCellMar>
        <w:tblLook w:val="0000"/>
      </w:tblPr>
      <w:tblGrid>
        <w:gridCol w:w="1530"/>
        <w:gridCol w:w="6930"/>
      </w:tblGrid>
      <w:tr w:rsidTr="006E784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REQUIRED SKILLS AND KNOWLEDGE</w:t>
            </w:r>
          </w:p>
        </w:tc>
      </w:tr>
      <w:tr w:rsidTr="006E7844">
        <w:tblPrEx>
          <w:tblW w:w="0" w:type="auto"/>
          <w:tblLayout w:type="fixed"/>
          <w:tblCellMar>
            <w:left w:w="62" w:type="dxa"/>
            <w:right w:w="62" w:type="dxa"/>
          </w:tblCellMar>
          <w:tblLook w:val="0000"/>
        </w:tblPrEx>
        <w:trPr>
          <w:trHeight w:val="1807"/>
        </w:trPr>
        <w:tc>
          <w:tcPr>
            <w:tcW w:w="8460" w:type="dxa"/>
            <w:gridSpan w:val="2"/>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8)</w:t>
            </w:r>
            <w:r w:rsidRPr="00A74CFA">
              <w:t xml:space="preserve"> This describes the essential skills and knowledge and their level, required for this unit.</w:t>
            </w:r>
          </w:p>
          <w:p w:rsidR="00000000" w:rsidRPr="00A74CFA" w:rsidP="00A74CFA">
            <w:pPr>
              <w:pStyle w:val="BodyText"/>
            </w:pPr>
            <w:r w:rsidRPr="00A74CFA">
              <w:t>Evidence must show that knowledge has been acquired of verifying compliance and functionality of renewable energy installations.</w:t>
            </w:r>
          </w:p>
          <w:p w:rsidR="00000000" w:rsidP="00A74CFA">
            <w:pPr>
              <w:pStyle w:val="BodyText"/>
              <w:rPr>
                <w:lang w:val="en-NZ"/>
              </w:rPr>
            </w:pPr>
            <w:r w:rsidRPr="00A74CFA">
              <w:t>All knowledge and skills detailed i</w:t>
            </w:r>
            <w:r w:rsidRPr="00A74CFA">
              <w:t>n this unit should be contextualised to current industry practices and technologies.</w:t>
            </w:r>
          </w:p>
        </w:tc>
      </w:tr>
      <w:tr w:rsidTr="006E7844">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KS01-EK149A</w:t>
            </w:r>
          </w:p>
        </w:tc>
        <w:tc>
          <w:tcPr>
            <w:tcW w:w="69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RE installations, ELV installation requirements</w:t>
            </w:r>
          </w:p>
        </w:tc>
      </w:tr>
      <w:tr w:rsidTr="006E784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Evidence shall show an understanding of ELV renewable energy installation requirements to an extent indicated by the following aspects:</w:t>
            </w:r>
          </w:p>
        </w:tc>
      </w:tr>
      <w:tr w:rsidTr="006E784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T1</w:t>
            </w:r>
            <w:r w:rsidRPr="00A74CFA">
              <w:tab/>
              <w:t>RE installations, ELV installation requirements encompassing:</w:t>
            </w:r>
          </w:p>
          <w:p w:rsidR="00000000" w:rsidRPr="00A74CFA" w:rsidP="00A74CFA">
            <w:pPr>
              <w:pStyle w:val="ListBullet2"/>
            </w:pPr>
            <w:r w:rsidRPr="00A74CFA">
              <w:t>Requirements for installation of wiring and equipmen</w:t>
            </w:r>
            <w:r w:rsidRPr="00A74CFA">
              <w:t>t</w:t>
            </w:r>
          </w:p>
          <w:p w:rsidR="00000000" w:rsidRPr="00A74CFA" w:rsidP="00A74CFA">
            <w:pPr>
              <w:pStyle w:val="ListBullet2"/>
            </w:pPr>
            <w:r w:rsidRPr="00A74CFA">
              <w:t>Compliant methods for providing protection</w:t>
            </w:r>
          </w:p>
          <w:p w:rsidR="00000000" w:rsidRPr="00A74CFA" w:rsidP="00A74CFA">
            <w:pPr>
              <w:pStyle w:val="ListBullet2"/>
            </w:pPr>
            <w:r w:rsidRPr="00A74CFA">
              <w:t>Requirements for installation planning and selection of equipment</w:t>
            </w:r>
          </w:p>
          <w:p w:rsidR="00000000" w:rsidRPr="00A74CFA" w:rsidP="00A74CFA">
            <w:pPr>
              <w:pStyle w:val="ListBullet2"/>
            </w:pPr>
            <w:r w:rsidRPr="00A74CFA">
              <w:t>Testing and verification requirements</w:t>
            </w:r>
          </w:p>
          <w:p w:rsidR="00000000" w:rsidRPr="00A74CFA" w:rsidP="00A74CFA">
            <w:pPr>
              <w:pStyle w:val="ListBullet2"/>
            </w:pPr>
            <w:r w:rsidRPr="00A74CFA">
              <w:t>Documentation encompassing:</w:t>
            </w:r>
          </w:p>
          <w:p w:rsidR="00000000" w:rsidRPr="00A74CFA" w:rsidP="00A74CFA">
            <w:pPr>
              <w:pStyle w:val="ListBullet3"/>
            </w:pPr>
            <w:r w:rsidRPr="00A74CFA">
              <w:t>results of tests conducted that comply with requirements and ensure the RE - ELV installation is safe, including any formal documents of the results of testing required by authorities.</w:t>
            </w:r>
          </w:p>
          <w:p w:rsidR="00000000" w:rsidRPr="00A74CFA" w:rsidP="00A74CFA">
            <w:pPr>
              <w:pStyle w:val="ListBullet3"/>
            </w:pPr>
            <w:r w:rsidRPr="00A74CFA">
              <w:t>documents of periodic inspection and testing of RE - ELV wiring and equ</w:t>
            </w:r>
            <w:r w:rsidRPr="00A74CFA">
              <w:t>ipment including any tagging, in accordance with requirements.</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10" w:name="O_420079"/>
      <w:bookmarkEnd w:id="10"/>
      <w:r w:rsidRPr="00A74CFA">
        <w:t>Evidence Guide</w:t>
      </w:r>
    </w:p>
    <w:tbl>
      <w:tblPr>
        <w:tblW w:w="0" w:type="auto"/>
        <w:tblLayout w:type="fixed"/>
        <w:tblCellMar>
          <w:left w:w="62" w:type="dxa"/>
          <w:right w:w="62" w:type="dxa"/>
        </w:tblCellMar>
        <w:tblLook w:val="0000"/>
      </w:tblPr>
      <w:tblGrid>
        <w:gridCol w:w="8460"/>
      </w:tblGrid>
      <w:tr w:rsidTr="006E78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EVIDENCE GUIDE</w:t>
            </w:r>
          </w:p>
        </w:tc>
      </w:tr>
      <w:tr w:rsidTr="006E78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9)</w:t>
            </w:r>
            <w:r w:rsidRPr="00A74CFA">
              <w:t xml:space="preserve"> This provides essential advice for assessment of the unit of competency and must be read in conjunction </w:t>
            </w:r>
            <w:r w:rsidRPr="00A74CFA">
              <w:t>with the performance criteria and the range statement of the unit of competency and the Training Package Assessment Guidelines.</w:t>
            </w:r>
          </w:p>
          <w:p w:rsidR="00000000" w:rsidRPr="00A74CFA" w:rsidP="00A74CFA">
            <w:pPr>
              <w:pStyle w:val="BodyText"/>
            </w:pPr>
            <w:r w:rsidRPr="00A74CFA">
              <w:t xml:space="preserve">The Evidence Guide forms an integral part of this Competency Standard Unit and shall be used in conjunction with all components </w:t>
            </w:r>
            <w:r w:rsidRPr="00A74CFA">
              <w:t>parts of this unit and, performed in accordance with the Assessment Guidelines of this Training Package.</w:t>
            </w:r>
          </w:p>
        </w:tc>
      </w:tr>
    </w:tbl>
    <w:p w:rsidR="00000000" w:rsidRPr="00A74CFA" w:rsidP="00A74CFA">
      <w:pPr>
        <w:pStyle w:val="BodyText"/>
      </w:pPr>
    </w:p>
    <w:tbl>
      <w:tblPr>
        <w:tblW w:w="0" w:type="auto"/>
        <w:tblLayout w:type="fixed"/>
        <w:tblCellMar>
          <w:left w:w="62" w:type="dxa"/>
          <w:right w:w="62" w:type="dxa"/>
        </w:tblCellMar>
        <w:tblLook w:val="0000"/>
      </w:tblPr>
      <w:tblGrid>
        <w:gridCol w:w="1890"/>
        <w:gridCol w:w="6570"/>
      </w:tblGrid>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9.1)</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Longitudinal competency development approaches to assessment, such as Profiling, require data to be reliably gathered in a form that can be consistently interpreted over time. This approach is best utilised in Apprenticeship programs and reduces assessment</w:t>
            </w:r>
            <w:r w:rsidRPr="00A74CFA">
              <w:t xml:space="preserve"> intervention. It is the Industry’s preferred model for all training agreements. However, where summative (or final) assessment is used it is to include the application of the competency in the normal work environment or, at a minimum, the application of t</w:t>
            </w:r>
            <w:r w:rsidRPr="00A74CFA">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A74CFA" w:rsidP="00A74CFA">
            <w:pPr>
              <w:pStyle w:val="BodyText"/>
            </w:pPr>
            <w:r w:rsidRPr="00A74CFA">
              <w:t>Method</w:t>
            </w:r>
            <w:r w:rsidRPr="00A74CFA">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A74CFA">
              <w:t>may be required and the critical nature of the competencies being assessed.</w:t>
            </w:r>
          </w:p>
          <w:p w:rsidR="00000000" w:rsidRPr="00A74CFA" w:rsidP="00A74CFA">
            <w:pPr>
              <w:pStyle w:val="BodyText"/>
            </w:pPr>
            <w:r w:rsidRPr="00A74CFA">
              <w:t>The critical safety nature of working with electricity, electrical equipment, gas or any other hazardous substance/material carries risk in deeming a person competent. Hence, sourc</w:t>
            </w:r>
            <w:r w:rsidRPr="00A74CFA">
              <w:t>es of evidence need to be ‘rich’ in nature so as to minimise error in judgment.</w:t>
            </w:r>
          </w:p>
          <w:p w:rsidR="00000000" w:rsidRPr="00A74CFA" w:rsidP="00A74CFA">
            <w:pPr>
              <w:pStyle w:val="BodyText"/>
            </w:pPr>
            <w:r w:rsidRPr="00A74CFA">
              <w:t>Activities associated with normal every day work have a bearing on the decision as to how much and how detailed the data gathered will contribute to its ‘richness’. Some skills</w:t>
            </w:r>
            <w:r w:rsidRPr="00A74CFA">
              <w:t xml:space="preserve"> are more critical to safety and operational requirements while the same skills may be more or less frequently practiced. These points are raised for the assessors to consider when choosing an assessment method and developing assessment instruments. Sample</w:t>
            </w:r>
            <w:r w:rsidRPr="00A74CFA">
              <w:t xml:space="preserve"> assessment instruments are included for Assessors in the Assessment Guidelines of this Training Package.</w:t>
            </w:r>
          </w:p>
        </w:tc>
      </w:tr>
    </w:tbl>
    <w:p w:rsidR="00000000" w:rsidRPr="00A74CFA" w:rsidP="00A74CFA">
      <w:pPr>
        <w:pStyle w:val="BodyText"/>
      </w:pPr>
    </w:p>
    <w:tbl>
      <w:tblPr>
        <w:tblW w:w="0" w:type="auto"/>
        <w:tblLayout w:type="fixed"/>
        <w:tblCellMar>
          <w:left w:w="62" w:type="dxa"/>
          <w:right w:w="62" w:type="dxa"/>
        </w:tblCellMar>
        <w:tblLook w:val="0000"/>
      </w:tblPr>
      <w:tblGrid>
        <w:gridCol w:w="1890"/>
        <w:gridCol w:w="1530"/>
        <w:gridCol w:w="5040"/>
      </w:tblGrid>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9.2)</w:t>
            </w:r>
          </w:p>
        </w:tc>
      </w:tr>
      <w:tr w:rsidTr="006E7844">
        <w:tblPrEx>
          <w:tblW w:w="0" w:type="auto"/>
          <w:tblLayout w:type="fixed"/>
          <w:tblCellMar>
            <w:left w:w="62" w:type="dxa"/>
            <w:right w:w="62" w:type="dxa"/>
          </w:tblCellMar>
          <w:tblLook w:val="0000"/>
        </w:tblPrEx>
        <w:trPr>
          <w:trHeight w:val="72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Before the critical aspects of evidence are considered all prer</w:t>
            </w:r>
            <w:r w:rsidRPr="00A74CFA">
              <w:t>equisites shall be met.</w:t>
            </w:r>
          </w:p>
          <w:p w:rsidR="00000000" w:rsidRPr="00A74CFA" w:rsidP="00A74CFA">
            <w:pPr>
              <w:pStyle w:val="BodyText"/>
            </w:pPr>
            <w:r w:rsidRPr="00A74CFA">
              <w:t>The evidence on which competency in this unit is based shall be considered holistically for each element on at least two occasions comprising:</w:t>
            </w:r>
          </w:p>
          <w:p w:rsidR="00000000" w:rsidRPr="00A74CFA" w:rsidP="00A74CFA">
            <w:pPr>
              <w:pStyle w:val="ListBullet"/>
            </w:pPr>
            <w:r w:rsidRPr="00A74CFA">
              <w:t>A representative body of work performance demonstrated within the timeframes typically expected of the discipline, work function and industrial environment. In particular this shall incorporate evidence that shows a candidate is able to:</w:t>
            </w:r>
          </w:p>
          <w:p w:rsidR="00000000" w:rsidRPr="00A74CFA" w:rsidP="00A74CFA">
            <w:pPr>
              <w:pStyle w:val="ListBullet2"/>
            </w:pPr>
            <w:r w:rsidRPr="00A74CFA">
              <w:t>Implement Occupat</w:t>
            </w:r>
            <w:r w:rsidRPr="00A74CFA">
              <w:t>ional Health and Safety workplace procedures and practices including the use of risk control measures as specified in the performance criteria and range; and</w:t>
            </w:r>
          </w:p>
          <w:p w:rsidR="00000000" w:rsidRPr="00A74CFA" w:rsidP="00A74CFA">
            <w:pPr>
              <w:pStyle w:val="ListBullet2"/>
            </w:pPr>
            <w:r w:rsidRPr="00A74CFA">
              <w:t>Apply sustainable energy principles and practices as specified in the performance criteria and ran</w:t>
            </w:r>
            <w:r w:rsidRPr="00A74CFA">
              <w:t>ge; and</w:t>
            </w:r>
          </w:p>
          <w:p w:rsidR="00000000" w:rsidRPr="00A74CFA" w:rsidP="00A74CFA">
            <w:pPr>
              <w:pStyle w:val="ListBullet2"/>
            </w:pPr>
            <w:r w:rsidRPr="00A74CFA">
              <w:t>Demonstrate an understanding of the essential knowledge and associated skills as described in this unit.  It may be required by some jurisdictions that RTOs provide a percentile graded result for the purpose of regulatory or licensing requirements.</w:t>
            </w:r>
            <w:r w:rsidRPr="00A74CFA">
              <w:t xml:space="preserve"> and</w:t>
            </w:r>
          </w:p>
          <w:p w:rsidR="00000000" w:rsidRPr="00A74CFA" w:rsidP="00A74CFA">
            <w:pPr>
              <w:pStyle w:val="ListBullet2"/>
            </w:pPr>
            <w:r w:rsidRPr="00A74CFA">
              <w:t>Demonstrate an appropriate level of skills enabling employment; and</w:t>
            </w:r>
          </w:p>
          <w:p w:rsidR="00000000" w:rsidRPr="00A74CFA" w:rsidP="00A74CFA">
            <w:pPr>
              <w:pStyle w:val="ListBullet2"/>
            </w:pPr>
            <w:r w:rsidRPr="00A74CFA">
              <w:t>Conduct work observing the relevant Anti Discrimination legislation, regulations, polices and workplace procedures; and</w:t>
            </w:r>
          </w:p>
          <w:p w:rsidR="00000000" w:rsidRPr="00A74CFA" w:rsidP="00A74CFA">
            <w:pPr>
              <w:pStyle w:val="ListBullet"/>
            </w:pPr>
            <w:r w:rsidRPr="00A74CFA">
              <w:t>Demonstrated performance across a representative range of conte</w:t>
            </w:r>
            <w:r w:rsidRPr="00A74CFA">
              <w:t>xts from the prescribed items below:</w:t>
            </w:r>
          </w:p>
          <w:p w:rsidR="00000000" w:rsidP="00A74CFA">
            <w:pPr>
              <w:pStyle w:val="ListBullet2"/>
              <w:rPr>
                <w:lang w:val="en-NZ"/>
              </w:rPr>
            </w:pPr>
            <w:r w:rsidRPr="00A74CFA">
              <w:t>Verify compliance and functionality of renewable energy installations as described as described in 8) and including:</w:t>
            </w:r>
          </w:p>
        </w:tc>
      </w:tr>
      <w:tr w:rsidTr="006E784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A</w:t>
            </w:r>
          </w:p>
        </w:tc>
        <w:tc>
          <w:tcPr>
            <w:tcW w:w="50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Selecting correct tools and testing equipment.</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B</w:t>
            </w:r>
          </w:p>
        </w:tc>
        <w:tc>
          <w:tcPr>
            <w:tcW w:w="50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Identifying visual non-compliance defects.</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C</w:t>
            </w:r>
          </w:p>
        </w:tc>
        <w:tc>
          <w:tcPr>
            <w:tcW w:w="50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Using effective methods for conducting tests.</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D</w:t>
            </w:r>
          </w:p>
        </w:tc>
        <w:tc>
          <w:tcPr>
            <w:tcW w:w="50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Identifying non-compliance from test results.</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E</w:t>
            </w:r>
          </w:p>
        </w:tc>
        <w:tc>
          <w:tcPr>
            <w:tcW w:w="50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Identifying causes of non-compliance.</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F</w:t>
            </w:r>
          </w:p>
        </w:tc>
        <w:tc>
          <w:tcPr>
            <w:tcW w:w="504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Completing mandatory reporting.</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G</w:t>
            </w:r>
          </w:p>
        </w:tc>
        <w:tc>
          <w:tcPr>
            <w:tcW w:w="504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Dealing with unplanned events by drawing on essential knowledge and skills to provide appropriate solutions incorporated in the holistic assessment with the above listed items.</w:t>
            </w:r>
          </w:p>
        </w:tc>
      </w:tr>
    </w:tbl>
    <w:p w:rsidR="00000000" w:rsidRPr="00A74CFA" w:rsidP="00A74CFA">
      <w:pPr>
        <w:pStyle w:val="BodyText"/>
      </w:pPr>
    </w:p>
    <w:tbl>
      <w:tblPr>
        <w:tblW w:w="0" w:type="auto"/>
        <w:tblLayout w:type="fixed"/>
        <w:tblCellMar>
          <w:left w:w="62" w:type="dxa"/>
          <w:right w:w="62" w:type="dxa"/>
        </w:tblCellMar>
        <w:tblLook w:val="0000"/>
      </w:tblPr>
      <w:tblGrid>
        <w:gridCol w:w="1890"/>
        <w:gridCol w:w="6570"/>
      </w:tblGrid>
      <w:tr w:rsidTr="006E784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9.3)</w:t>
            </w:r>
          </w:p>
        </w:tc>
      </w:tr>
      <w:tr w:rsidTr="006E7844">
        <w:tblPrEx>
          <w:tblW w:w="0" w:type="auto"/>
          <w:tblLayout w:type="fixed"/>
          <w:tblCellMar>
            <w:left w:w="62" w:type="dxa"/>
            <w:right w:w="62" w:type="dxa"/>
          </w:tblCellMar>
          <w:tblLook w:val="0000"/>
        </w:tblPrEx>
        <w:trPr>
          <w:trHeight w:val="43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This unit should be assessed as it relates to normal work practice using procedures, information and resources typical of a workplace. This should include:</w:t>
            </w:r>
          </w:p>
          <w:p w:rsidR="00000000" w:rsidRPr="00A74CFA" w:rsidP="00A74CFA">
            <w:pPr>
              <w:pStyle w:val="ListBullet2"/>
            </w:pPr>
            <w:r w:rsidRPr="00A74CFA">
              <w:t>OHS policy and work procedures and instructions.</w:t>
            </w:r>
          </w:p>
          <w:p w:rsidR="00000000" w:rsidRPr="00A74CFA" w:rsidP="00A74CFA">
            <w:pPr>
              <w:pStyle w:val="ListBullet2"/>
            </w:pPr>
            <w:r w:rsidRPr="00A74CFA">
              <w:t>Suitable work environment, facilities, equipment a</w:t>
            </w:r>
            <w:r w:rsidRPr="00A74CFA">
              <w:t>nd materials to undertake actual work as prescribed by this competency standard unit.</w:t>
            </w:r>
          </w:p>
          <w:p w:rsidR="00000000" w:rsidRPr="00A74CFA" w:rsidP="00A74CFA">
            <w:pPr>
              <w:pStyle w:val="BodyText"/>
            </w:pPr>
            <w:r w:rsidRPr="00A74CFA">
              <w:t>Resources required to assess this unit are listed above in Context of assessment’, which should also be used in the formal learning/assessment environment.</w:t>
            </w:r>
          </w:p>
          <w:p w:rsidR="00000000" w:rsidRPr="00A74CFA" w:rsidP="00A74CFA">
            <w:pPr>
              <w:pStyle w:val="BodyText"/>
            </w:pPr>
            <w:r w:rsidRPr="00A74CFA">
              <w:t xml:space="preserve">Note: </w:t>
            </w:r>
            <w:r w:rsidRPr="00A74CFA">
              <w:br/>
              <w:t>Where s</w:t>
            </w:r>
            <w:r w:rsidRPr="00A74CFA">
              <w:t>imulation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A74CFA" w:rsidP="00A74CFA">
            <w:pPr>
              <w:pStyle w:val="BodyText"/>
            </w:pPr>
            <w:r w:rsidRPr="00A74CFA">
              <w:t>In addit</w:t>
            </w:r>
            <w:r w:rsidRPr="00A74CFA">
              <w:t>ion to the resources listed above in Context of and specific resources for assessment, evidence should show demonstrated competency in verifying compliance and functionality of general electrical installations.</w:t>
            </w:r>
          </w:p>
        </w:tc>
      </w:tr>
    </w:tbl>
    <w:p w:rsidR="00000000" w:rsidRPr="00A74CFA" w:rsidP="00A74CFA">
      <w:pPr>
        <w:pStyle w:val="BodyText"/>
      </w:pPr>
    </w:p>
    <w:tbl>
      <w:tblPr>
        <w:tblW w:w="0" w:type="auto"/>
        <w:tblLayout w:type="fixed"/>
        <w:tblCellMar>
          <w:left w:w="62" w:type="dxa"/>
          <w:right w:w="62" w:type="dxa"/>
        </w:tblCellMar>
        <w:tblLook w:val="0000"/>
      </w:tblPr>
      <w:tblGrid>
        <w:gridCol w:w="1890"/>
        <w:gridCol w:w="6570"/>
      </w:tblGrid>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9.4)</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This competency standard unit shall be assessed by methods given in Volume 1, Part 3 “Assessment Guidelines”.</w:t>
            </w:r>
          </w:p>
          <w:p w:rsidR="00000000" w:rsidRPr="00A74CFA" w:rsidP="00A74CFA">
            <w:pPr>
              <w:pStyle w:val="BodyText"/>
            </w:pPr>
            <w:r w:rsidRPr="00A74CFA">
              <w:t xml:space="preserve">Note: </w:t>
            </w:r>
          </w:p>
          <w:p w:rsidR="00000000" w:rsidRPr="00A74CFA" w:rsidP="00A74CFA">
            <w:pPr>
              <w:pStyle w:val="BodyText"/>
            </w:pPr>
            <w:r w:rsidRPr="00A74CFA">
              <w:t>Competent performance with inherent safe working practices is expected in the Industry to which this competency standard unit applies. This</w:t>
            </w:r>
            <w:r w:rsidRPr="00A74CFA">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A74CFA">
              <w:t>ate the essential knowledge and skills described in this unit.</w:t>
            </w:r>
          </w:p>
        </w:tc>
      </w:tr>
    </w:tbl>
    <w:p w:rsidR="00000000" w:rsidRPr="00A74CFA" w:rsidP="00A74CFA">
      <w:pPr>
        <w:pStyle w:val="BodyText"/>
      </w:pPr>
    </w:p>
    <w:tbl>
      <w:tblPr>
        <w:tblW w:w="0" w:type="auto"/>
        <w:tblLayout w:type="fixed"/>
        <w:tblCellMar>
          <w:left w:w="62" w:type="dxa"/>
          <w:right w:w="62" w:type="dxa"/>
        </w:tblCellMar>
        <w:tblLook w:val="0000"/>
      </w:tblPr>
      <w:tblGrid>
        <w:gridCol w:w="1890"/>
        <w:gridCol w:w="6570"/>
      </w:tblGrid>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9.5)</w:t>
            </w:r>
          </w:p>
        </w:tc>
      </w:tr>
      <w:tr w:rsidTr="006E7844">
        <w:tblPrEx>
          <w:tblW w:w="0" w:type="auto"/>
          <w:tblLayout w:type="fixed"/>
          <w:tblCellMar>
            <w:left w:w="62" w:type="dxa"/>
            <w:right w:w="62" w:type="dxa"/>
          </w:tblCellMar>
          <w:tblLook w:val="0000"/>
        </w:tblPrEx>
        <w:trPr>
          <w:trHeight w:val="39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t>There are no concurrent assessment recommendations for this unit.</w:t>
            </w:r>
          </w:p>
        </w:tc>
      </w:tr>
      <w:tr w:rsidTr="006E78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The critical aspects of occupational health and safety covered in unit UEENEEE101A and other discipline specific occupational health and safety units shall be incorporated in relation to this unit.</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11" w:name="O_420083"/>
      <w:bookmarkEnd w:id="11"/>
      <w:r w:rsidRPr="00A74CFA">
        <w:t>Range Statement</w:t>
      </w:r>
    </w:p>
    <w:tbl>
      <w:tblPr>
        <w:tblW w:w="0" w:type="auto"/>
        <w:tblLayout w:type="fixed"/>
        <w:tblCellMar>
          <w:left w:w="62" w:type="dxa"/>
          <w:right w:w="62" w:type="dxa"/>
        </w:tblCellMar>
        <w:tblLook w:val="0000"/>
      </w:tblPr>
      <w:tblGrid>
        <w:gridCol w:w="8460"/>
      </w:tblGrid>
      <w:tr w:rsidTr="006E78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RANGE STATEMENT</w:t>
            </w:r>
          </w:p>
        </w:tc>
      </w:tr>
      <w:tr w:rsidTr="006E78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10)</w:t>
            </w:r>
            <w:r w:rsidRPr="00A74CFA">
              <w:t xml:space="preserve"> Th</w:t>
            </w:r>
            <w:r w:rsidRPr="00A74CFA">
              <w:t>is relates to the unit of competency as a whole providing the range of contexts and conditions to which the performance criteria apply. It allows for different work environments and situations that will affect performance.</w:t>
            </w:r>
          </w:p>
          <w:p w:rsidR="00000000" w:rsidRPr="00A74CFA" w:rsidP="00A74CFA">
            <w:pPr>
              <w:pStyle w:val="BodyText"/>
            </w:pPr>
            <w:r w:rsidRPr="00A74CFA">
              <w:t>This competency standard unit sha</w:t>
            </w:r>
            <w:r w:rsidRPr="00A74CFA">
              <w:t>ll be demonstrated in relation to verifying compliance and functionality of at least two electrical installations comprising a PV Array of at least 450 W, a battery bank, an inverter, a battery charger (or Inverter/Charger) and a generating set with refere</w:t>
            </w:r>
            <w:r w:rsidRPr="00A74CFA">
              <w:t>nce to AS 4509, AS 4086 and AS/NZS 5033, AS 3010 including relevant sections of AS/NZS 3000.</w:t>
            </w:r>
          </w:p>
          <w:p w:rsidR="00000000" w:rsidRPr="00A74CFA" w:rsidP="00A74CFA">
            <w:pPr>
              <w:pStyle w:val="BodyText"/>
            </w:pPr>
            <w:r w:rsidRPr="00A74CFA">
              <w:t>Generic terms are used throughout this Vocational Standard shall be regarded as part of the Range of Variables in which competency is demonstrated. The definition of these and other terms that apply are given in Volume 2, Part 2.1.</w:t>
            </w:r>
          </w:p>
        </w:tc>
      </w:tr>
    </w:tbl>
    <w:p w:rsidR="00000000" w:rsidRPr="00A74CFA" w:rsidP="00A74CFA">
      <w:pPr>
        <w:pStyle w:val="BodyText"/>
      </w:pPr>
    </w:p>
    <w:p w:rsidR="00000000" w:rsidRPr="00A74CFA" w:rsidP="00A74CFA">
      <w:pPr>
        <w:pStyle w:val="AllowPageBreak"/>
      </w:pPr>
    </w:p>
    <w:p w:rsidR="00000000" w:rsidRPr="00A74CFA" w:rsidP="00A74CFA">
      <w:pPr>
        <w:pStyle w:val="Heading1"/>
      </w:pPr>
      <w:bookmarkStart w:id="12" w:name="O_420086"/>
      <w:bookmarkEnd w:id="12"/>
      <w:r w:rsidRPr="00A74CFA">
        <w:t xml:space="preserve">Unit </w:t>
      </w:r>
      <w:r w:rsidRPr="00A74CFA">
        <w:t>Sector(s)</w:t>
      </w:r>
    </w:p>
    <w:p w:rsidR="00000000" w:rsidRPr="00A74CFA" w:rsidP="00A74CFA">
      <w:pPr>
        <w:pStyle w:val="BodyText"/>
      </w:pPr>
      <w:r w:rsidRPr="00A74CFA">
        <w:t>Not applicable.</w:t>
      </w:r>
    </w:p>
    <w:p w:rsidR="00000000" w:rsidRPr="00A74CFA" w:rsidP="00A74CFA">
      <w:pPr>
        <w:pStyle w:val="AllowPageBreak"/>
      </w:pPr>
    </w:p>
    <w:p w:rsidR="00000000" w:rsidRPr="00A74CFA" w:rsidP="00A74CFA">
      <w:pPr>
        <w:pStyle w:val="Heading1"/>
      </w:pPr>
      <w:bookmarkStart w:id="13" w:name="O_420075"/>
      <w:bookmarkEnd w:id="13"/>
      <w:r w:rsidRPr="00A74CFA">
        <w:t>Competency Field</w:t>
      </w:r>
    </w:p>
    <w:tbl>
      <w:tblPr>
        <w:tblW w:w="0" w:type="auto"/>
        <w:tblLayout w:type="fixed"/>
        <w:tblCellMar>
          <w:left w:w="62" w:type="dxa"/>
          <w:right w:w="62" w:type="dxa"/>
        </w:tblCellMar>
        <w:tblLook w:val="0000"/>
      </w:tblPr>
      <w:tblGrid>
        <w:gridCol w:w="2700"/>
        <w:gridCol w:w="5760"/>
      </w:tblGrid>
      <w:tr w:rsidTr="006E78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74CFA">
            <w:pPr>
              <w:pStyle w:val="BodyText"/>
              <w:rPr>
                <w:lang w:val="en-NZ"/>
              </w:rPr>
            </w:pPr>
            <w:r w:rsidRPr="00A74CFA">
              <w:rPr>
                <w:rStyle w:val="SpecialBold"/>
              </w:rPr>
              <w:t xml:space="preserve">11) </w:t>
            </w:r>
          </w:p>
        </w:tc>
      </w:tr>
      <w:tr w:rsidTr="006E78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4CFA" w:rsidP="00A74CFA">
            <w:pPr>
              <w:pStyle w:val="BodyText"/>
            </w:pPr>
            <w:r w:rsidRPr="00A74CFA">
              <w:t>Renewable and Sustainable Energy</w:t>
            </w:r>
          </w:p>
        </w:tc>
      </w:tr>
    </w:tbl>
    <w:p w:rsidR="00000000" w:rsidRPr="00A74CFA" w:rsidP="00A74CFA">
      <w:pPr>
        <w:pStyle w:val="BodyText"/>
      </w:pPr>
    </w:p>
    <w:p w:rsidR="00000000" w:rsidRPr="00A74CFA" w:rsidP="00A74CFA"/>
    <w:sectPr w:rsidSect="00A74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844" w:rsidP="006E78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844" w:rsidP="00A74C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7844" w:rsidP="00A74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7844" w:rsidP="00A74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A" w:rsidRPr="006E7844" w:rsidP="006E78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844" w:rsidRPr="002D2AF8" w:rsidP="00A74CFA">
    <w:pPr>
      <w:pStyle w:val="Header"/>
      <w:framePr w:wrap="around"/>
    </w:pPr>
    <w:r>
      <w:fldChar w:fldCharType="begin"/>
    </w:r>
    <w:r>
      <w:instrText xml:space="preserve"> TITLE   \* MERGEFORMAT </w:instrText>
    </w:r>
    <w:r>
      <w:fldChar w:fldCharType="separate"/>
    </w:r>
    <w:r>
      <w:t>UEENEEK149A Verify compliance and functionality of a extra low voltage renewable energy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E7844" w:rsidP="00A74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69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E5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86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CFA"/>
    <w:pPr>
      <w:spacing w:before="360" w:after="60"/>
      <w:outlineLvl w:val="0"/>
    </w:pPr>
    <w:rPr>
      <w:sz w:val="32"/>
    </w:rPr>
  </w:style>
  <w:style w:type="paragraph" w:styleId="Heading2">
    <w:name w:val="heading 2"/>
    <w:basedOn w:val="HeadingBase"/>
    <w:next w:val="BodyText"/>
    <w:link w:val="Heading2Char"/>
    <w:qFormat/>
    <w:rsid w:val="00A74CFA"/>
    <w:pPr>
      <w:keepLines/>
      <w:spacing w:before="240" w:after="120"/>
      <w:outlineLvl w:val="1"/>
    </w:pPr>
    <w:rPr>
      <w:sz w:val="28"/>
      <w:szCs w:val="40"/>
    </w:rPr>
  </w:style>
  <w:style w:type="paragraph" w:styleId="Heading3">
    <w:name w:val="heading 3"/>
    <w:basedOn w:val="HeadingBase"/>
    <w:next w:val="BodyText"/>
    <w:link w:val="Heading3Char"/>
    <w:qFormat/>
    <w:rsid w:val="00A74CFA"/>
    <w:pPr>
      <w:spacing w:before="180" w:after="120"/>
      <w:outlineLvl w:val="2"/>
    </w:pPr>
    <w:rPr>
      <w:spacing w:val="-10"/>
      <w:kern w:val="32"/>
    </w:rPr>
  </w:style>
  <w:style w:type="paragraph" w:styleId="Heading4">
    <w:name w:val="heading 4"/>
    <w:basedOn w:val="HeadingBase"/>
    <w:next w:val="BodyText"/>
    <w:link w:val="Heading4Char"/>
    <w:qFormat/>
    <w:rsid w:val="00A74CFA"/>
    <w:pPr>
      <w:spacing w:before="160" w:after="120"/>
      <w:outlineLvl w:val="3"/>
    </w:pPr>
    <w:rPr>
      <w:sz w:val="22"/>
    </w:rPr>
  </w:style>
  <w:style w:type="paragraph" w:styleId="Heading5">
    <w:name w:val="heading 5"/>
    <w:basedOn w:val="HeadingBase"/>
    <w:next w:val="Normal"/>
    <w:link w:val="Heading5Char"/>
    <w:qFormat/>
    <w:rsid w:val="00A74CFA"/>
    <w:pPr>
      <w:spacing w:before="80"/>
      <w:outlineLvl w:val="4"/>
    </w:pPr>
    <w:rPr>
      <w:color w:val="918585"/>
      <w:sz w:val="20"/>
    </w:rPr>
  </w:style>
  <w:style w:type="paragraph" w:styleId="Heading6">
    <w:name w:val="heading 6"/>
    <w:basedOn w:val="HeadingBase"/>
    <w:next w:val="Normal"/>
    <w:link w:val="Heading6Char"/>
    <w:qFormat/>
    <w:rsid w:val="00A74CFA"/>
    <w:pPr>
      <w:spacing w:before="60"/>
      <w:outlineLvl w:val="5"/>
    </w:pPr>
    <w:rPr>
      <w:color w:val="918585"/>
      <w:sz w:val="20"/>
    </w:rPr>
  </w:style>
  <w:style w:type="paragraph" w:styleId="Heading7">
    <w:name w:val="heading 7"/>
    <w:basedOn w:val="Normal"/>
    <w:next w:val="Normal"/>
    <w:link w:val="Heading7Char"/>
    <w:qFormat/>
    <w:rsid w:val="00A74CFA"/>
    <w:pPr>
      <w:ind w:left="720"/>
      <w:outlineLvl w:val="6"/>
    </w:pPr>
    <w:rPr>
      <w:i/>
    </w:rPr>
  </w:style>
  <w:style w:type="paragraph" w:styleId="Heading8">
    <w:name w:val="heading 8"/>
    <w:basedOn w:val="Normal"/>
    <w:next w:val="Normal"/>
    <w:link w:val="Heading8Char"/>
    <w:qFormat/>
    <w:rsid w:val="00A74CFA"/>
    <w:pPr>
      <w:ind w:left="720"/>
      <w:outlineLvl w:val="7"/>
    </w:pPr>
    <w:rPr>
      <w:i/>
    </w:rPr>
  </w:style>
  <w:style w:type="paragraph" w:styleId="Heading9">
    <w:name w:val="heading 9"/>
    <w:basedOn w:val="Normal"/>
    <w:next w:val="Normal"/>
    <w:link w:val="Heading9Char"/>
    <w:qFormat/>
    <w:rsid w:val="00A74CFA"/>
    <w:pPr>
      <w:ind w:left="720"/>
      <w:outlineLvl w:val="8"/>
    </w:pPr>
    <w:rPr>
      <w:i/>
    </w:rPr>
  </w:style>
  <w:style w:type="character" w:default="1" w:styleId="DefaultParagraphFont">
    <w:name w:val="Default Paragraph Font"/>
    <w:uiPriority w:val="1"/>
    <w:unhideWhenUsed/>
    <w:rsid w:val="00A74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CFA"/>
  </w:style>
  <w:style w:type="character" w:customStyle="1" w:styleId="Heading1Char">
    <w:name w:val="Heading 1 Char"/>
    <w:basedOn w:val="DefaultParagraphFont"/>
    <w:link w:val="Heading1"/>
    <w:rsid w:val="00A74CFA"/>
    <w:rPr>
      <w:rFonts w:ascii="Times New Roman" w:eastAsia="Times New Roman" w:hAnsi="Times New Roman" w:cs="Times New Roman"/>
      <w:b/>
      <w:sz w:val="32"/>
      <w:szCs w:val="20"/>
      <w:lang w:eastAsia="en-US"/>
    </w:rPr>
  </w:style>
  <w:style w:type="paragraph" w:styleId="BodyText">
    <w:name w:val="Body Text"/>
    <w:basedOn w:val="Normal"/>
    <w:link w:val="BodyTextChar"/>
    <w:rsid w:val="00A74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4CFA"/>
    <w:rPr>
      <w:rFonts w:ascii="Times New Roman" w:eastAsia="Times New Roman" w:hAnsi="Times New Roman" w:cs="Times New Roman"/>
      <w:sz w:val="24"/>
      <w:lang w:eastAsia="en-US"/>
    </w:rPr>
  </w:style>
  <w:style w:type="paragraph" w:styleId="Footer">
    <w:name w:val="footer"/>
    <w:basedOn w:val="Normal"/>
    <w:link w:val="FooterChar"/>
    <w:rsid w:val="00A74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CFA"/>
    <w:rPr>
      <w:rFonts w:ascii="Times New Roman" w:eastAsia="Times New Roman" w:hAnsi="Times New Roman" w:cs="Times New Roman"/>
      <w:sz w:val="16"/>
      <w:lang w:eastAsia="en-US"/>
    </w:rPr>
  </w:style>
  <w:style w:type="paragraph" w:styleId="ListBullet">
    <w:name w:val="List Bullet"/>
    <w:basedOn w:val="List"/>
    <w:rsid w:val="00A74CFA"/>
    <w:pPr>
      <w:numPr>
        <w:numId w:val="14"/>
      </w:numPr>
      <w:tabs>
        <w:tab w:val="clear" w:pos="340"/>
      </w:tabs>
      <w:spacing w:before="40" w:after="40"/>
    </w:pPr>
  </w:style>
  <w:style w:type="character" w:customStyle="1" w:styleId="SpecialBold">
    <w:name w:val="Special Bold"/>
    <w:basedOn w:val="DefaultParagraphFont"/>
    <w:rsid w:val="00A74CFA"/>
    <w:rPr>
      <w:b/>
      <w:spacing w:val="0"/>
    </w:rPr>
  </w:style>
  <w:style w:type="paragraph" w:styleId="ListBullet2">
    <w:name w:val="List Bullet 2"/>
    <w:basedOn w:val="List2"/>
    <w:rsid w:val="00A74CFA"/>
    <w:pPr>
      <w:numPr>
        <w:numId w:val="15"/>
      </w:numPr>
      <w:tabs>
        <w:tab w:val="clear" w:pos="680"/>
      </w:tabs>
    </w:pPr>
  </w:style>
  <w:style w:type="paragraph" w:customStyle="1" w:styleId="SuperHeading">
    <w:name w:val="SuperHeading"/>
    <w:basedOn w:val="Normal"/>
    <w:rsid w:val="00A74CFA"/>
    <w:pPr>
      <w:spacing w:before="240" w:after="120"/>
      <w:outlineLvl w:val="0"/>
    </w:pPr>
    <w:rPr>
      <w:rFonts w:ascii="Times New Roman" w:hAnsi="Times New Roman"/>
      <w:b/>
      <w:sz w:val="28"/>
    </w:rPr>
  </w:style>
  <w:style w:type="paragraph" w:customStyle="1" w:styleId="AllowPageBreak">
    <w:name w:val="AllowPageBreak"/>
    <w:rsid w:val="00A74C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4CFA"/>
    <w:pPr>
      <w:numPr>
        <w:numId w:val="3"/>
      </w:numPr>
      <w:tabs>
        <w:tab w:val="clear" w:pos="1021"/>
      </w:tabs>
      <w:ind w:left="1037" w:hanging="357"/>
    </w:pPr>
  </w:style>
  <w:style w:type="character" w:customStyle="1" w:styleId="Heading2Char">
    <w:name w:val="Heading 2 Char"/>
    <w:basedOn w:val="DefaultParagraphFont"/>
    <w:link w:val="Heading2"/>
    <w:rsid w:val="00A74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CFA"/>
    <w:rPr>
      <w:rFonts w:ascii="Courier New" w:eastAsia="Times New Roman" w:hAnsi="Courier New" w:cs="Times New Roman"/>
      <w:i/>
      <w:szCs w:val="20"/>
      <w:lang w:eastAsia="en-US"/>
    </w:rPr>
  </w:style>
  <w:style w:type="paragraph" w:customStyle="1" w:styleId="HeadingBase">
    <w:name w:val="Heading Base"/>
    <w:rsid w:val="00A74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CFA"/>
    <w:pPr>
      <w:tabs>
        <w:tab w:val="right" w:leader="dot" w:pos="9072"/>
      </w:tabs>
      <w:ind w:left="567"/>
    </w:pPr>
    <w:rPr>
      <w:szCs w:val="22"/>
    </w:rPr>
  </w:style>
  <w:style w:type="paragraph" w:customStyle="1" w:styleId="TOCBase">
    <w:name w:val="TOC Base"/>
    <w:rsid w:val="00A74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CFA"/>
    <w:pPr>
      <w:tabs>
        <w:tab w:val="right" w:leader="dot" w:pos="9072"/>
      </w:tabs>
      <w:spacing w:before="40" w:after="40"/>
      <w:ind w:left="284"/>
    </w:pPr>
    <w:rPr>
      <w:rFonts w:ascii="Times New Roman" w:hAnsi="Times New Roman"/>
    </w:rPr>
  </w:style>
  <w:style w:type="paragraph" w:styleId="TOC1">
    <w:name w:val="toc 1"/>
    <w:basedOn w:val="TOCBase"/>
    <w:next w:val="Normal"/>
    <w:rsid w:val="00A74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CFA"/>
    <w:pPr>
      <w:spacing w:before="5040"/>
      <w:jc w:val="center"/>
    </w:pPr>
    <w:rPr>
      <w:sz w:val="48"/>
      <w:szCs w:val="72"/>
      <w:lang w:val="en-US"/>
    </w:rPr>
  </w:style>
  <w:style w:type="character" w:customStyle="1" w:styleId="TitleChar">
    <w:name w:val="Title Char"/>
    <w:basedOn w:val="DefaultParagraphFont"/>
    <w:link w:val="Title"/>
    <w:rsid w:val="00A74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CFA"/>
    <w:pPr>
      <w:tabs>
        <w:tab w:val="left" w:pos="3600"/>
        <w:tab w:val="left" w:pos="3958"/>
      </w:tabs>
    </w:pPr>
  </w:style>
  <w:style w:type="paragraph" w:styleId="List">
    <w:name w:val="List"/>
    <w:basedOn w:val="BodyText"/>
    <w:next w:val="BodyText"/>
    <w:rsid w:val="00A74CFA"/>
    <w:pPr>
      <w:tabs>
        <w:tab w:val="left" w:pos="340"/>
      </w:tabs>
      <w:spacing w:before="60" w:after="60"/>
      <w:ind w:left="340" w:hanging="340"/>
    </w:pPr>
  </w:style>
  <w:style w:type="paragraph" w:customStyle="1" w:styleId="Note">
    <w:name w:val="Note"/>
    <w:basedOn w:val="BodyText"/>
    <w:rsid w:val="00A74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CFA"/>
    <w:pPr>
      <w:framePr w:wrap="auto" w:hAnchor="text" w:y="6049"/>
    </w:pPr>
    <w:rPr>
      <w:color w:val="000000"/>
      <w:sz w:val="40"/>
    </w:rPr>
  </w:style>
  <w:style w:type="paragraph" w:customStyle="1" w:styleId="TOCTitle">
    <w:name w:val="TOCTitle"/>
    <w:basedOn w:val="Heading1"/>
    <w:rsid w:val="00A74CFA"/>
    <w:pPr>
      <w:spacing w:after="240"/>
      <w:jc w:val="center"/>
      <w:outlineLvl w:val="9"/>
    </w:pPr>
    <w:rPr>
      <w:caps/>
    </w:rPr>
  </w:style>
  <w:style w:type="paragraph" w:customStyle="1" w:styleId="Version">
    <w:name w:val="Version"/>
    <w:rsid w:val="00A74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CFA"/>
    <w:pPr>
      <w:keepNext w:val="0"/>
      <w:tabs>
        <w:tab w:val="right" w:pos="4176"/>
      </w:tabs>
      <w:ind w:left="198" w:hanging="198"/>
    </w:pPr>
    <w:rPr>
      <w:rFonts w:ascii="Garamond" w:hAnsi="Garamond"/>
    </w:rPr>
  </w:style>
  <w:style w:type="paragraph" w:styleId="IndexHeading">
    <w:name w:val="index heading"/>
    <w:basedOn w:val="Normal"/>
    <w:next w:val="Index1"/>
    <w:semiHidden/>
    <w:rsid w:val="00A74CFA"/>
    <w:pPr>
      <w:spacing w:before="120" w:after="120"/>
    </w:pPr>
    <w:rPr>
      <w:rFonts w:ascii="Arial" w:hAnsi="Arial"/>
      <w:b/>
      <w:color w:val="918585"/>
      <w:sz w:val="24"/>
    </w:rPr>
  </w:style>
  <w:style w:type="paragraph" w:styleId="Header">
    <w:name w:val="header"/>
    <w:basedOn w:val="Normal"/>
    <w:link w:val="HeaderChar"/>
    <w:rsid w:val="00A74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CFA"/>
    <w:rPr>
      <w:rFonts w:ascii="Times New Roman" w:eastAsia="Times New Roman" w:hAnsi="Times New Roman" w:cs="Times New Roman"/>
      <w:sz w:val="16"/>
      <w:szCs w:val="20"/>
      <w:lang w:val="en-GB" w:eastAsia="en-US"/>
    </w:rPr>
  </w:style>
  <w:style w:type="paragraph" w:customStyle="1" w:styleId="Chapter">
    <w:name w:val="Chapter"/>
    <w:basedOn w:val="Normal"/>
    <w:rsid w:val="00A74CFA"/>
    <w:pPr>
      <w:spacing w:before="240"/>
    </w:pPr>
    <w:rPr>
      <w:rFonts w:ascii="Times New Roman" w:hAnsi="Times New Roman"/>
      <w:smallCaps/>
      <w:spacing w:val="80"/>
      <w:sz w:val="28"/>
    </w:rPr>
  </w:style>
  <w:style w:type="paragraph" w:customStyle="1" w:styleId="InChapter">
    <w:name w:val="InChapter"/>
    <w:basedOn w:val="Heading3"/>
    <w:rsid w:val="00A74CFA"/>
    <w:pPr>
      <w:spacing w:after="240"/>
      <w:outlineLvl w:val="9"/>
    </w:pPr>
    <w:rPr>
      <w:noProof/>
    </w:rPr>
  </w:style>
  <w:style w:type="paragraph" w:styleId="Index2">
    <w:name w:val="index 2"/>
    <w:basedOn w:val="Normal"/>
    <w:next w:val="Normal"/>
    <w:semiHidden/>
    <w:rsid w:val="00A74CFA"/>
    <w:pPr>
      <w:tabs>
        <w:tab w:val="right" w:pos="4176"/>
      </w:tabs>
      <w:ind w:left="568" w:hanging="284"/>
    </w:pPr>
    <w:rPr>
      <w:rFonts w:ascii="Garamond" w:hAnsi="Garamond"/>
    </w:rPr>
  </w:style>
  <w:style w:type="paragraph" w:customStyle="1" w:styleId="Byline">
    <w:name w:val="Byline"/>
    <w:rsid w:val="00A74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CFA"/>
    <w:pPr>
      <w:tabs>
        <w:tab w:val="clear" w:pos="3600"/>
        <w:tab w:val="clear" w:pos="3958"/>
      </w:tabs>
      <w:jc w:val="right"/>
    </w:pPr>
  </w:style>
  <w:style w:type="character" w:styleId="Emphasis">
    <w:name w:val="Emphasis"/>
    <w:basedOn w:val="DefaultParagraphFont"/>
    <w:qFormat/>
    <w:rsid w:val="00A74CFA"/>
    <w:rPr>
      <w:i/>
    </w:rPr>
  </w:style>
  <w:style w:type="paragraph" w:styleId="Caption">
    <w:name w:val="caption"/>
    <w:basedOn w:val="BodyText"/>
    <w:next w:val="Normal"/>
    <w:qFormat/>
    <w:rsid w:val="00A74CFA"/>
    <w:pPr>
      <w:framePr w:w="2268" w:hSpace="181" w:vSpace="181" w:wrap="around" w:vAnchor="text" w:hAnchor="page" w:x="1135" w:y="285" w:anchorLock="1"/>
    </w:pPr>
    <w:rPr>
      <w:i/>
    </w:rPr>
  </w:style>
  <w:style w:type="paragraph" w:customStyle="1" w:styleId="MiniTOCTitle">
    <w:name w:val="MiniTOCTitle"/>
    <w:basedOn w:val="Heading4"/>
    <w:rsid w:val="00A74CFA"/>
    <w:pPr>
      <w:spacing w:before="240"/>
      <w:outlineLvl w:val="9"/>
    </w:pPr>
    <w:rPr>
      <w:noProof/>
      <w:sz w:val="24"/>
    </w:rPr>
  </w:style>
  <w:style w:type="paragraph" w:customStyle="1" w:styleId="MiniTOCItem">
    <w:name w:val="MiniTOCItem"/>
    <w:basedOn w:val="ListBullet"/>
    <w:rsid w:val="00A74CFA"/>
    <w:pPr>
      <w:numPr>
        <w:numId w:val="0"/>
      </w:numPr>
      <w:tabs>
        <w:tab w:val="right" w:leader="dot" w:pos="6521"/>
      </w:tabs>
      <w:spacing w:before="0" w:after="0"/>
    </w:pPr>
  </w:style>
  <w:style w:type="paragraph" w:customStyle="1" w:styleId="TOFTitle">
    <w:name w:val="TOFTitle"/>
    <w:basedOn w:val="TOCTitle"/>
    <w:rsid w:val="00A74CFA"/>
  </w:style>
  <w:style w:type="paragraph" w:styleId="TableofFigures">
    <w:name w:val="table of figures"/>
    <w:basedOn w:val="Normal"/>
    <w:next w:val="Normal"/>
    <w:semiHidden/>
    <w:rsid w:val="00A74CFA"/>
    <w:pPr>
      <w:tabs>
        <w:tab w:val="right" w:leader="dot" w:pos="9072"/>
      </w:tabs>
      <w:ind w:left="970" w:hanging="403"/>
    </w:pPr>
    <w:rPr>
      <w:rFonts w:ascii="Times New Roman" w:hAnsi="Times New Roman"/>
      <w:b/>
    </w:rPr>
  </w:style>
  <w:style w:type="paragraph" w:styleId="ListNumber">
    <w:name w:val="List Number"/>
    <w:basedOn w:val="List"/>
    <w:rsid w:val="00A74CFA"/>
    <w:pPr>
      <w:numPr>
        <w:numId w:val="12"/>
      </w:numPr>
    </w:pPr>
  </w:style>
  <w:style w:type="character" w:customStyle="1" w:styleId="WingdingSymbols">
    <w:name w:val="Wingding Symbols"/>
    <w:rsid w:val="00A74CFA"/>
    <w:rPr>
      <w:rFonts w:ascii="Wingdings" w:hAnsi="Wingdings"/>
    </w:rPr>
  </w:style>
  <w:style w:type="paragraph" w:customStyle="1" w:styleId="TableHeading">
    <w:name w:val="Table Heading"/>
    <w:basedOn w:val="HeadingBase"/>
    <w:rsid w:val="00A74CFA"/>
    <w:pPr>
      <w:keepLines/>
      <w:pBdr>
        <w:bottom w:val="single" w:sz="6" w:space="1" w:color="918585"/>
      </w:pBdr>
      <w:spacing w:before="240"/>
    </w:pPr>
  </w:style>
  <w:style w:type="character" w:customStyle="1" w:styleId="HotSpot">
    <w:name w:val="HotSpot"/>
    <w:rsid w:val="00A74CFA"/>
    <w:rPr>
      <w:color w:val="0033CC"/>
      <w:u w:val="none"/>
    </w:rPr>
  </w:style>
  <w:style w:type="paragraph" w:customStyle="1" w:styleId="BodyTextRight">
    <w:name w:val="Body Text Right"/>
    <w:basedOn w:val="BodyText"/>
    <w:rsid w:val="00A74CFA"/>
    <w:pPr>
      <w:spacing w:before="0" w:after="0"/>
      <w:jc w:val="right"/>
    </w:pPr>
  </w:style>
  <w:style w:type="paragraph" w:styleId="Index3">
    <w:name w:val="index 3"/>
    <w:basedOn w:val="ListNumber2"/>
    <w:next w:val="Normal"/>
    <w:semiHidden/>
    <w:rsid w:val="00A74CFA"/>
    <w:pPr>
      <w:numPr>
        <w:numId w:val="0"/>
      </w:numPr>
      <w:tabs>
        <w:tab w:val="right" w:leader="dot" w:pos="4176"/>
      </w:tabs>
    </w:pPr>
  </w:style>
  <w:style w:type="paragraph" w:styleId="ListNumber2">
    <w:name w:val="List Number 2"/>
    <w:basedOn w:val="List2"/>
    <w:rsid w:val="00A74CFA"/>
    <w:pPr>
      <w:numPr>
        <w:numId w:val="11"/>
      </w:numPr>
      <w:tabs>
        <w:tab w:val="clear" w:pos="1060"/>
      </w:tabs>
    </w:pPr>
  </w:style>
  <w:style w:type="paragraph" w:customStyle="1" w:styleId="MarginNote">
    <w:name w:val="Margin Note"/>
    <w:basedOn w:val="BodyText"/>
    <w:rsid w:val="00A74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CFA"/>
    <w:rPr>
      <w:sz w:val="32"/>
    </w:rPr>
  </w:style>
  <w:style w:type="paragraph" w:customStyle="1" w:styleId="HeadingProcedure">
    <w:name w:val="Heading Procedure"/>
    <w:basedOn w:val="HeadingBase"/>
    <w:next w:val="Normal"/>
    <w:rsid w:val="00A74CFA"/>
    <w:pPr>
      <w:tabs>
        <w:tab w:val="left" w:pos="0"/>
      </w:tabs>
      <w:spacing w:before="120" w:after="60"/>
    </w:pPr>
    <w:rPr>
      <w:i/>
      <w:color w:val="918585"/>
      <w:sz w:val="22"/>
    </w:rPr>
  </w:style>
  <w:style w:type="paragraph" w:customStyle="1" w:styleId="TableBodyText">
    <w:name w:val="Table Body Text"/>
    <w:basedOn w:val="BodyText"/>
    <w:rsid w:val="00A74CFA"/>
    <w:pPr>
      <w:spacing w:before="60" w:after="60"/>
    </w:pPr>
  </w:style>
  <w:style w:type="paragraph" w:styleId="ListContinue">
    <w:name w:val="List Continue"/>
    <w:basedOn w:val="List"/>
    <w:rsid w:val="00A74CFA"/>
    <w:pPr>
      <w:ind w:firstLine="0"/>
    </w:pPr>
  </w:style>
  <w:style w:type="paragraph" w:customStyle="1" w:styleId="ListNote">
    <w:name w:val="List Note"/>
    <w:basedOn w:val="List"/>
    <w:rsid w:val="00A74CFA"/>
    <w:pPr>
      <w:pBdr>
        <w:top w:val="single" w:sz="6" w:space="2" w:color="918585"/>
        <w:bottom w:val="single" w:sz="6" w:space="2" w:color="918585"/>
      </w:pBdr>
      <w:tabs>
        <w:tab w:val="left" w:pos="1021"/>
      </w:tabs>
      <w:ind w:firstLine="0"/>
    </w:pPr>
  </w:style>
  <w:style w:type="paragraph" w:customStyle="1" w:styleId="Warning">
    <w:name w:val="Warning"/>
    <w:basedOn w:val="BodyText"/>
    <w:rsid w:val="00A74CFA"/>
    <w:pPr>
      <w:shd w:val="clear" w:color="auto" w:fill="D9D9D9"/>
      <w:tabs>
        <w:tab w:val="left" w:pos="992"/>
      </w:tabs>
      <w:ind w:left="119" w:right="119"/>
    </w:pPr>
    <w:rPr>
      <w:sz w:val="20"/>
    </w:rPr>
  </w:style>
  <w:style w:type="paragraph" w:customStyle="1" w:styleId="MarginIcons">
    <w:name w:val="Margin Icons"/>
    <w:basedOn w:val="BodyText"/>
    <w:rsid w:val="00A74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CFA"/>
    <w:rPr>
      <w:rFonts w:ascii="Courier New" w:hAnsi="Courier New"/>
    </w:rPr>
  </w:style>
  <w:style w:type="paragraph" w:customStyle="1" w:styleId="NoteBullet">
    <w:name w:val="Note Bullet"/>
    <w:basedOn w:val="Note"/>
    <w:rsid w:val="00A74CFA"/>
    <w:pPr>
      <w:tabs>
        <w:tab w:val="clear" w:pos="680"/>
      </w:tabs>
      <w:spacing w:before="60" w:after="60"/>
    </w:pPr>
  </w:style>
  <w:style w:type="paragraph" w:customStyle="1" w:styleId="SubHeading2">
    <w:name w:val="SubHeading2"/>
    <w:basedOn w:val="HeadingBase"/>
    <w:rsid w:val="00A74CFA"/>
    <w:pPr>
      <w:spacing w:before="240" w:after="60"/>
    </w:pPr>
    <w:rPr>
      <w:sz w:val="20"/>
    </w:rPr>
  </w:style>
  <w:style w:type="paragraph" w:customStyle="1" w:styleId="SubHeading1">
    <w:name w:val="SubHeading1"/>
    <w:basedOn w:val="HeadingBase"/>
    <w:rsid w:val="00A74CFA"/>
    <w:pPr>
      <w:spacing w:before="240" w:after="60"/>
    </w:pPr>
    <w:rPr>
      <w:color w:val="918585"/>
      <w:sz w:val="22"/>
    </w:rPr>
  </w:style>
  <w:style w:type="paragraph" w:customStyle="1" w:styleId="SideHeading">
    <w:name w:val="Side Heading"/>
    <w:basedOn w:val="HeadingBase"/>
    <w:rsid w:val="00A74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CFA"/>
    <w:pPr>
      <w:numPr>
        <w:numId w:val="13"/>
      </w:numPr>
    </w:pPr>
  </w:style>
  <w:style w:type="paragraph" w:styleId="PlainText">
    <w:name w:val="Plain Text"/>
    <w:basedOn w:val="Normal"/>
    <w:link w:val="PlainTextChar"/>
    <w:rsid w:val="00A74CFA"/>
    <w:rPr>
      <w:sz w:val="20"/>
    </w:rPr>
  </w:style>
  <w:style w:type="character" w:customStyle="1" w:styleId="PlainTextChar">
    <w:name w:val="Plain Text Char"/>
    <w:basedOn w:val="DefaultParagraphFont"/>
    <w:link w:val="PlainText"/>
    <w:rsid w:val="00A74CFA"/>
    <w:rPr>
      <w:rFonts w:ascii="Courier New" w:eastAsia="Times New Roman" w:hAnsi="Courier New" w:cs="Times New Roman"/>
      <w:sz w:val="20"/>
      <w:szCs w:val="20"/>
      <w:lang w:eastAsia="en-US"/>
    </w:rPr>
  </w:style>
  <w:style w:type="character" w:customStyle="1" w:styleId="MenuOption">
    <w:name w:val="Menu Option"/>
    <w:basedOn w:val="DefaultParagraphFont"/>
    <w:rsid w:val="00A74CFA"/>
    <w:rPr>
      <w:b/>
      <w:smallCaps/>
    </w:rPr>
  </w:style>
  <w:style w:type="paragraph" w:customStyle="1" w:styleId="TableListNumber">
    <w:name w:val="Table List Number"/>
    <w:basedOn w:val="ListNumber"/>
    <w:rsid w:val="00A74CFA"/>
    <w:pPr>
      <w:numPr>
        <w:numId w:val="0"/>
      </w:numPr>
    </w:pPr>
  </w:style>
  <w:style w:type="paragraph" w:styleId="TOC4">
    <w:name w:val="toc 4"/>
    <w:basedOn w:val="TOCBase"/>
    <w:next w:val="Normal"/>
    <w:semiHidden/>
    <w:rsid w:val="00A74CFA"/>
    <w:pPr>
      <w:tabs>
        <w:tab w:val="right" w:leader="dot" w:pos="9071"/>
      </w:tabs>
      <w:ind w:left="1701"/>
    </w:pPr>
  </w:style>
  <w:style w:type="paragraph" w:customStyle="1" w:styleId="ListAlpha">
    <w:name w:val="List Alpha"/>
    <w:basedOn w:val="List"/>
    <w:rsid w:val="00A74CFA"/>
    <w:pPr>
      <w:numPr>
        <w:numId w:val="10"/>
      </w:numPr>
    </w:pPr>
  </w:style>
  <w:style w:type="paragraph" w:customStyle="1" w:styleId="ListAlpha2">
    <w:name w:val="List Alpha 2"/>
    <w:basedOn w:val="List2"/>
    <w:rsid w:val="00A74CFA"/>
    <w:pPr>
      <w:numPr>
        <w:numId w:val="9"/>
      </w:numPr>
    </w:pPr>
  </w:style>
  <w:style w:type="paragraph" w:styleId="List2">
    <w:name w:val="List 2"/>
    <w:basedOn w:val="BodyText"/>
    <w:rsid w:val="00A74CFA"/>
    <w:pPr>
      <w:tabs>
        <w:tab w:val="left" w:pos="680"/>
      </w:tabs>
      <w:spacing w:before="60" w:after="60"/>
      <w:ind w:left="680" w:hanging="340"/>
    </w:pPr>
  </w:style>
  <w:style w:type="paragraph" w:styleId="List3">
    <w:name w:val="List 3"/>
    <w:basedOn w:val="BodyText"/>
    <w:rsid w:val="00A74CFA"/>
    <w:pPr>
      <w:tabs>
        <w:tab w:val="left" w:pos="1021"/>
      </w:tabs>
      <w:spacing w:before="60" w:after="60"/>
      <w:ind w:left="1020" w:hanging="340"/>
    </w:pPr>
  </w:style>
  <w:style w:type="paragraph" w:styleId="List4">
    <w:name w:val="List 4"/>
    <w:basedOn w:val="BodyText"/>
    <w:rsid w:val="00A74CFA"/>
    <w:pPr>
      <w:tabs>
        <w:tab w:val="left" w:pos="1361"/>
      </w:tabs>
      <w:spacing w:before="60" w:after="60"/>
      <w:ind w:left="1361" w:hanging="340"/>
    </w:pPr>
  </w:style>
  <w:style w:type="paragraph" w:styleId="List5">
    <w:name w:val="List 5"/>
    <w:basedOn w:val="BodyText"/>
    <w:rsid w:val="00A74CFA"/>
    <w:pPr>
      <w:tabs>
        <w:tab w:val="left" w:pos="1701"/>
      </w:tabs>
      <w:spacing w:before="60" w:after="60"/>
      <w:ind w:left="1701" w:hanging="340"/>
    </w:pPr>
  </w:style>
  <w:style w:type="paragraph" w:styleId="ListBullet4">
    <w:name w:val="List Bullet 4"/>
    <w:basedOn w:val="List4"/>
    <w:rsid w:val="00A74CFA"/>
    <w:pPr>
      <w:numPr>
        <w:numId w:val="4"/>
      </w:numPr>
    </w:pPr>
  </w:style>
  <w:style w:type="paragraph" w:styleId="ListBullet5">
    <w:name w:val="List Bullet 5"/>
    <w:basedOn w:val="List5"/>
    <w:rsid w:val="00A74CFA"/>
    <w:pPr>
      <w:numPr>
        <w:numId w:val="5"/>
      </w:numPr>
    </w:pPr>
  </w:style>
  <w:style w:type="paragraph" w:styleId="ListContinue2">
    <w:name w:val="List Continue 2"/>
    <w:basedOn w:val="List2"/>
    <w:rsid w:val="00A74CFA"/>
    <w:pPr>
      <w:ind w:firstLine="0"/>
    </w:pPr>
  </w:style>
  <w:style w:type="paragraph" w:styleId="ListContinue3">
    <w:name w:val="List Continue 3"/>
    <w:basedOn w:val="List3"/>
    <w:rsid w:val="00A74CFA"/>
    <w:pPr>
      <w:ind w:left="1021" w:firstLine="0"/>
    </w:pPr>
  </w:style>
  <w:style w:type="paragraph" w:styleId="ListContinue4">
    <w:name w:val="List Continue 4"/>
    <w:basedOn w:val="List4"/>
    <w:rsid w:val="00A74CFA"/>
    <w:pPr>
      <w:ind w:firstLine="0"/>
    </w:pPr>
  </w:style>
  <w:style w:type="paragraph" w:styleId="ListContinue5">
    <w:name w:val="List Continue 5"/>
    <w:basedOn w:val="List5"/>
    <w:rsid w:val="00A74CFA"/>
    <w:pPr>
      <w:ind w:firstLine="0"/>
    </w:pPr>
  </w:style>
  <w:style w:type="paragraph" w:styleId="ListNumber3">
    <w:name w:val="List Number 3"/>
    <w:basedOn w:val="List3"/>
    <w:rsid w:val="00A74CFA"/>
    <w:pPr>
      <w:numPr>
        <w:numId w:val="6"/>
      </w:numPr>
    </w:pPr>
  </w:style>
  <w:style w:type="paragraph" w:styleId="ListNumber4">
    <w:name w:val="List Number 4"/>
    <w:basedOn w:val="List4"/>
    <w:rsid w:val="00A74CFA"/>
    <w:pPr>
      <w:numPr>
        <w:numId w:val="7"/>
      </w:numPr>
    </w:pPr>
  </w:style>
  <w:style w:type="paragraph" w:styleId="ListNumber5">
    <w:name w:val="List Number 5"/>
    <w:basedOn w:val="List5"/>
    <w:rsid w:val="00A74CFA"/>
    <w:pPr>
      <w:numPr>
        <w:numId w:val="8"/>
      </w:numPr>
    </w:pPr>
  </w:style>
  <w:style w:type="paragraph" w:styleId="BlockText">
    <w:name w:val="Block Text"/>
    <w:basedOn w:val="Normal"/>
    <w:rsid w:val="00A74CFA"/>
    <w:pPr>
      <w:spacing w:after="120"/>
      <w:ind w:left="1440" w:right="1440"/>
    </w:pPr>
  </w:style>
  <w:style w:type="character" w:customStyle="1" w:styleId="Subscript">
    <w:name w:val="Subscript"/>
    <w:basedOn w:val="DefaultParagraphFont"/>
    <w:rsid w:val="00A74CFA"/>
    <w:rPr>
      <w:sz w:val="16"/>
      <w:vertAlign w:val="subscript"/>
    </w:rPr>
  </w:style>
  <w:style w:type="character" w:customStyle="1" w:styleId="Superscript">
    <w:name w:val="Superscript"/>
    <w:basedOn w:val="DefaultParagraphFont"/>
    <w:rsid w:val="00A74CFA"/>
    <w:rPr>
      <w:sz w:val="16"/>
      <w:vertAlign w:val="superscript"/>
    </w:rPr>
  </w:style>
  <w:style w:type="character" w:customStyle="1" w:styleId="Symbols">
    <w:name w:val="Symbols"/>
    <w:basedOn w:val="DefaultParagraphFont"/>
    <w:rsid w:val="00A74CFA"/>
    <w:rPr>
      <w:rFonts w:ascii="Symbol" w:hAnsi="Symbol"/>
    </w:rPr>
  </w:style>
  <w:style w:type="character" w:customStyle="1" w:styleId="MenuOptions">
    <w:name w:val="Menu Options"/>
    <w:basedOn w:val="DefaultParagraphFont"/>
    <w:rsid w:val="00A74CFA"/>
    <w:rPr>
      <w:rFonts w:ascii="Arial Narrow" w:hAnsi="Arial Narrow"/>
      <w:smallCaps/>
    </w:rPr>
  </w:style>
  <w:style w:type="character" w:customStyle="1" w:styleId="Buttons">
    <w:name w:val="Buttons"/>
    <w:basedOn w:val="DefaultParagraphFont"/>
    <w:rsid w:val="00A74CFA"/>
    <w:rPr>
      <w:b/>
    </w:rPr>
  </w:style>
  <w:style w:type="character" w:customStyle="1" w:styleId="Underlined">
    <w:name w:val="Underlined"/>
    <w:basedOn w:val="DefaultParagraphFont"/>
    <w:rsid w:val="00A74CFA"/>
    <w:rPr>
      <w:u w:val="single"/>
    </w:rPr>
  </w:style>
  <w:style w:type="paragraph" w:customStyle="1" w:styleId="TableBodyTextRight">
    <w:name w:val="Table Body Text Right"/>
    <w:basedOn w:val="TableBodyText"/>
    <w:rsid w:val="00A74CFA"/>
    <w:pPr>
      <w:widowControl w:val="0"/>
      <w:autoSpaceDE w:val="0"/>
      <w:autoSpaceDN w:val="0"/>
      <w:adjustRightInd w:val="0"/>
      <w:jc w:val="right"/>
    </w:pPr>
    <w:rPr>
      <w:rFonts w:cs="Arial"/>
      <w:szCs w:val="18"/>
    </w:rPr>
  </w:style>
  <w:style w:type="paragraph" w:customStyle="1" w:styleId="CopyrightText">
    <w:name w:val="Copyright Text"/>
    <w:basedOn w:val="BodyText"/>
    <w:rsid w:val="00A74CFA"/>
    <w:rPr>
      <w:sz w:val="18"/>
    </w:rPr>
  </w:style>
  <w:style w:type="paragraph" w:customStyle="1" w:styleId="BodySmallRight">
    <w:name w:val="Body Small Right"/>
    <w:basedOn w:val="BodyTextRight"/>
    <w:rsid w:val="00A74CFA"/>
    <w:rPr>
      <w:sz w:val="18"/>
      <w:szCs w:val="18"/>
    </w:rPr>
  </w:style>
  <w:style w:type="paragraph" w:customStyle="1" w:styleId="MarginEdition">
    <w:name w:val="Margin Edition"/>
    <w:basedOn w:val="MarginNote"/>
    <w:rsid w:val="00A74CFA"/>
    <w:pPr>
      <w:spacing w:before="0" w:after="0"/>
    </w:pPr>
    <w:rPr>
      <w:rFonts w:ascii="Times New Roman" w:hAnsi="Times New Roman"/>
      <w:color w:val="999999"/>
    </w:rPr>
  </w:style>
  <w:style w:type="paragraph" w:customStyle="1" w:styleId="Spacer">
    <w:name w:val="Spacer"/>
    <w:basedOn w:val="Normal"/>
    <w:rsid w:val="00A74CFA"/>
    <w:rPr>
      <w:sz w:val="2"/>
      <w:szCs w:val="2"/>
    </w:rPr>
  </w:style>
  <w:style w:type="character" w:customStyle="1" w:styleId="Small">
    <w:name w:val="Small"/>
    <w:basedOn w:val="DefaultParagraphFont"/>
    <w:rsid w:val="00A74CFA"/>
    <w:rPr>
      <w:sz w:val="16"/>
    </w:rPr>
  </w:style>
  <w:style w:type="paragraph" w:customStyle="1" w:styleId="WideTable">
    <w:name w:val="Wide Table"/>
    <w:basedOn w:val="Normal"/>
    <w:rsid w:val="00A74CFA"/>
    <w:pPr>
      <w:ind w:left="-1418"/>
    </w:pPr>
    <w:rPr>
      <w:sz w:val="2"/>
      <w:szCs w:val="2"/>
    </w:rPr>
  </w:style>
  <w:style w:type="character" w:styleId="PageNumber">
    <w:name w:val="page number"/>
    <w:basedOn w:val="DefaultParagraphFont"/>
    <w:rsid w:val="00A74CFA"/>
  </w:style>
  <w:style w:type="paragraph" w:styleId="Quote">
    <w:name w:val="Quote"/>
    <w:basedOn w:val="Heading1"/>
    <w:link w:val="QuoteChar"/>
    <w:qFormat/>
    <w:rsid w:val="00A74CFA"/>
    <w:rPr>
      <w:b w:val="0"/>
      <w:sz w:val="72"/>
      <w:szCs w:val="72"/>
      <w:lang w:val="en-NZ"/>
    </w:rPr>
  </w:style>
  <w:style w:type="character" w:customStyle="1" w:styleId="QuoteChar">
    <w:name w:val="Quote Char"/>
    <w:basedOn w:val="DefaultParagraphFont"/>
    <w:link w:val="Quote"/>
    <w:rsid w:val="00A74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CFA"/>
    <w:pPr>
      <w:pageBreakBefore/>
    </w:pPr>
  </w:style>
  <w:style w:type="paragraph" w:customStyle="1" w:styleId="Border">
    <w:name w:val="Border"/>
    <w:basedOn w:val="Normal"/>
    <w:qFormat/>
    <w:rsid w:val="00A74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CFA"/>
    <w:rPr>
      <w:b/>
      <w:bCs/>
      <w:i/>
      <w:iCs/>
      <w:color w:val="auto"/>
    </w:rPr>
  </w:style>
  <w:style w:type="paragraph" w:styleId="IntenseQuote">
    <w:name w:val="Intense Quote"/>
    <w:basedOn w:val="Normal"/>
    <w:next w:val="Normal"/>
    <w:link w:val="IntenseQuoteChar"/>
    <w:uiPriority w:val="30"/>
    <w:qFormat/>
    <w:rsid w:val="00A74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CFA"/>
    <w:rPr>
      <w:smallCaps/>
      <w:color w:val="auto"/>
      <w:u w:val="single"/>
    </w:rPr>
  </w:style>
  <w:style w:type="character" w:styleId="IntenseReference">
    <w:name w:val="Intense Reference"/>
    <w:basedOn w:val="DefaultParagraphFont"/>
    <w:uiPriority w:val="32"/>
    <w:qFormat/>
    <w:rsid w:val="00A74CFA"/>
    <w:rPr>
      <w:b/>
      <w:bCs/>
      <w:smallCaps/>
      <w:color w:val="auto"/>
      <w:spacing w:val="5"/>
      <w:u w:val="single"/>
    </w:rPr>
  </w:style>
  <w:style w:type="paragraph" w:customStyle="1" w:styleId="2ColumnHeading">
    <w:name w:val="2Column Heading"/>
    <w:basedOn w:val="BodyText"/>
    <w:qFormat/>
    <w:rsid w:val="00A74CFA"/>
    <w:pPr>
      <w:spacing w:after="60"/>
      <w:ind w:left="-2268"/>
    </w:pPr>
    <w:rPr>
      <w:b/>
    </w:rPr>
  </w:style>
  <w:style w:type="paragraph" w:customStyle="1" w:styleId="Heading1TOC">
    <w:name w:val="Heading1 TOC"/>
    <w:basedOn w:val="Normal"/>
    <w:qFormat/>
    <w:rsid w:val="00A74CFA"/>
    <w:pPr>
      <w:spacing w:before="240" w:after="120"/>
    </w:pPr>
    <w:rPr>
      <w:rFonts w:ascii="Times New Roman" w:hAnsi="Times New Roman"/>
      <w:b/>
      <w:sz w:val="32"/>
    </w:rPr>
  </w:style>
  <w:style w:type="paragraph" w:customStyle="1" w:styleId="Heading2TOC">
    <w:name w:val="Heading2 TOC"/>
    <w:basedOn w:val="Normal"/>
    <w:qFormat/>
    <w:rsid w:val="00A74CFA"/>
    <w:pPr>
      <w:spacing w:before="240" w:after="60"/>
    </w:pPr>
    <w:rPr>
      <w:rFonts w:ascii="Times New Roman" w:hAnsi="Times New Roman"/>
      <w:b/>
      <w:sz w:val="28"/>
    </w:rPr>
  </w:style>
  <w:style w:type="character" w:customStyle="1" w:styleId="Underline">
    <w:name w:val="Underline"/>
    <w:basedOn w:val="DefaultParagraphFont"/>
    <w:qFormat/>
    <w:rsid w:val="00A74CFA"/>
    <w:rPr>
      <w:u w:val="single"/>
    </w:rPr>
  </w:style>
  <w:style w:type="character" w:customStyle="1" w:styleId="BoldandItalics">
    <w:name w:val="Bold and Italics"/>
    <w:qFormat/>
    <w:rsid w:val="00A74CFA"/>
    <w:rPr>
      <w:b/>
      <w:i/>
      <w:u w:val="none"/>
    </w:rPr>
  </w:style>
  <w:style w:type="paragraph" w:styleId="BalloonText">
    <w:name w:val="Balloon Text"/>
    <w:basedOn w:val="Normal"/>
    <w:link w:val="BalloonTextChar"/>
    <w:rsid w:val="00A74CFA"/>
    <w:rPr>
      <w:rFonts w:ascii="Tahoma" w:hAnsi="Tahoma" w:cs="Tahoma"/>
      <w:sz w:val="16"/>
      <w:szCs w:val="16"/>
    </w:rPr>
  </w:style>
  <w:style w:type="character" w:customStyle="1" w:styleId="BalloonTextChar">
    <w:name w:val="Balloon Text Char"/>
    <w:basedOn w:val="DefaultParagraphFont"/>
    <w:link w:val="BalloonText"/>
    <w:rsid w:val="00A74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4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CFA"/>
    <w:rPr>
      <w:b/>
      <w:color w:val="660033"/>
      <w:spacing w:val="0"/>
    </w:rPr>
  </w:style>
  <w:style w:type="paragraph" w:customStyle="1" w:styleId="Nameditemlist">
    <w:name w:val="Named item list"/>
    <w:basedOn w:val="BodyText"/>
    <w:qFormat/>
    <w:rsid w:val="00A74C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2195</Words>
  <Characters>13209</Characters>
  <Application>Microsoft Office Word</Application>
  <DocSecurity>0</DocSecurity>
  <Lines>544</Lines>
  <Paragraphs>206</Paragraphs>
  <ScaleCrop>false</ScaleCrop>
  <Company>Author-it Software Corporation Ltd.</Company>
  <LinksUpToDate>false</LinksUpToDate>
  <CharactersWithSpaces>15223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UEENEEK149A Verify compliance and functionality of a extra low voltage renewable energy installation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2012-10-11T18:41:00Z</dcterms:created>
  <dcterms:modified xsi:type="dcterms:W3CDTF">2012-10-11T18:41:00Z</dcterms:modified>
</cp:coreProperties>
</file>