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884" w:rsidP="000F7884">
      <w:pPr>
        <w:pStyle w:val="Title"/>
      </w:pPr>
      <w:r>
        <w:fldChar w:fldCharType="begin"/>
      </w:r>
      <w:r>
        <w:instrText xml:space="preserve"> TITLE   \* MERGEFORMAT </w:instrText>
      </w:r>
      <w:r>
        <w:fldChar w:fldCharType="separate"/>
      </w:r>
      <w:r>
        <w:t>UEENEEK146A Design energy management controls for electrical installations in buildings</w:t>
      </w:r>
      <w:r>
        <w:fldChar w:fldCharType="end"/>
      </w:r>
    </w:p>
    <w:p w:rsidR="000F7884" w:rsidP="000F7884">
      <w:pPr>
        <w:pStyle w:val="Version"/>
        <w:sectPr w:rsidSect="006A1F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1FE4" w:rsidP="006A1FE4">
      <w:pPr>
        <w:pStyle w:val="SuperHeading"/>
      </w:pPr>
      <w:r w:rsidRPr="006A1FE4">
        <w:t>UEENEEK146A Design energy management controls for electrical installations in buildings</w:t>
      </w:r>
    </w:p>
    <w:p w:rsidR="00000000" w:rsidRPr="006A1FE4" w:rsidP="006A1FE4">
      <w:pPr>
        <w:pStyle w:val="Heading1"/>
      </w:pPr>
      <w:bookmarkStart w:id="1" w:name="O_588746"/>
      <w:bookmarkEnd w:id="1"/>
      <w:r w:rsidRPr="006A1FE4">
        <w:t>Modification History</w:t>
      </w:r>
    </w:p>
    <w:p w:rsidR="00000000" w:rsidRPr="006A1FE4" w:rsidP="006A1FE4">
      <w:pPr>
        <w:pStyle w:val="BodyText"/>
      </w:pPr>
      <w:r w:rsidRPr="006A1FE4">
        <w:t>Not applicable.</w:t>
      </w:r>
    </w:p>
    <w:p w:rsidR="00000000" w:rsidRPr="006A1FE4" w:rsidP="006A1FE4">
      <w:pPr>
        <w:pStyle w:val="AllowPageBreak"/>
      </w:pPr>
    </w:p>
    <w:p w:rsidR="00000000" w:rsidRPr="006A1FE4" w:rsidP="006A1FE4">
      <w:pPr>
        <w:pStyle w:val="Heading1"/>
      </w:pPr>
      <w:bookmarkStart w:id="2" w:name="O_588745"/>
      <w:bookmarkEnd w:id="2"/>
      <w:r w:rsidRPr="006A1FE4">
        <w:t>Unit Descriptor</w:t>
      </w:r>
    </w:p>
    <w:tbl>
      <w:tblPr>
        <w:tblW w:w="0" w:type="auto"/>
        <w:tblLayout w:type="fixed"/>
        <w:tblCellMar>
          <w:left w:w="62" w:type="dxa"/>
          <w:right w:w="62" w:type="dxa"/>
        </w:tblCellMar>
        <w:tblLook w:val="0000"/>
      </w:tblPr>
      <w:tblGrid>
        <w:gridCol w:w="2700"/>
        <w:gridCol w:w="5760"/>
      </w:tblGrid>
      <w:tr w:rsidTr="000F78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1)</w:t>
            </w:r>
            <w:r w:rsidRPr="006A1FE4">
              <w:t xml:space="preserve"> </w:t>
            </w:r>
            <w:r w:rsidRPr="006A1FE4">
              <w:rPr>
                <w:rStyle w:val="SpecialBold"/>
              </w:rPr>
              <w:t>Scope:</w:t>
            </w:r>
          </w:p>
        </w:tc>
      </w:tr>
      <w:tr w:rsidTr="000F78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A1FE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1.1) Descriptor</w:t>
            </w:r>
          </w:p>
        </w:tc>
      </w:tr>
      <w:tr w:rsidTr="000F78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This competency standard unit covers designing and developing methods to reduce the energy use without compromising occupancy standards in new buildings and structures. The unit encompasses working safely, setting up and conducting evaluation measurements,</w:t>
            </w:r>
            <w:r w:rsidRPr="006A1FE4">
              <w:t xml:space="preserve"> predicting energy use from plans and specifications and designing and documenting strategies to effectively reduce energy use in the completed installation. It draws on some multi-disciplinary skills.</w:t>
            </w:r>
          </w:p>
        </w:tc>
      </w:tr>
    </w:tbl>
    <w:p w:rsidR="00000000" w:rsidRPr="006A1FE4" w:rsidP="006A1FE4">
      <w:pPr>
        <w:pStyle w:val="BodyText"/>
      </w:pPr>
    </w:p>
    <w:p w:rsidR="00000000" w:rsidRPr="006A1FE4" w:rsidP="006A1FE4">
      <w:pPr>
        <w:pStyle w:val="AllowPageBreak"/>
      </w:pPr>
    </w:p>
    <w:p w:rsidR="00000000" w:rsidRPr="006A1FE4" w:rsidP="006A1FE4">
      <w:pPr>
        <w:pStyle w:val="Heading1"/>
      </w:pPr>
      <w:bookmarkStart w:id="3" w:name="O_588744"/>
      <w:bookmarkEnd w:id="3"/>
      <w:r w:rsidRPr="006A1FE4">
        <w:t>Application of the Unit</w:t>
      </w:r>
    </w:p>
    <w:tbl>
      <w:tblPr>
        <w:tblW w:w="0" w:type="auto"/>
        <w:tblLayout w:type="fixed"/>
        <w:tblCellMar>
          <w:left w:w="62" w:type="dxa"/>
          <w:right w:w="62" w:type="dxa"/>
        </w:tblCellMar>
        <w:tblLook w:val="0000"/>
      </w:tblPr>
      <w:tblGrid>
        <w:gridCol w:w="2672"/>
        <w:gridCol w:w="5699"/>
      </w:tblGrid>
      <w:tr w:rsidTr="000F788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2)</w:t>
            </w:r>
          </w:p>
        </w:tc>
      </w:tr>
      <w:tr w:rsidTr="000F788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 xml:space="preserve">This competency standards unit is intended for competency development entry-level employment based programs incorporated in approved contracts of training. It is intended to apply to any formal recognition for this standard at </w:t>
            </w:r>
            <w:r w:rsidRPr="006A1FE4">
              <w:t>the aligned AQF 6.</w:t>
            </w:r>
          </w:p>
        </w:tc>
      </w:tr>
    </w:tbl>
    <w:p w:rsidR="00000000" w:rsidRPr="006A1FE4" w:rsidP="006A1FE4">
      <w:pPr>
        <w:pStyle w:val="BodyText"/>
      </w:pPr>
    </w:p>
    <w:p w:rsidR="00000000" w:rsidRPr="006A1FE4" w:rsidP="006A1FE4">
      <w:pPr>
        <w:pStyle w:val="AllowPageBreak"/>
      </w:pPr>
    </w:p>
    <w:p w:rsidR="00000000" w:rsidRPr="006A1FE4" w:rsidP="006A1FE4">
      <w:pPr>
        <w:pStyle w:val="Heading1"/>
      </w:pPr>
      <w:bookmarkStart w:id="4" w:name="O_588743"/>
      <w:bookmarkEnd w:id="4"/>
      <w:r w:rsidRPr="006A1FE4">
        <w:t>Licensing/Regulatory Information</w:t>
      </w:r>
    </w:p>
    <w:tbl>
      <w:tblPr>
        <w:tblW w:w="0" w:type="auto"/>
        <w:tblLayout w:type="fixed"/>
        <w:tblCellMar>
          <w:left w:w="62" w:type="dxa"/>
          <w:right w:w="62" w:type="dxa"/>
        </w:tblCellMar>
        <w:tblLook w:val="0000"/>
      </w:tblPr>
      <w:tblGrid>
        <w:gridCol w:w="2700"/>
        <w:gridCol w:w="5760"/>
      </w:tblGrid>
      <w:tr w:rsidTr="000F78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 xml:space="preserve">3) </w:t>
            </w:r>
          </w:p>
        </w:tc>
      </w:tr>
      <w:tr w:rsidTr="000F78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The skills and knowledge described in this unit do not require a licence to practice in the work place. However practice in this unit is subject to regulations</w:t>
            </w:r>
            <w:r w:rsidRPr="006A1FE4">
              <w:t xml:space="preserve"> directly related to occupational health and safe and contracts of </w:t>
            </w:r>
            <w:r w:rsidRPr="006A1FE4">
              <w:t>training such as new apprenticeships and the like.</w:t>
            </w:r>
          </w:p>
        </w:tc>
      </w:tr>
    </w:tbl>
    <w:p w:rsidR="00000000" w:rsidRPr="006A1FE4" w:rsidP="006A1FE4">
      <w:pPr>
        <w:pStyle w:val="BodyText"/>
      </w:pPr>
    </w:p>
    <w:p w:rsidR="00000000" w:rsidRPr="006A1FE4" w:rsidP="006A1FE4">
      <w:pPr>
        <w:pStyle w:val="AllowPageBreak"/>
      </w:pPr>
    </w:p>
    <w:p w:rsidR="00000000" w:rsidRPr="006A1FE4" w:rsidP="006A1FE4">
      <w:pPr>
        <w:pStyle w:val="Heading1"/>
      </w:pPr>
      <w:bookmarkStart w:id="5" w:name="O_588742"/>
      <w:bookmarkEnd w:id="5"/>
      <w:r w:rsidRPr="006A1FE4">
        <w:t>Pre-Requisites</w:t>
      </w:r>
    </w:p>
    <w:tbl>
      <w:tblPr>
        <w:tblW w:w="0" w:type="auto"/>
        <w:tblLayout w:type="fixed"/>
        <w:tblCellMar>
          <w:left w:w="62" w:type="dxa"/>
          <w:right w:w="62" w:type="dxa"/>
        </w:tblCellMar>
        <w:tblLook w:val="0000"/>
      </w:tblPr>
      <w:tblGrid>
        <w:gridCol w:w="2700"/>
        <w:gridCol w:w="1440"/>
        <w:gridCol w:w="4320"/>
      </w:tblGrid>
      <w:tr w:rsidTr="000F78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 xml:space="preserve">4) </w:t>
            </w:r>
          </w:p>
        </w:tc>
      </w:tr>
      <w:tr w:rsidTr="000F78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4.1)</w:t>
            </w:r>
          </w:p>
        </w:tc>
      </w:tr>
      <w:tr w:rsidTr="000F78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Granting competency in this unit shall be made only after competency in the following unit(s) has/have been confirmed.</w:t>
            </w:r>
          </w:p>
        </w:tc>
      </w:tr>
      <w:tr w:rsidTr="000F788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UEENEEK132A</w:t>
            </w:r>
          </w:p>
        </w:tc>
        <w:tc>
          <w:tcPr>
            <w:tcW w:w="432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Develop strategies to address environmental and sustainability issues in the energy sector</w:t>
            </w:r>
          </w:p>
        </w:tc>
      </w:tr>
    </w:tbl>
    <w:p w:rsidR="00000000" w:rsidRPr="006A1FE4" w:rsidP="006A1FE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F788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 xml:space="preserve">4.2) </w:t>
            </w:r>
          </w:p>
        </w:tc>
      </w:tr>
      <w:tr w:rsidTr="000F78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Participants are best equipped to achieve this unit if they have reading, writing and maths skills indicated by the following scales. Description of each scale is given in Volume 2, Part 3 “Literacy and Numeracy”</w:t>
            </w:r>
          </w:p>
        </w:tc>
      </w:tr>
      <w:tr w:rsidTr="000F78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Reading</w:t>
            </w:r>
          </w:p>
        </w:tc>
        <w:tc>
          <w:tcPr>
            <w:tcW w:w="81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5</w:t>
            </w:r>
          </w:p>
        </w:tc>
        <w:tc>
          <w:tcPr>
            <w:tcW w:w="99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Writing</w:t>
            </w: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5</w:t>
            </w:r>
          </w:p>
        </w:tc>
        <w:tc>
          <w:tcPr>
            <w:tcW w:w="12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Numeracy</w:t>
            </w:r>
          </w:p>
        </w:tc>
        <w:tc>
          <w:tcPr>
            <w:tcW w:w="72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5</w:t>
            </w:r>
          </w:p>
        </w:tc>
      </w:tr>
    </w:tbl>
    <w:p w:rsidR="00000000" w:rsidRPr="006A1FE4" w:rsidP="006A1FE4">
      <w:pPr>
        <w:pStyle w:val="BodyText"/>
      </w:pPr>
    </w:p>
    <w:p w:rsidR="00000000" w:rsidRPr="006A1FE4" w:rsidP="006A1FE4">
      <w:pPr>
        <w:pStyle w:val="AllowPageBreak"/>
      </w:pPr>
    </w:p>
    <w:p w:rsidR="00000000" w:rsidRPr="006A1FE4" w:rsidP="006A1FE4">
      <w:pPr>
        <w:pStyle w:val="Heading1"/>
      </w:pPr>
      <w:bookmarkStart w:id="6" w:name="O_588741"/>
      <w:bookmarkEnd w:id="6"/>
      <w:r w:rsidRPr="006A1FE4">
        <w:t>Employability Skills Information</w:t>
      </w:r>
    </w:p>
    <w:tbl>
      <w:tblPr>
        <w:tblW w:w="0" w:type="auto"/>
        <w:tblLayout w:type="fixed"/>
        <w:tblCellMar>
          <w:left w:w="62" w:type="dxa"/>
          <w:right w:w="62" w:type="dxa"/>
        </w:tblCellMar>
        <w:tblLook w:val="0000"/>
      </w:tblPr>
      <w:tblGrid>
        <w:gridCol w:w="2700"/>
        <w:gridCol w:w="5760"/>
      </w:tblGrid>
      <w:tr w:rsidTr="000F78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 xml:space="preserve">5) </w:t>
            </w:r>
          </w:p>
        </w:tc>
      </w:tr>
      <w:tr w:rsidTr="000F78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 xml:space="preserve">The required outcomes described in this unit of competency contain applicable facets of Employability Skills. The Employability Skills Summary </w:t>
            </w:r>
            <w:r w:rsidRPr="006A1FE4">
              <w:t>of the qualification in which this unit of competency is packaged will assist in identifying Employability Skill requirements.</w:t>
            </w:r>
          </w:p>
        </w:tc>
      </w:tr>
    </w:tbl>
    <w:p w:rsidR="00000000" w:rsidRPr="006A1FE4" w:rsidP="006A1FE4">
      <w:pPr>
        <w:pStyle w:val="BodyText"/>
      </w:pPr>
    </w:p>
    <w:p w:rsidR="00000000" w:rsidRPr="006A1FE4" w:rsidP="006A1FE4">
      <w:pPr>
        <w:pStyle w:val="AllowPageBreak"/>
      </w:pPr>
    </w:p>
    <w:p w:rsidR="00000000" w:rsidRPr="006A1FE4" w:rsidP="006A1FE4">
      <w:pPr>
        <w:pStyle w:val="Heading1"/>
      </w:pPr>
      <w:bookmarkStart w:id="7" w:name="O_588740"/>
      <w:bookmarkEnd w:id="7"/>
      <w:r w:rsidRPr="006A1FE4">
        <w:t>Elements and Performance Criteria Pre-Content</w:t>
      </w:r>
    </w:p>
    <w:tbl>
      <w:tblPr>
        <w:tblW w:w="0" w:type="auto"/>
        <w:tblLayout w:type="fixed"/>
        <w:tblCellMar>
          <w:left w:w="62" w:type="dxa"/>
          <w:right w:w="62" w:type="dxa"/>
        </w:tblCellMar>
        <w:tblLook w:val="0000"/>
      </w:tblPr>
      <w:tblGrid>
        <w:gridCol w:w="2700"/>
        <w:gridCol w:w="5760"/>
      </w:tblGrid>
      <w:tr w:rsidTr="000F78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6)</w:t>
            </w:r>
            <w:r w:rsidRPr="006A1FE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Performance Criteria describe the required performance needed to demonstrate achievement of the element. Assessment of performance is to be consistent with the Evidence Guide.</w:t>
            </w:r>
          </w:p>
        </w:tc>
      </w:tr>
    </w:tbl>
    <w:p w:rsidR="00000000" w:rsidRPr="006A1FE4" w:rsidP="006A1FE4">
      <w:pPr>
        <w:pStyle w:val="BodyText"/>
      </w:pPr>
    </w:p>
    <w:p w:rsidR="00000000" w:rsidRPr="006A1FE4" w:rsidP="006A1FE4">
      <w:pPr>
        <w:pStyle w:val="AllowPageBreak"/>
      </w:pPr>
    </w:p>
    <w:p w:rsidR="00000000" w:rsidRPr="006A1FE4" w:rsidP="006A1FE4">
      <w:pPr>
        <w:pStyle w:val="Heading1"/>
      </w:pPr>
      <w:bookmarkStart w:id="8" w:name="O_588739"/>
      <w:bookmarkEnd w:id="8"/>
      <w:r w:rsidRPr="006A1FE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F788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PERFORMANCE CRITERIA</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1</w:t>
            </w:r>
          </w:p>
        </w:tc>
        <w:tc>
          <w:tcPr>
            <w:tcW w:w="2296" w:type="dxa"/>
            <w:vMerge w:val="restart"/>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Prepare to design energy management techniques for electrical installations in buildings</w:t>
            </w: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1.1</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 xml:space="preserve">OHS procedures for a given work area are obtained and understood. </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1.2</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Established OHS risk control measures and procedures in preparation for the work are followed.</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1.3</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 xml:space="preserve">The extent of the electrical design is determined from specifications of building and its services, plant and machinery and discussion with </w:t>
            </w:r>
            <w:r w:rsidRPr="006A1FE4">
              <w:t>appropriate personnel.</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1.4</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Advice is sought from allied trade’s areas (e.g. air conditioning) on required energy usage and system design.</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1.5</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 xml:space="preserve">Advice is sought from the work supervisor to ensure the work is co-ordinated effectively with others. </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1.6</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Tools, testing devices, and materials needed to carry out the work are obtained and checked for correct operation and safety.</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2</w:t>
            </w:r>
          </w:p>
        </w:tc>
        <w:tc>
          <w:tcPr>
            <w:tcW w:w="2296" w:type="dxa"/>
            <w:vMerge w:val="restart"/>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Design energy management techniques for electrical installations in buildings</w:t>
            </w: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2.1</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 xml:space="preserve">OHS risk control measures and procedures </w:t>
            </w:r>
            <w:r w:rsidRPr="006A1FE4">
              <w:t>for carrying out the work are followed.</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2.2</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Tests and measurements are carried out in strict accordance with OHS requirements safety procedures.</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2.3</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In-depth knowledge of the energy use of building services, plant and machinery is applied to the design process</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2.4</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Energy evaluation tests are set up in accordance with established test methods and procedures for each particular parameter under scrutin</w:t>
            </w:r>
            <w:r w:rsidRPr="006A1FE4">
              <w:t>y.</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2.5</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Strategies to reduce energy use without compromising occupancy standards are developed from knowledge of energy management and evaluation test results.</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2.6</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Unexpected situations are dealt with safely and with the approval of an authorised person.</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2.7</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Design and evaluation is carried out without unnecessary damage to systems, circuits, the surrounding environment or services and using sustainable energy pra</w:t>
            </w:r>
            <w:r w:rsidRPr="006A1FE4">
              <w:t>ctices.</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3</w:t>
            </w:r>
          </w:p>
        </w:tc>
        <w:tc>
          <w:tcPr>
            <w:tcW w:w="2296" w:type="dxa"/>
            <w:vMerge w:val="restart"/>
            <w:tcBorders>
              <w:top w:val="nil"/>
              <w:left w:val="nil"/>
              <w:bottom w:val="single" w:sz="4" w:space="0" w:color="auto"/>
              <w:right w:val="nil"/>
            </w:tcBorders>
            <w:tcMar>
              <w:top w:w="0" w:type="dxa"/>
              <w:left w:w="62" w:type="dxa"/>
              <w:bottom w:w="0" w:type="dxa"/>
              <w:right w:w="62" w:type="dxa"/>
            </w:tcMar>
          </w:tcPr>
          <w:p w:rsidR="00000000" w:rsidP="006A1FE4">
            <w:pPr>
              <w:pStyle w:val="BodyText"/>
              <w:rPr>
                <w:lang w:val="en-NZ"/>
              </w:rPr>
            </w:pPr>
            <w:r w:rsidRPr="006A1FE4">
              <w:t>Design energy management techniques for electrical installations in buildings</w:t>
            </w: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3.1</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OHS work completion risk control measures and procedures are followed.</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3.2</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Work site is cleaned and made safe in accordance with established procedures.</w:t>
            </w:r>
          </w:p>
        </w:tc>
      </w:tr>
      <w:tr w:rsidTr="000F788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3.3</w:t>
            </w:r>
          </w:p>
        </w:tc>
        <w:tc>
          <w:tcPr>
            <w:tcW w:w="48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 xml:space="preserve">Results of design and recommended strategies and their criterion for energy reduction are documented in accordance with established procedures. </w:t>
            </w:r>
          </w:p>
        </w:tc>
      </w:tr>
      <w:tr w:rsidTr="000F7884">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3.4</w:t>
            </w:r>
          </w:p>
        </w:tc>
        <w:tc>
          <w:tcPr>
            <w:tcW w:w="486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Plans, wiring diagrams and specifications are forwarded to appropriate persons.</w:t>
            </w:r>
          </w:p>
        </w:tc>
      </w:tr>
    </w:tbl>
    <w:p w:rsidR="00000000" w:rsidRPr="006A1FE4" w:rsidP="006A1FE4">
      <w:pPr>
        <w:pStyle w:val="BodyText"/>
      </w:pPr>
    </w:p>
    <w:p w:rsidR="00000000" w:rsidRPr="006A1FE4" w:rsidP="006A1FE4">
      <w:pPr>
        <w:pStyle w:val="AllowPageBreak"/>
      </w:pPr>
    </w:p>
    <w:p w:rsidR="00000000" w:rsidRPr="006A1FE4" w:rsidP="006A1FE4">
      <w:pPr>
        <w:pStyle w:val="Heading1"/>
      </w:pPr>
      <w:bookmarkStart w:id="9" w:name="O_588738"/>
      <w:bookmarkEnd w:id="9"/>
      <w:r w:rsidRPr="006A1FE4">
        <w:t>Requi</w:t>
      </w:r>
      <w:r w:rsidRPr="006A1FE4">
        <w:t>red Skills and Knowledge</w:t>
      </w:r>
    </w:p>
    <w:tbl>
      <w:tblPr>
        <w:tblW w:w="0" w:type="auto"/>
        <w:tblLayout w:type="fixed"/>
        <w:tblCellMar>
          <w:left w:w="62" w:type="dxa"/>
          <w:right w:w="62" w:type="dxa"/>
        </w:tblCellMar>
        <w:tblLook w:val="0000"/>
      </w:tblPr>
      <w:tblGrid>
        <w:gridCol w:w="1620"/>
        <w:gridCol w:w="6840"/>
      </w:tblGrid>
      <w:tr w:rsidTr="000F788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REQUIRED SKILLS AND KNOWLEDGE</w:t>
            </w:r>
          </w:p>
        </w:tc>
      </w:tr>
      <w:tr w:rsidTr="000F7884">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8)</w:t>
            </w:r>
            <w:r w:rsidRPr="006A1FE4">
              <w:t xml:space="preserve"> This describes the essential skills and knowledge and their level, required for this unit.</w:t>
            </w:r>
          </w:p>
          <w:p w:rsidR="00000000" w:rsidRPr="006A1FE4" w:rsidP="006A1FE4">
            <w:pPr>
              <w:pStyle w:val="BodyText"/>
            </w:pPr>
            <w:r w:rsidRPr="006A1FE4">
              <w:t>Evidence shall show that knowledge has been acquire</w:t>
            </w:r>
            <w:r w:rsidRPr="006A1FE4">
              <w:t>d of safe working practices and designing energy management controls for electrical installations in buildings.</w:t>
            </w:r>
          </w:p>
          <w:p w:rsidR="00000000" w:rsidP="006A1FE4">
            <w:pPr>
              <w:pStyle w:val="BodyText"/>
              <w:rPr>
                <w:lang w:val="en-NZ"/>
              </w:rPr>
            </w:pPr>
            <w:r w:rsidRPr="006A1FE4">
              <w:t>All knowledge and skills detailed in this unit should be contextualised to current industry practices and technologies.</w:t>
            </w:r>
          </w:p>
        </w:tc>
      </w:tr>
      <w:tr w:rsidTr="000F7884">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KS01-EK146A</w:t>
            </w:r>
          </w:p>
        </w:tc>
        <w:tc>
          <w:tcPr>
            <w:tcW w:w="684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Building m</w:t>
            </w:r>
            <w:r w:rsidRPr="006A1FE4">
              <w:rPr>
                <w:rStyle w:val="SpecialBold"/>
              </w:rPr>
              <w:t>anagement control systems</w:t>
            </w:r>
          </w:p>
        </w:tc>
      </w:tr>
      <w:tr w:rsidTr="000F788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Evidence shall show an understanding of building management systems to an extent indicated by the following aspects:</w:t>
            </w:r>
          </w:p>
        </w:tc>
      </w:tr>
      <w:tr w:rsidTr="000F788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T1</w:t>
            </w:r>
            <w:r w:rsidRPr="006A1FE4">
              <w:tab/>
              <w:t>Functions of a BMS encompassing:</w:t>
            </w:r>
          </w:p>
          <w:p w:rsidR="00000000" w:rsidRPr="006A1FE4" w:rsidP="006A1FE4">
            <w:pPr>
              <w:pStyle w:val="ListBullet2"/>
            </w:pPr>
            <w:r w:rsidRPr="006A1FE4">
              <w:t>autonomous functions</w:t>
            </w:r>
          </w:p>
          <w:p w:rsidR="00000000" w:rsidRPr="006A1FE4" w:rsidP="006A1FE4">
            <w:pPr>
              <w:pStyle w:val="ListBullet2"/>
            </w:pPr>
            <w:r w:rsidRPr="006A1FE4">
              <w:t>input</w:t>
            </w:r>
          </w:p>
          <w:p w:rsidR="00000000" w:rsidRPr="006A1FE4" w:rsidP="006A1FE4">
            <w:pPr>
              <w:pStyle w:val="ListBullet2"/>
            </w:pPr>
            <w:r w:rsidRPr="006A1FE4">
              <w:t>output</w:t>
            </w:r>
          </w:p>
          <w:p w:rsidR="00000000" w:rsidRPr="006A1FE4" w:rsidP="006A1FE4">
            <w:pPr>
              <w:pStyle w:val="ListBullet2"/>
            </w:pPr>
            <w:r w:rsidRPr="006A1FE4">
              <w:t>general I/O</w:t>
            </w:r>
          </w:p>
          <w:p w:rsidR="00000000" w:rsidRPr="006A1FE4" w:rsidP="006A1FE4">
            <w:pPr>
              <w:pStyle w:val="ListBullet2"/>
            </w:pPr>
            <w:r w:rsidRPr="006A1FE4">
              <w:t>installation management items</w:t>
            </w:r>
          </w:p>
          <w:p w:rsidR="00000000" w:rsidRPr="006A1FE4" w:rsidP="006A1FE4">
            <w:pPr>
              <w:pStyle w:val="ListBullet2"/>
            </w:pPr>
            <w:r w:rsidRPr="006A1FE4">
              <w:t>energy management</w:t>
            </w:r>
          </w:p>
          <w:p w:rsidR="00000000" w:rsidRPr="006A1FE4" w:rsidP="006A1FE4">
            <w:pPr>
              <w:pStyle w:val="ListBullet2"/>
            </w:pPr>
            <w:r w:rsidRPr="006A1FE4">
              <w:t>risk management</w:t>
            </w:r>
          </w:p>
          <w:p w:rsidR="00000000" w:rsidRPr="006A1FE4" w:rsidP="006A1FE4">
            <w:pPr>
              <w:pStyle w:val="ListBullet2"/>
            </w:pPr>
            <w:r w:rsidRPr="006A1FE4">
              <w:t>information processing</w:t>
            </w:r>
          </w:p>
          <w:p w:rsidR="00000000" w:rsidRPr="006A1FE4" w:rsidP="006A1FE4">
            <w:pPr>
              <w:pStyle w:val="ListBullet2"/>
            </w:pPr>
            <w:r w:rsidRPr="006A1FE4">
              <w:t>objectives</w:t>
            </w:r>
          </w:p>
          <w:p w:rsidR="00000000" w:rsidRPr="006A1FE4" w:rsidP="006A1FE4">
            <w:pPr>
              <w:pStyle w:val="ListBullet2"/>
            </w:pPr>
            <w:r w:rsidRPr="006A1FE4">
              <w:t>building running costs</w:t>
            </w:r>
          </w:p>
          <w:p w:rsidR="00000000" w:rsidP="006A1FE4">
            <w:pPr>
              <w:pStyle w:val="ListBullet2"/>
              <w:rPr>
                <w:lang w:val="en-NZ"/>
              </w:rPr>
            </w:pPr>
            <w:r w:rsidRPr="006A1FE4">
              <w:t>smoke control as per AS 1668 part 1</w:t>
            </w:r>
          </w:p>
        </w:tc>
      </w:tr>
      <w:tr w:rsidTr="000F788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T2</w:t>
            </w:r>
            <w:r w:rsidRPr="006A1FE4">
              <w:tab/>
              <w:t>BMS hardware encompassing:</w:t>
            </w:r>
          </w:p>
          <w:p w:rsidR="00000000" w:rsidRPr="006A1FE4" w:rsidP="006A1FE4">
            <w:pPr>
              <w:pStyle w:val="ListBullet2"/>
            </w:pPr>
            <w:r w:rsidRPr="006A1FE4">
              <w:t>system architecture</w:t>
            </w:r>
          </w:p>
          <w:p w:rsidR="00000000" w:rsidRPr="006A1FE4" w:rsidP="006A1FE4">
            <w:pPr>
              <w:pStyle w:val="ListBullet2"/>
            </w:pPr>
            <w:r w:rsidRPr="006A1FE4">
              <w:t>communication devices</w:t>
            </w:r>
          </w:p>
          <w:p w:rsidR="00000000" w:rsidRPr="006A1FE4" w:rsidP="006A1FE4">
            <w:pPr>
              <w:pStyle w:val="ListBullet2"/>
            </w:pPr>
            <w:r w:rsidRPr="006A1FE4">
              <w:t>substations</w:t>
            </w:r>
          </w:p>
          <w:p w:rsidR="00000000" w:rsidRPr="006A1FE4" w:rsidP="006A1FE4">
            <w:pPr>
              <w:pStyle w:val="ListBullet2"/>
            </w:pPr>
            <w:r w:rsidRPr="006A1FE4">
              <w:t>personal computers</w:t>
            </w:r>
          </w:p>
          <w:p w:rsidR="00000000" w:rsidP="006A1FE4">
            <w:pPr>
              <w:pStyle w:val="ListBullet2"/>
              <w:rPr>
                <w:lang w:val="en-NZ"/>
              </w:rPr>
            </w:pPr>
            <w:r w:rsidRPr="006A1FE4">
              <w:t>interfaces with other systems</w:t>
            </w:r>
          </w:p>
        </w:tc>
      </w:tr>
      <w:tr w:rsidTr="000F788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T3</w:t>
            </w:r>
            <w:r w:rsidRPr="006A1FE4">
              <w:tab/>
              <w:t>Input and output functions encompassing:</w:t>
            </w:r>
          </w:p>
          <w:p w:rsidR="00000000" w:rsidRPr="006A1FE4" w:rsidP="006A1FE4">
            <w:pPr>
              <w:pStyle w:val="ListBullet2"/>
            </w:pPr>
            <w:r w:rsidRPr="006A1FE4">
              <w:t>digital inputs/outputs</w:t>
            </w:r>
          </w:p>
          <w:p w:rsidR="00000000" w:rsidRPr="006A1FE4" w:rsidP="006A1FE4">
            <w:pPr>
              <w:pStyle w:val="ListBullet2"/>
            </w:pPr>
            <w:r w:rsidRPr="006A1FE4">
              <w:t>digital output with status feedback</w:t>
            </w:r>
          </w:p>
          <w:p w:rsidR="00000000" w:rsidRPr="006A1FE4" w:rsidP="006A1FE4">
            <w:pPr>
              <w:pStyle w:val="ListBullet2"/>
            </w:pPr>
            <w:r w:rsidRPr="006A1FE4">
              <w:t>analogue input/output</w:t>
            </w:r>
          </w:p>
          <w:p w:rsidR="00000000" w:rsidRPr="006A1FE4" w:rsidP="006A1FE4">
            <w:pPr>
              <w:pStyle w:val="ListBullet2"/>
            </w:pPr>
            <w:r w:rsidRPr="006A1FE4">
              <w:t>sensors</w:t>
            </w:r>
          </w:p>
          <w:p w:rsidR="00000000" w:rsidP="006A1FE4">
            <w:pPr>
              <w:pStyle w:val="ListBullet2"/>
              <w:rPr>
                <w:lang w:val="en-NZ"/>
              </w:rPr>
            </w:pPr>
            <w:r w:rsidRPr="006A1FE4">
              <w:t>alarms</w:t>
            </w:r>
          </w:p>
        </w:tc>
      </w:tr>
      <w:tr w:rsidTr="000F788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T4</w:t>
            </w:r>
            <w:r w:rsidRPr="006A1FE4">
              <w:tab/>
              <w:t>Energy management encompassing:</w:t>
            </w:r>
          </w:p>
          <w:p w:rsidR="00000000" w:rsidRPr="006A1FE4" w:rsidP="006A1FE4">
            <w:pPr>
              <w:pStyle w:val="ListBullet2"/>
            </w:pPr>
            <w:r w:rsidRPr="006A1FE4">
              <w:t>night cycle</w:t>
            </w:r>
          </w:p>
          <w:p w:rsidR="00000000" w:rsidRPr="006A1FE4" w:rsidP="006A1FE4">
            <w:pPr>
              <w:pStyle w:val="ListBullet2"/>
            </w:pPr>
            <w:r w:rsidRPr="006A1FE4">
              <w:t>optimum stop/start</w:t>
            </w:r>
          </w:p>
          <w:p w:rsidR="00000000" w:rsidRPr="006A1FE4" w:rsidP="006A1FE4">
            <w:pPr>
              <w:pStyle w:val="ListBullet2"/>
            </w:pPr>
            <w:r w:rsidRPr="006A1FE4">
              <w:t>time and event programs</w:t>
            </w:r>
          </w:p>
          <w:p w:rsidR="00000000" w:rsidRPr="006A1FE4" w:rsidP="006A1FE4">
            <w:pPr>
              <w:pStyle w:val="ListBullet2"/>
            </w:pPr>
            <w:r w:rsidRPr="006A1FE4">
              <w:t>night purge</w:t>
            </w:r>
          </w:p>
          <w:p w:rsidR="00000000" w:rsidRPr="006A1FE4" w:rsidP="006A1FE4">
            <w:pPr>
              <w:pStyle w:val="ListBullet2"/>
            </w:pPr>
            <w:r w:rsidRPr="006A1FE4">
              <w:t>outside air percentage control</w:t>
            </w:r>
          </w:p>
          <w:p w:rsidR="00000000" w:rsidRPr="006A1FE4" w:rsidP="006A1FE4">
            <w:pPr>
              <w:pStyle w:val="ListBullet2"/>
            </w:pPr>
            <w:r w:rsidRPr="006A1FE4">
              <w:t>enthalpy control</w:t>
            </w:r>
          </w:p>
          <w:p w:rsidR="00000000" w:rsidRPr="006A1FE4" w:rsidP="006A1FE4">
            <w:pPr>
              <w:pStyle w:val="ListBullet2"/>
            </w:pPr>
            <w:r w:rsidRPr="006A1FE4">
              <w:t>power demand control</w:t>
            </w:r>
          </w:p>
          <w:p w:rsidR="00000000" w:rsidRPr="006A1FE4" w:rsidP="006A1FE4">
            <w:pPr>
              <w:pStyle w:val="ListBullet2"/>
            </w:pPr>
            <w:r w:rsidRPr="006A1FE4">
              <w:t>duty cycle</w:t>
            </w:r>
          </w:p>
          <w:p w:rsidR="00000000" w:rsidRPr="006A1FE4" w:rsidP="006A1FE4">
            <w:pPr>
              <w:pStyle w:val="ListBullet2"/>
            </w:pPr>
            <w:r w:rsidRPr="006A1FE4">
              <w:t>presence detection</w:t>
            </w:r>
          </w:p>
          <w:p w:rsidR="00000000" w:rsidP="006A1FE4">
            <w:pPr>
              <w:pStyle w:val="ListBullet2"/>
              <w:rPr>
                <w:lang w:val="en-NZ"/>
              </w:rPr>
            </w:pPr>
            <w:r w:rsidRPr="006A1FE4">
              <w:t>lighting control</w:t>
            </w:r>
          </w:p>
        </w:tc>
      </w:tr>
      <w:tr w:rsidTr="000F788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T5</w:t>
            </w:r>
            <w:r w:rsidRPr="006A1FE4">
              <w:tab/>
              <w:t>Information processing functions encompassing:</w:t>
            </w:r>
          </w:p>
          <w:p w:rsidR="00000000" w:rsidRPr="006A1FE4" w:rsidP="006A1FE4">
            <w:pPr>
              <w:pStyle w:val="ListBullet2"/>
            </w:pPr>
            <w:r w:rsidRPr="006A1FE4">
              <w:t>computer systems</w:t>
            </w:r>
          </w:p>
          <w:p w:rsidR="00000000" w:rsidRPr="006A1FE4" w:rsidP="006A1FE4">
            <w:pPr>
              <w:pStyle w:val="ListBullet2"/>
            </w:pPr>
            <w:r w:rsidRPr="006A1FE4">
              <w:t>central system management</w:t>
            </w:r>
          </w:p>
          <w:p w:rsidR="00000000" w:rsidRPr="006A1FE4" w:rsidP="006A1FE4">
            <w:pPr>
              <w:pStyle w:val="ListBullet2"/>
            </w:pPr>
            <w:r w:rsidRPr="006A1FE4">
              <w:t>programs</w:t>
            </w:r>
          </w:p>
          <w:p w:rsidR="00000000" w:rsidRPr="006A1FE4" w:rsidP="006A1FE4">
            <w:pPr>
              <w:pStyle w:val="ListBullet2"/>
            </w:pPr>
            <w:r w:rsidRPr="006A1FE4">
              <w:t>system configuration and security</w:t>
            </w:r>
          </w:p>
          <w:p w:rsidR="00000000" w:rsidRPr="006A1FE4" w:rsidP="006A1FE4">
            <w:pPr>
              <w:pStyle w:val="ListBullet2"/>
            </w:pPr>
            <w:r w:rsidRPr="006A1FE4">
              <w:t>operator - machine interface</w:t>
            </w:r>
          </w:p>
          <w:p w:rsidR="00000000" w:rsidP="006A1FE4">
            <w:pPr>
              <w:pStyle w:val="ListBullet2"/>
              <w:rPr>
                <w:lang w:val="en-NZ"/>
              </w:rPr>
            </w:pPr>
            <w:r w:rsidRPr="006A1FE4">
              <w:t>data points</w:t>
            </w:r>
          </w:p>
        </w:tc>
      </w:tr>
      <w:tr w:rsidTr="000F788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Risk and maintenance management encompassing:</w:t>
            </w:r>
          </w:p>
          <w:p w:rsidR="00000000" w:rsidRPr="006A1FE4" w:rsidP="006A1FE4">
            <w:pPr>
              <w:pStyle w:val="ListBullet2"/>
            </w:pPr>
            <w:r w:rsidRPr="006A1FE4">
              <w:t>system files</w:t>
            </w:r>
          </w:p>
          <w:p w:rsidR="00000000" w:rsidRPr="006A1FE4" w:rsidP="006A1FE4">
            <w:pPr>
              <w:pStyle w:val="ListBullet2"/>
            </w:pPr>
            <w:r w:rsidRPr="006A1FE4">
              <w:t>fire, intruder control</w:t>
            </w:r>
          </w:p>
          <w:p w:rsidR="00000000" w:rsidRPr="006A1FE4" w:rsidP="006A1FE4">
            <w:pPr>
              <w:pStyle w:val="ListBullet2"/>
            </w:pPr>
            <w:r w:rsidRPr="006A1FE4">
              <w:t>access control</w:t>
            </w:r>
          </w:p>
        </w:tc>
      </w:tr>
    </w:tbl>
    <w:p w:rsidR="00000000" w:rsidRPr="006A1FE4" w:rsidP="006A1FE4">
      <w:pPr>
        <w:pStyle w:val="BodyText"/>
      </w:pPr>
    </w:p>
    <w:p w:rsidR="00000000" w:rsidRPr="006A1FE4" w:rsidP="006A1FE4">
      <w:pPr>
        <w:pStyle w:val="AllowPageBreak"/>
      </w:pPr>
    </w:p>
    <w:p w:rsidR="00000000" w:rsidRPr="006A1FE4" w:rsidP="006A1FE4">
      <w:pPr>
        <w:pStyle w:val="Heading1"/>
      </w:pPr>
      <w:bookmarkStart w:id="10" w:name="O_588737"/>
      <w:bookmarkEnd w:id="10"/>
      <w:r w:rsidRPr="006A1FE4">
        <w:t>Evidence Guide</w:t>
      </w:r>
    </w:p>
    <w:tbl>
      <w:tblPr>
        <w:tblW w:w="0" w:type="auto"/>
        <w:tblLayout w:type="fixed"/>
        <w:tblCellMar>
          <w:left w:w="62" w:type="dxa"/>
          <w:right w:w="62" w:type="dxa"/>
        </w:tblCellMar>
        <w:tblLook w:val="0000"/>
      </w:tblPr>
      <w:tblGrid>
        <w:gridCol w:w="8460"/>
      </w:tblGrid>
      <w:tr w:rsidTr="000F788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EVIDENCE GUIDE</w:t>
            </w:r>
          </w:p>
        </w:tc>
      </w:tr>
      <w:tr w:rsidTr="000F78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9)</w:t>
            </w:r>
            <w:r w:rsidRPr="006A1FE4">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6A1FE4" w:rsidP="006A1FE4">
            <w:pPr>
              <w:pStyle w:val="BodyText"/>
            </w:pPr>
            <w:r w:rsidRPr="006A1FE4">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6A1FE4" w:rsidP="006A1FE4">
      <w:pPr>
        <w:pStyle w:val="BodyText"/>
      </w:pPr>
    </w:p>
    <w:tbl>
      <w:tblPr>
        <w:tblW w:w="0" w:type="auto"/>
        <w:tblLayout w:type="fixed"/>
        <w:tblCellMar>
          <w:left w:w="62" w:type="dxa"/>
          <w:right w:w="62" w:type="dxa"/>
        </w:tblCellMar>
        <w:tblLook w:val="0000"/>
      </w:tblPr>
      <w:tblGrid>
        <w:gridCol w:w="1890"/>
        <w:gridCol w:w="6570"/>
      </w:tblGrid>
      <w:tr w:rsidTr="000F78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Overview of Assessmen</w:t>
            </w:r>
            <w:r w:rsidRPr="006A1FE4">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9.1)</w:t>
            </w:r>
          </w:p>
        </w:tc>
      </w:tr>
      <w:tr w:rsidTr="000F78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Longitudinal competency development approaches to assessment, such as Profiling, require data to be reliably gathered in a form that can be consistently interpreted over time. This approach is best utilised in Apprenticeship programs and reduces a</w:t>
            </w:r>
            <w:r w:rsidRPr="006A1FE4">
              <w:t xml:space="preserve">ssessment intervention. It is the Industry’s preferred model for apprenticeships. However, where summative (or final) assessment is used it is to include the application of the competency in the normal work environment or, at a minimum, the application of </w:t>
            </w:r>
            <w:r w:rsidRPr="006A1FE4">
              <w:t>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6A1FE4" w:rsidP="006A1FE4">
            <w:pPr>
              <w:pStyle w:val="BodyText"/>
            </w:pPr>
            <w:r w:rsidRPr="006A1FE4">
              <w:t>Metho</w:t>
            </w:r>
            <w:r w:rsidRPr="006A1FE4">
              <w:t>ds chosen for a particular assessment will be influenced by various factors. These include the extent of the assessment, the most effective locations for the assessment activities to take place, access to physical resources, additional safety measures that</w:t>
            </w:r>
            <w:r w:rsidRPr="006A1FE4">
              <w:t xml:space="preserve"> may be required and the critical nature of the competencies being assessed.</w:t>
            </w:r>
          </w:p>
          <w:p w:rsidR="00000000" w:rsidRPr="006A1FE4" w:rsidP="006A1FE4">
            <w:pPr>
              <w:pStyle w:val="BodyText"/>
            </w:pPr>
            <w:r w:rsidRPr="006A1FE4">
              <w:t>The critical safety nature of working with electricity, electrical equipment, gas or any other hazardous substance/material carries risk in deeming a person competent. Hence, sour</w:t>
            </w:r>
            <w:r w:rsidRPr="006A1FE4">
              <w:t>ces of evidence need to be ‘rich’ in nature so as to minimise error in judgment.</w:t>
            </w:r>
          </w:p>
          <w:p w:rsidR="00000000" w:rsidRPr="006A1FE4" w:rsidP="006A1FE4">
            <w:pPr>
              <w:pStyle w:val="BodyText"/>
            </w:pPr>
            <w:r w:rsidRPr="006A1FE4">
              <w:t>Activities associated with normal every day work have a bearing on the decision as to how much and how detailed the data gathered will contribute to its ‘richness’</w:t>
            </w:r>
            <w:r w:rsidRPr="006A1FE4">
              <w:t>. Some skills are more critical to safety and operational requirements while the same skills may be more or less frequently practiced. These points are raised for the assessors to consider when choosing an assessment method and developing assessment instru</w:t>
            </w:r>
            <w:r w:rsidRPr="006A1FE4">
              <w:t>ments. Sample assessment instruments are included for Assessors in the Assessment Guidelines of this Training Package.</w:t>
            </w:r>
          </w:p>
        </w:tc>
      </w:tr>
    </w:tbl>
    <w:p w:rsidR="00000000" w:rsidRPr="006A1FE4" w:rsidP="006A1FE4">
      <w:pPr>
        <w:pStyle w:val="BodyText"/>
      </w:pPr>
    </w:p>
    <w:tbl>
      <w:tblPr>
        <w:tblW w:w="0" w:type="auto"/>
        <w:tblLayout w:type="fixed"/>
        <w:tblCellMar>
          <w:left w:w="62" w:type="dxa"/>
          <w:right w:w="62" w:type="dxa"/>
        </w:tblCellMar>
        <w:tblLook w:val="0000"/>
      </w:tblPr>
      <w:tblGrid>
        <w:gridCol w:w="1890"/>
        <w:gridCol w:w="1530"/>
        <w:gridCol w:w="5040"/>
      </w:tblGrid>
      <w:tr w:rsidTr="000F78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9.2)</w:t>
            </w:r>
          </w:p>
        </w:tc>
      </w:tr>
      <w:tr w:rsidTr="000F78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Before the critical aspects of evidence are consid</w:t>
            </w:r>
            <w:r w:rsidRPr="006A1FE4">
              <w:t>ered all prerequisites shall be met.</w:t>
            </w:r>
          </w:p>
          <w:p w:rsidR="00000000" w:rsidRPr="006A1FE4" w:rsidP="006A1FE4">
            <w:pPr>
              <w:pStyle w:val="BodyText"/>
            </w:pPr>
            <w:r w:rsidRPr="006A1FE4">
              <w:t>The evidence on which competency in this unit is based shall be considered holistically for each element on at least two occasions comprising:</w:t>
            </w:r>
          </w:p>
          <w:p w:rsidR="00000000" w:rsidRPr="006A1FE4" w:rsidP="006A1FE4">
            <w:pPr>
              <w:pStyle w:val="ListBullet"/>
            </w:pPr>
            <w:r w:rsidRPr="006A1FE4">
              <w:t>A representative body of work performance demonstrated within the timeframe</w:t>
            </w:r>
            <w:r w:rsidRPr="006A1FE4">
              <w:t>s typically expected of the discipline, work function and industrial environment. In particular this shall incorporate evidence that shows a candidate is able to:</w:t>
            </w:r>
          </w:p>
          <w:p w:rsidR="00000000" w:rsidRPr="006A1FE4" w:rsidP="006A1FE4">
            <w:pPr>
              <w:pStyle w:val="ListBullet2"/>
            </w:pPr>
            <w:r w:rsidRPr="006A1FE4">
              <w:t xml:space="preserve">Implement Occupational Health and Safety workplace procedures and practices including </w:t>
            </w:r>
            <w:r w:rsidRPr="006A1FE4">
              <w:t>the use of risk control measures as specified in the performance criteria and range; and</w:t>
            </w:r>
          </w:p>
          <w:p w:rsidR="00000000" w:rsidRPr="006A1FE4" w:rsidP="006A1FE4">
            <w:pPr>
              <w:pStyle w:val="ListBullet2"/>
            </w:pPr>
            <w:r w:rsidRPr="006A1FE4">
              <w:t>Apply sustainable energy principles and practices as specified in the performance criteria and range; and</w:t>
            </w:r>
          </w:p>
          <w:p w:rsidR="00000000" w:rsidRPr="006A1FE4" w:rsidP="006A1FE4">
            <w:pPr>
              <w:pStyle w:val="ListBullet2"/>
            </w:pPr>
            <w:r w:rsidRPr="006A1FE4">
              <w:t>Demonstrate an understanding of the essential knowledge and a</w:t>
            </w:r>
            <w:r w:rsidRPr="006A1FE4">
              <w:t>ssociated skills as described in this unit.  It may be required by some jurisdictions that RTOs provide a percentile graded result for the purpose of regulatory or licensing requirements; and</w:t>
            </w:r>
          </w:p>
          <w:p w:rsidR="00000000" w:rsidRPr="006A1FE4" w:rsidP="006A1FE4">
            <w:pPr>
              <w:pStyle w:val="ListBullet2"/>
            </w:pPr>
            <w:r w:rsidRPr="006A1FE4">
              <w:t xml:space="preserve">Demonstrate an appropriate level of skills enabling employment; </w:t>
            </w:r>
            <w:r w:rsidRPr="006A1FE4">
              <w:t>and</w:t>
            </w:r>
          </w:p>
          <w:p w:rsidR="00000000" w:rsidRPr="006A1FE4" w:rsidP="006A1FE4">
            <w:pPr>
              <w:pStyle w:val="ListBullet2"/>
            </w:pPr>
            <w:r w:rsidRPr="006A1FE4">
              <w:t>Conduct work observing the relevant Anti Discrimination legislation, regulations, polices and workplace procedures; and</w:t>
            </w:r>
          </w:p>
          <w:p w:rsidR="00000000" w:rsidRPr="006A1FE4" w:rsidP="006A1FE4">
            <w:pPr>
              <w:pStyle w:val="ListBullet"/>
            </w:pPr>
            <w:r w:rsidRPr="006A1FE4">
              <w:t>Demonstrated performance across a representative range of contexts from the prescribed items below:</w:t>
            </w:r>
          </w:p>
          <w:p w:rsidR="00000000" w:rsidP="006A1FE4">
            <w:pPr>
              <w:pStyle w:val="ListBullet2"/>
              <w:rPr>
                <w:lang w:val="en-NZ"/>
              </w:rPr>
            </w:pPr>
            <w:r w:rsidRPr="006A1FE4">
              <w:t>Design energy management contr</w:t>
            </w:r>
            <w:r w:rsidRPr="006A1FE4">
              <w:t>ols for electrical installations in buildings as listed in the Range statement’ and including:</w:t>
            </w:r>
          </w:p>
        </w:tc>
      </w:tr>
      <w:tr w:rsidTr="000F7884">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A</w:t>
            </w:r>
          </w:p>
        </w:tc>
        <w:tc>
          <w:tcPr>
            <w:tcW w:w="504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 xml:space="preserve">Determining the extent of the design </w:t>
            </w:r>
          </w:p>
        </w:tc>
      </w:tr>
      <w:tr w:rsidTr="000F78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B</w:t>
            </w:r>
          </w:p>
        </w:tc>
        <w:tc>
          <w:tcPr>
            <w:tcW w:w="504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Setting up and conducting appropriate examinations and tests.</w:t>
            </w:r>
          </w:p>
        </w:tc>
      </w:tr>
      <w:tr w:rsidTr="000F78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C</w:t>
            </w:r>
          </w:p>
        </w:tc>
        <w:tc>
          <w:tcPr>
            <w:tcW w:w="504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Reporting evaluation including recommendation for improving energy efficiency</w:t>
            </w:r>
          </w:p>
        </w:tc>
      </w:tr>
      <w:tr w:rsidTr="000F78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t>D</w:t>
            </w:r>
          </w:p>
        </w:tc>
        <w:tc>
          <w:tcPr>
            <w:tcW w:w="504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Dealing with unplanned events by drawing on essential knowledge and skills to provide appropriate solutions incorporated in the holistic assessment with the above listed item</w:t>
            </w:r>
            <w:r w:rsidRPr="006A1FE4">
              <w:t>s</w:t>
            </w:r>
          </w:p>
        </w:tc>
      </w:tr>
    </w:tbl>
    <w:p w:rsidR="00000000" w:rsidRPr="006A1FE4" w:rsidP="006A1FE4">
      <w:pPr>
        <w:pStyle w:val="BodyText"/>
      </w:pPr>
    </w:p>
    <w:tbl>
      <w:tblPr>
        <w:tblW w:w="0" w:type="auto"/>
        <w:tblLayout w:type="fixed"/>
        <w:tblCellMar>
          <w:left w:w="62" w:type="dxa"/>
          <w:right w:w="62" w:type="dxa"/>
        </w:tblCellMar>
        <w:tblLook w:val="0000"/>
      </w:tblPr>
      <w:tblGrid>
        <w:gridCol w:w="1890"/>
        <w:gridCol w:w="6570"/>
      </w:tblGrid>
      <w:tr w:rsidTr="000F788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9.3)</w:t>
            </w:r>
          </w:p>
        </w:tc>
      </w:tr>
      <w:tr w:rsidTr="000F788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This unit should be assessed as it relates to normal work practice using procedures, information and resources typical of a workplace. This should include:</w:t>
            </w:r>
          </w:p>
          <w:p w:rsidR="00000000" w:rsidRPr="006A1FE4" w:rsidP="006A1FE4">
            <w:pPr>
              <w:pStyle w:val="ListBullet2"/>
            </w:pPr>
            <w:r w:rsidRPr="006A1FE4">
              <w:t>OHS policy and work procedures and inst</w:t>
            </w:r>
            <w:r w:rsidRPr="006A1FE4">
              <w:t>ructions.</w:t>
            </w:r>
          </w:p>
          <w:p w:rsidR="00000000" w:rsidRPr="006A1FE4" w:rsidP="006A1FE4">
            <w:pPr>
              <w:pStyle w:val="ListBullet2"/>
            </w:pPr>
            <w:r w:rsidRPr="006A1FE4">
              <w:t>Suitable work environment, facilities, equipment and materials to undertake actual work as prescribed by this competency standard unit.</w:t>
            </w:r>
          </w:p>
          <w:p w:rsidR="00000000" w:rsidRPr="006A1FE4" w:rsidP="006A1FE4">
            <w:pPr>
              <w:pStyle w:val="BodyText"/>
            </w:pPr>
            <w:r w:rsidRPr="006A1FE4">
              <w:t>Resources required to assess this unit are listed above in Context of assessment’</w:t>
            </w:r>
            <w:r w:rsidRPr="006A1FE4">
              <w:t>, which should also be used in the formal learning/assessment environment.</w:t>
            </w:r>
          </w:p>
          <w:p w:rsidR="00000000" w:rsidRPr="006A1FE4" w:rsidP="006A1FE4">
            <w:pPr>
              <w:pStyle w:val="BodyText"/>
            </w:pPr>
            <w:r w:rsidRPr="006A1FE4">
              <w:t xml:space="preserve">Note: </w:t>
            </w:r>
            <w:r w:rsidRPr="006A1FE4">
              <w:br/>
              <w:t>Where simulation is considered a suitable strategy for assessment it must ensure that the conditions for assessment are authentic and as far as possible reproduce and replica</w:t>
            </w:r>
            <w:r w:rsidRPr="006A1FE4">
              <w:t>te the workplace and is consistent with the approved industry simulation policy.</w:t>
            </w:r>
          </w:p>
          <w:p w:rsidR="00000000" w:rsidRPr="006A1FE4" w:rsidP="006A1FE4">
            <w:pPr>
              <w:pStyle w:val="BodyText"/>
            </w:pPr>
            <w:r w:rsidRPr="006A1FE4">
              <w:t>The resources used for assessment should reflect current industry practices in relation to designing energy management controls for electrical installations in buildings.</w:t>
            </w:r>
          </w:p>
        </w:tc>
      </w:tr>
    </w:tbl>
    <w:p w:rsidR="00000000" w:rsidRPr="006A1FE4" w:rsidP="006A1FE4">
      <w:pPr>
        <w:pStyle w:val="BodyText"/>
      </w:pPr>
    </w:p>
    <w:tbl>
      <w:tblPr>
        <w:tblW w:w="0" w:type="auto"/>
        <w:tblLayout w:type="fixed"/>
        <w:tblCellMar>
          <w:left w:w="62" w:type="dxa"/>
          <w:right w:w="62" w:type="dxa"/>
        </w:tblCellMar>
        <w:tblLook w:val="0000"/>
      </w:tblPr>
      <w:tblGrid>
        <w:gridCol w:w="1890"/>
        <w:gridCol w:w="6570"/>
      </w:tblGrid>
      <w:tr w:rsidTr="000F78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Me</w:t>
            </w:r>
            <w:r w:rsidRPr="006A1FE4">
              <w:rPr>
                <w:rStyle w:val="SpecialBold"/>
              </w:rPr>
              <w:t>thod of assessment</w:t>
            </w:r>
          </w:p>
        </w:tc>
        <w:tc>
          <w:tcPr>
            <w:tcW w:w="657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9.4)</w:t>
            </w:r>
          </w:p>
        </w:tc>
      </w:tr>
      <w:tr w:rsidTr="000F78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This competency standard unit shall be assessed by methods given in Volume 1, Part 3 “Assessment Guidelines”.</w:t>
            </w:r>
          </w:p>
          <w:p w:rsidR="00000000" w:rsidRPr="006A1FE4" w:rsidP="006A1FE4">
            <w:pPr>
              <w:pStyle w:val="BodyText"/>
            </w:pPr>
            <w:r w:rsidRPr="006A1FE4">
              <w:t xml:space="preserve">Note: </w:t>
            </w:r>
          </w:p>
          <w:p w:rsidR="00000000" w:rsidRPr="006A1FE4" w:rsidP="006A1FE4">
            <w:pPr>
              <w:pStyle w:val="BodyText"/>
            </w:pPr>
            <w:r w:rsidRPr="006A1FE4">
              <w:t>Competent performance with inherent safe working practices is expected in the Industry to which this competency standard unit applies. This requires that the specified essential knowledge and associated skills are assessed in a structured environment which</w:t>
            </w:r>
            <w:r w:rsidRPr="006A1FE4">
              <w:t xml:space="preserve"> is primarily intended for learning/assessment and incorporates all necessary equipment and facilities for learners to develop and demonstrate the essential knowledge and skills described in this unit.</w:t>
            </w:r>
          </w:p>
        </w:tc>
      </w:tr>
    </w:tbl>
    <w:p w:rsidR="00000000" w:rsidRPr="006A1FE4" w:rsidP="006A1FE4">
      <w:pPr>
        <w:pStyle w:val="BodyText"/>
      </w:pPr>
    </w:p>
    <w:tbl>
      <w:tblPr>
        <w:tblW w:w="0" w:type="auto"/>
        <w:tblLayout w:type="fixed"/>
        <w:tblCellMar>
          <w:left w:w="62" w:type="dxa"/>
          <w:right w:w="62" w:type="dxa"/>
        </w:tblCellMar>
        <w:tblLook w:val="0000"/>
      </w:tblPr>
      <w:tblGrid>
        <w:gridCol w:w="1890"/>
        <w:gridCol w:w="6570"/>
      </w:tblGrid>
      <w:tr w:rsidTr="000F78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Concurrent assessment and relationship with other un</w:t>
            </w:r>
            <w:r w:rsidRPr="006A1FE4">
              <w:rPr>
                <w:rStyle w:val="SpecialBold"/>
              </w:rPr>
              <w:t>its</w:t>
            </w:r>
          </w:p>
        </w:tc>
        <w:tc>
          <w:tcPr>
            <w:tcW w:w="657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9.5)</w:t>
            </w:r>
          </w:p>
        </w:tc>
      </w:tr>
      <w:tr w:rsidTr="000F788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There are no concurrent assessment recommendations for this unit</w:t>
            </w:r>
          </w:p>
        </w:tc>
      </w:tr>
    </w:tbl>
    <w:p w:rsidR="00000000" w:rsidRPr="006A1FE4" w:rsidP="006A1FE4">
      <w:pPr>
        <w:pStyle w:val="BodyText"/>
      </w:pPr>
    </w:p>
    <w:p w:rsidR="00000000" w:rsidRPr="006A1FE4" w:rsidP="006A1FE4">
      <w:pPr>
        <w:pStyle w:val="AllowPageBreak"/>
      </w:pPr>
    </w:p>
    <w:p w:rsidR="00000000" w:rsidRPr="006A1FE4" w:rsidP="006A1FE4">
      <w:pPr>
        <w:pStyle w:val="Heading1"/>
      </w:pPr>
      <w:bookmarkStart w:id="11" w:name="O_588736"/>
      <w:bookmarkEnd w:id="11"/>
      <w:r w:rsidRPr="006A1FE4">
        <w:t>Range Statement</w:t>
      </w:r>
    </w:p>
    <w:tbl>
      <w:tblPr>
        <w:tblW w:w="0" w:type="auto"/>
        <w:tblLayout w:type="fixed"/>
        <w:tblCellMar>
          <w:left w:w="62" w:type="dxa"/>
          <w:right w:w="62" w:type="dxa"/>
        </w:tblCellMar>
        <w:tblLook w:val="0000"/>
      </w:tblPr>
      <w:tblGrid>
        <w:gridCol w:w="8460"/>
      </w:tblGrid>
      <w:tr w:rsidTr="000F788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RANGE STATEMENT</w:t>
            </w:r>
          </w:p>
        </w:tc>
      </w:tr>
      <w:tr w:rsidTr="000F78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10)</w:t>
            </w:r>
            <w:r w:rsidRPr="006A1FE4">
              <w:t xml:space="preserve"> This relates to the unit of competency as a whole providing the range of contexts and conditions </w:t>
            </w:r>
            <w:r w:rsidRPr="006A1FE4">
              <w:t>to which the performance criteria apply. It allows for different work environments and situations that will affect performance.</w:t>
            </w:r>
          </w:p>
          <w:p w:rsidR="00000000" w:rsidRPr="006A1FE4" w:rsidP="006A1FE4">
            <w:pPr>
              <w:pStyle w:val="BodyText"/>
            </w:pPr>
            <w:r w:rsidRPr="006A1FE4">
              <w:t>This competency standard unit shall be demonstrated in relation to designing energy management controls for electrical installat</w:t>
            </w:r>
            <w:r w:rsidRPr="006A1FE4">
              <w:t>ions in buildings on at least two buildings each used for a different purpose.</w:t>
            </w:r>
          </w:p>
          <w:p w:rsidR="00000000" w:rsidRPr="006A1FE4" w:rsidP="006A1FE4">
            <w:pPr>
              <w:pStyle w:val="BodyText"/>
            </w:pPr>
            <w:r w:rsidRPr="006A1FE4">
              <w:t>Generic terms are used throughout this Vocational Standard shall be regarded as part of the Range of Variables in which competency is demonstrated. The definition of these and o</w:t>
            </w:r>
            <w:r w:rsidRPr="006A1FE4">
              <w:t>ther terms that apply are given in Volume 2, Part 2.1.</w:t>
            </w:r>
          </w:p>
        </w:tc>
      </w:tr>
    </w:tbl>
    <w:p w:rsidR="00000000" w:rsidRPr="006A1FE4" w:rsidP="006A1FE4">
      <w:pPr>
        <w:pStyle w:val="BodyText"/>
      </w:pPr>
    </w:p>
    <w:p w:rsidR="00000000" w:rsidRPr="006A1FE4" w:rsidP="006A1FE4">
      <w:pPr>
        <w:pStyle w:val="AllowPageBreak"/>
      </w:pPr>
    </w:p>
    <w:p w:rsidR="00000000" w:rsidRPr="006A1FE4" w:rsidP="006A1FE4">
      <w:pPr>
        <w:pStyle w:val="Heading1"/>
      </w:pPr>
      <w:bookmarkStart w:id="12" w:name="O_588735"/>
      <w:bookmarkEnd w:id="12"/>
      <w:r w:rsidRPr="006A1FE4">
        <w:t>Unit Sector(s)</w:t>
      </w:r>
    </w:p>
    <w:p w:rsidR="00000000" w:rsidRPr="006A1FE4" w:rsidP="006A1FE4">
      <w:pPr>
        <w:pStyle w:val="BodyText"/>
      </w:pPr>
      <w:r w:rsidRPr="006A1FE4">
        <w:t>Not applicable.</w:t>
      </w:r>
    </w:p>
    <w:p w:rsidR="00000000" w:rsidRPr="006A1FE4" w:rsidP="006A1FE4">
      <w:pPr>
        <w:pStyle w:val="AllowPageBreak"/>
      </w:pPr>
    </w:p>
    <w:p w:rsidR="00000000" w:rsidRPr="006A1FE4" w:rsidP="006A1FE4">
      <w:pPr>
        <w:pStyle w:val="Heading1"/>
      </w:pPr>
      <w:bookmarkStart w:id="13" w:name="O_588734"/>
      <w:bookmarkEnd w:id="13"/>
      <w:r w:rsidRPr="006A1FE4">
        <w:t>Competency Field</w:t>
      </w:r>
    </w:p>
    <w:tbl>
      <w:tblPr>
        <w:tblW w:w="0" w:type="auto"/>
        <w:tblLayout w:type="fixed"/>
        <w:tblCellMar>
          <w:left w:w="62" w:type="dxa"/>
          <w:right w:w="62" w:type="dxa"/>
        </w:tblCellMar>
        <w:tblLook w:val="0000"/>
      </w:tblPr>
      <w:tblGrid>
        <w:gridCol w:w="2700"/>
        <w:gridCol w:w="5760"/>
      </w:tblGrid>
      <w:tr w:rsidTr="000F78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A1FE4">
            <w:pPr>
              <w:pStyle w:val="BodyText"/>
              <w:rPr>
                <w:lang w:val="en-NZ"/>
              </w:rPr>
            </w:pPr>
            <w:r w:rsidRPr="006A1FE4">
              <w:rPr>
                <w:rStyle w:val="SpecialBold"/>
              </w:rPr>
              <w:t xml:space="preserve">11) </w:t>
            </w:r>
          </w:p>
        </w:tc>
      </w:tr>
      <w:tr w:rsidTr="000F78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1FE4" w:rsidP="006A1FE4">
            <w:pPr>
              <w:pStyle w:val="BodyText"/>
            </w:pPr>
            <w:r w:rsidRPr="006A1FE4">
              <w:t>Renewable and Sustainable Energy</w:t>
            </w:r>
          </w:p>
        </w:tc>
      </w:tr>
    </w:tbl>
    <w:p w:rsidR="00000000" w:rsidRPr="006A1FE4" w:rsidP="006A1FE4">
      <w:pPr>
        <w:pStyle w:val="BodyText"/>
      </w:pPr>
    </w:p>
    <w:p w:rsidR="00000000" w:rsidRPr="006A1FE4" w:rsidP="006A1FE4"/>
    <w:sectPr w:rsidSect="006A1F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E4" w:rsidRPr="000F7884" w:rsidP="000F78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884" w:rsidP="006A1F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7884" w:rsidP="006A1F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F7884" w:rsidP="006A1F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E4" w:rsidRPr="000F7884" w:rsidP="000F78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884" w:rsidRPr="002D2AF8" w:rsidP="006A1FE4">
    <w:pPr>
      <w:pStyle w:val="Header"/>
      <w:framePr w:wrap="around"/>
    </w:pPr>
    <w:r>
      <w:fldChar w:fldCharType="begin"/>
    </w:r>
    <w:r>
      <w:instrText xml:space="preserve"> TITLE   \* MERGEFORMAT </w:instrText>
    </w:r>
    <w:r>
      <w:fldChar w:fldCharType="separate"/>
    </w:r>
    <w:r>
      <w:t>UEENEEK146A Design energy management controls for electrical installations in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F7884" w:rsidP="006A1F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9C3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FCE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0D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F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FE4"/>
    <w:pPr>
      <w:spacing w:before="360" w:after="60"/>
      <w:outlineLvl w:val="0"/>
    </w:pPr>
    <w:rPr>
      <w:sz w:val="32"/>
    </w:rPr>
  </w:style>
  <w:style w:type="paragraph" w:styleId="Heading2">
    <w:name w:val="heading 2"/>
    <w:basedOn w:val="HeadingBase"/>
    <w:next w:val="BodyText"/>
    <w:link w:val="Heading2Char"/>
    <w:qFormat/>
    <w:rsid w:val="006A1FE4"/>
    <w:pPr>
      <w:keepLines/>
      <w:spacing w:before="240" w:after="120"/>
      <w:outlineLvl w:val="1"/>
    </w:pPr>
    <w:rPr>
      <w:sz w:val="28"/>
      <w:szCs w:val="40"/>
    </w:rPr>
  </w:style>
  <w:style w:type="paragraph" w:styleId="Heading3">
    <w:name w:val="heading 3"/>
    <w:basedOn w:val="HeadingBase"/>
    <w:next w:val="BodyText"/>
    <w:link w:val="Heading3Char"/>
    <w:qFormat/>
    <w:rsid w:val="006A1FE4"/>
    <w:pPr>
      <w:spacing w:before="180" w:after="120"/>
      <w:outlineLvl w:val="2"/>
    </w:pPr>
    <w:rPr>
      <w:spacing w:val="-10"/>
      <w:kern w:val="32"/>
    </w:rPr>
  </w:style>
  <w:style w:type="paragraph" w:styleId="Heading4">
    <w:name w:val="heading 4"/>
    <w:basedOn w:val="HeadingBase"/>
    <w:next w:val="BodyText"/>
    <w:link w:val="Heading4Char"/>
    <w:qFormat/>
    <w:rsid w:val="006A1FE4"/>
    <w:pPr>
      <w:spacing w:before="160" w:after="120"/>
      <w:outlineLvl w:val="3"/>
    </w:pPr>
    <w:rPr>
      <w:sz w:val="22"/>
    </w:rPr>
  </w:style>
  <w:style w:type="paragraph" w:styleId="Heading5">
    <w:name w:val="heading 5"/>
    <w:basedOn w:val="HeadingBase"/>
    <w:next w:val="Normal"/>
    <w:link w:val="Heading5Char"/>
    <w:qFormat/>
    <w:rsid w:val="006A1FE4"/>
    <w:pPr>
      <w:spacing w:before="80"/>
      <w:outlineLvl w:val="4"/>
    </w:pPr>
    <w:rPr>
      <w:color w:val="918585"/>
      <w:sz w:val="20"/>
    </w:rPr>
  </w:style>
  <w:style w:type="paragraph" w:styleId="Heading6">
    <w:name w:val="heading 6"/>
    <w:basedOn w:val="HeadingBase"/>
    <w:next w:val="Normal"/>
    <w:link w:val="Heading6Char"/>
    <w:qFormat/>
    <w:rsid w:val="006A1FE4"/>
    <w:pPr>
      <w:spacing w:before="60"/>
      <w:outlineLvl w:val="5"/>
    </w:pPr>
    <w:rPr>
      <w:color w:val="918585"/>
      <w:sz w:val="20"/>
    </w:rPr>
  </w:style>
  <w:style w:type="paragraph" w:styleId="Heading7">
    <w:name w:val="heading 7"/>
    <w:basedOn w:val="Normal"/>
    <w:next w:val="Normal"/>
    <w:link w:val="Heading7Char"/>
    <w:qFormat/>
    <w:rsid w:val="006A1FE4"/>
    <w:pPr>
      <w:ind w:left="720"/>
      <w:outlineLvl w:val="6"/>
    </w:pPr>
    <w:rPr>
      <w:i/>
    </w:rPr>
  </w:style>
  <w:style w:type="paragraph" w:styleId="Heading8">
    <w:name w:val="heading 8"/>
    <w:basedOn w:val="Normal"/>
    <w:next w:val="Normal"/>
    <w:link w:val="Heading8Char"/>
    <w:qFormat/>
    <w:rsid w:val="006A1FE4"/>
    <w:pPr>
      <w:ind w:left="720"/>
      <w:outlineLvl w:val="7"/>
    </w:pPr>
    <w:rPr>
      <w:i/>
    </w:rPr>
  </w:style>
  <w:style w:type="paragraph" w:styleId="Heading9">
    <w:name w:val="heading 9"/>
    <w:basedOn w:val="Normal"/>
    <w:next w:val="Normal"/>
    <w:link w:val="Heading9Char"/>
    <w:qFormat/>
    <w:rsid w:val="006A1FE4"/>
    <w:pPr>
      <w:ind w:left="720"/>
      <w:outlineLvl w:val="8"/>
    </w:pPr>
    <w:rPr>
      <w:i/>
    </w:rPr>
  </w:style>
  <w:style w:type="character" w:default="1" w:styleId="DefaultParagraphFont">
    <w:name w:val="Default Paragraph Font"/>
    <w:uiPriority w:val="1"/>
    <w:unhideWhenUsed/>
    <w:rsid w:val="006A1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FE4"/>
  </w:style>
  <w:style w:type="character" w:customStyle="1" w:styleId="Heading1Char">
    <w:name w:val="Heading 1 Char"/>
    <w:basedOn w:val="DefaultParagraphFont"/>
    <w:link w:val="Heading1"/>
    <w:rsid w:val="006A1FE4"/>
    <w:rPr>
      <w:rFonts w:ascii="Times New Roman" w:eastAsia="Times New Roman" w:hAnsi="Times New Roman" w:cs="Times New Roman"/>
      <w:b/>
      <w:sz w:val="32"/>
      <w:szCs w:val="20"/>
      <w:lang w:eastAsia="en-US"/>
    </w:rPr>
  </w:style>
  <w:style w:type="paragraph" w:styleId="BodyText">
    <w:name w:val="Body Text"/>
    <w:basedOn w:val="Normal"/>
    <w:link w:val="BodyTextChar"/>
    <w:rsid w:val="006A1F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1FE4"/>
    <w:rPr>
      <w:rFonts w:ascii="Times New Roman" w:eastAsia="Times New Roman" w:hAnsi="Times New Roman" w:cs="Times New Roman"/>
      <w:sz w:val="24"/>
      <w:lang w:eastAsia="en-US"/>
    </w:rPr>
  </w:style>
  <w:style w:type="paragraph" w:styleId="ListBullet">
    <w:name w:val="List Bullet"/>
    <w:basedOn w:val="List"/>
    <w:rsid w:val="006A1FE4"/>
    <w:pPr>
      <w:numPr>
        <w:numId w:val="13"/>
      </w:numPr>
      <w:tabs>
        <w:tab w:val="clear" w:pos="340"/>
      </w:tabs>
      <w:spacing w:before="40" w:after="40"/>
    </w:pPr>
  </w:style>
  <w:style w:type="character" w:customStyle="1" w:styleId="SpecialBold">
    <w:name w:val="Special Bold"/>
    <w:basedOn w:val="DefaultParagraphFont"/>
    <w:rsid w:val="006A1FE4"/>
    <w:rPr>
      <w:b/>
      <w:spacing w:val="0"/>
    </w:rPr>
  </w:style>
  <w:style w:type="paragraph" w:styleId="ListBullet2">
    <w:name w:val="List Bullet 2"/>
    <w:basedOn w:val="List2"/>
    <w:rsid w:val="006A1FE4"/>
    <w:pPr>
      <w:numPr>
        <w:numId w:val="14"/>
      </w:numPr>
      <w:tabs>
        <w:tab w:val="clear" w:pos="680"/>
      </w:tabs>
    </w:pPr>
  </w:style>
  <w:style w:type="paragraph" w:customStyle="1" w:styleId="SuperHeading">
    <w:name w:val="SuperHeading"/>
    <w:basedOn w:val="Normal"/>
    <w:rsid w:val="006A1FE4"/>
    <w:pPr>
      <w:spacing w:before="240" w:after="120"/>
      <w:outlineLvl w:val="0"/>
    </w:pPr>
    <w:rPr>
      <w:rFonts w:ascii="Times New Roman" w:hAnsi="Times New Roman"/>
      <w:b/>
      <w:sz w:val="32"/>
    </w:rPr>
  </w:style>
  <w:style w:type="paragraph" w:customStyle="1" w:styleId="AllowPageBreak">
    <w:name w:val="AllowPageBreak"/>
    <w:rsid w:val="006A1F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1F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F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F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F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F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F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FE4"/>
    <w:rPr>
      <w:rFonts w:ascii="Courier New" w:eastAsia="Times New Roman" w:hAnsi="Courier New" w:cs="Times New Roman"/>
      <w:i/>
      <w:szCs w:val="20"/>
      <w:lang w:eastAsia="en-US"/>
    </w:rPr>
  </w:style>
  <w:style w:type="paragraph" w:customStyle="1" w:styleId="HeadingBase">
    <w:name w:val="Heading Base"/>
    <w:rsid w:val="006A1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FE4"/>
    <w:pPr>
      <w:tabs>
        <w:tab w:val="right" w:leader="dot" w:pos="9072"/>
      </w:tabs>
      <w:ind w:left="567"/>
    </w:pPr>
    <w:rPr>
      <w:szCs w:val="22"/>
    </w:rPr>
  </w:style>
  <w:style w:type="paragraph" w:customStyle="1" w:styleId="TOCBase">
    <w:name w:val="TOC Base"/>
    <w:rsid w:val="006A1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FE4"/>
    <w:pPr>
      <w:tabs>
        <w:tab w:val="right" w:leader="dot" w:pos="9072"/>
      </w:tabs>
      <w:spacing w:before="40" w:after="40"/>
      <w:ind w:left="284"/>
    </w:pPr>
    <w:rPr>
      <w:rFonts w:ascii="Times New Roman" w:hAnsi="Times New Roman"/>
    </w:rPr>
  </w:style>
  <w:style w:type="paragraph" w:styleId="TOC1">
    <w:name w:val="toc 1"/>
    <w:basedOn w:val="TOCBase"/>
    <w:next w:val="Normal"/>
    <w:rsid w:val="006A1F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FE4"/>
    <w:rPr>
      <w:rFonts w:ascii="Times New Roman" w:eastAsia="Times New Roman" w:hAnsi="Times New Roman" w:cs="Times New Roman"/>
      <w:sz w:val="16"/>
      <w:lang w:eastAsia="en-US"/>
    </w:rPr>
  </w:style>
  <w:style w:type="paragraph" w:styleId="Title">
    <w:name w:val="Title"/>
    <w:basedOn w:val="HeadingBase"/>
    <w:link w:val="TitleChar"/>
    <w:qFormat/>
    <w:rsid w:val="006A1FE4"/>
    <w:pPr>
      <w:spacing w:before="5040"/>
      <w:jc w:val="center"/>
    </w:pPr>
    <w:rPr>
      <w:sz w:val="48"/>
      <w:szCs w:val="72"/>
      <w:lang w:val="en-US"/>
    </w:rPr>
  </w:style>
  <w:style w:type="character" w:customStyle="1" w:styleId="TitleChar">
    <w:name w:val="Title Char"/>
    <w:basedOn w:val="DefaultParagraphFont"/>
    <w:link w:val="Title"/>
    <w:rsid w:val="006A1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FE4"/>
    <w:pPr>
      <w:tabs>
        <w:tab w:val="left" w:pos="3600"/>
        <w:tab w:val="left" w:pos="3958"/>
      </w:tabs>
    </w:pPr>
  </w:style>
  <w:style w:type="paragraph" w:styleId="List">
    <w:name w:val="List"/>
    <w:basedOn w:val="BodyText"/>
    <w:next w:val="BodyText"/>
    <w:rsid w:val="006A1FE4"/>
    <w:pPr>
      <w:tabs>
        <w:tab w:val="left" w:pos="340"/>
      </w:tabs>
      <w:spacing w:before="60" w:after="60"/>
      <w:ind w:left="340" w:hanging="340"/>
    </w:pPr>
  </w:style>
  <w:style w:type="paragraph" w:customStyle="1" w:styleId="Note">
    <w:name w:val="Note"/>
    <w:basedOn w:val="BodyText"/>
    <w:rsid w:val="006A1F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FE4"/>
    <w:pPr>
      <w:framePr w:wrap="auto" w:hAnchor="text" w:y="6049"/>
    </w:pPr>
    <w:rPr>
      <w:color w:val="000000"/>
      <w:sz w:val="40"/>
    </w:rPr>
  </w:style>
  <w:style w:type="paragraph" w:customStyle="1" w:styleId="TOCTitle">
    <w:name w:val="TOCTitle"/>
    <w:basedOn w:val="Heading1"/>
    <w:rsid w:val="006A1FE4"/>
    <w:pPr>
      <w:spacing w:after="240"/>
      <w:jc w:val="center"/>
      <w:outlineLvl w:val="9"/>
    </w:pPr>
    <w:rPr>
      <w:caps/>
    </w:rPr>
  </w:style>
  <w:style w:type="paragraph" w:customStyle="1" w:styleId="Version">
    <w:name w:val="Version"/>
    <w:rsid w:val="006A1F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FE4"/>
    <w:pPr>
      <w:keepNext w:val="0"/>
      <w:tabs>
        <w:tab w:val="right" w:pos="4176"/>
      </w:tabs>
      <w:ind w:left="198" w:hanging="198"/>
    </w:pPr>
    <w:rPr>
      <w:rFonts w:ascii="Garamond" w:hAnsi="Garamond"/>
    </w:rPr>
  </w:style>
  <w:style w:type="paragraph" w:styleId="IndexHeading">
    <w:name w:val="index heading"/>
    <w:basedOn w:val="Normal"/>
    <w:next w:val="Index1"/>
    <w:semiHidden/>
    <w:rsid w:val="006A1FE4"/>
    <w:pPr>
      <w:spacing w:before="120" w:after="120"/>
    </w:pPr>
    <w:rPr>
      <w:rFonts w:ascii="Arial" w:hAnsi="Arial"/>
      <w:b/>
      <w:color w:val="918585"/>
      <w:sz w:val="24"/>
    </w:rPr>
  </w:style>
  <w:style w:type="paragraph" w:styleId="Header">
    <w:name w:val="header"/>
    <w:basedOn w:val="Normal"/>
    <w:link w:val="HeaderChar"/>
    <w:rsid w:val="006A1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FE4"/>
    <w:rPr>
      <w:rFonts w:ascii="Times New Roman" w:eastAsia="Times New Roman" w:hAnsi="Times New Roman" w:cs="Times New Roman"/>
      <w:sz w:val="16"/>
      <w:szCs w:val="20"/>
      <w:lang w:val="en-GB" w:eastAsia="en-US"/>
    </w:rPr>
  </w:style>
  <w:style w:type="paragraph" w:customStyle="1" w:styleId="Chapter">
    <w:name w:val="Chapter"/>
    <w:basedOn w:val="Normal"/>
    <w:rsid w:val="006A1FE4"/>
    <w:pPr>
      <w:spacing w:before="240"/>
    </w:pPr>
    <w:rPr>
      <w:rFonts w:ascii="Times New Roman" w:hAnsi="Times New Roman"/>
      <w:smallCaps/>
      <w:spacing w:val="80"/>
      <w:sz w:val="28"/>
    </w:rPr>
  </w:style>
  <w:style w:type="paragraph" w:customStyle="1" w:styleId="InChapter">
    <w:name w:val="InChapter"/>
    <w:basedOn w:val="Heading3"/>
    <w:rsid w:val="006A1FE4"/>
    <w:pPr>
      <w:spacing w:after="240"/>
      <w:outlineLvl w:val="9"/>
    </w:pPr>
    <w:rPr>
      <w:noProof/>
    </w:rPr>
  </w:style>
  <w:style w:type="paragraph" w:styleId="Index2">
    <w:name w:val="index 2"/>
    <w:basedOn w:val="Normal"/>
    <w:next w:val="Normal"/>
    <w:semiHidden/>
    <w:rsid w:val="006A1FE4"/>
    <w:pPr>
      <w:tabs>
        <w:tab w:val="right" w:pos="4176"/>
      </w:tabs>
      <w:ind w:left="568" w:hanging="284"/>
    </w:pPr>
    <w:rPr>
      <w:rFonts w:ascii="Garamond" w:hAnsi="Garamond"/>
    </w:rPr>
  </w:style>
  <w:style w:type="paragraph" w:customStyle="1" w:styleId="Byline">
    <w:name w:val="Byline"/>
    <w:rsid w:val="006A1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FE4"/>
    <w:pPr>
      <w:tabs>
        <w:tab w:val="clear" w:pos="3600"/>
        <w:tab w:val="clear" w:pos="3958"/>
      </w:tabs>
      <w:jc w:val="right"/>
    </w:pPr>
  </w:style>
  <w:style w:type="character" w:styleId="Emphasis">
    <w:name w:val="Emphasis"/>
    <w:basedOn w:val="DefaultParagraphFont"/>
    <w:qFormat/>
    <w:rsid w:val="006A1FE4"/>
    <w:rPr>
      <w:i/>
    </w:rPr>
  </w:style>
  <w:style w:type="paragraph" w:styleId="Caption">
    <w:name w:val="caption"/>
    <w:basedOn w:val="BodyText"/>
    <w:next w:val="Normal"/>
    <w:qFormat/>
    <w:rsid w:val="006A1FE4"/>
    <w:pPr>
      <w:framePr w:w="2268" w:hSpace="181" w:vSpace="181" w:wrap="around" w:vAnchor="text" w:hAnchor="page" w:x="1135" w:y="285" w:anchorLock="1"/>
    </w:pPr>
    <w:rPr>
      <w:i/>
    </w:rPr>
  </w:style>
  <w:style w:type="paragraph" w:customStyle="1" w:styleId="MiniTOCTitle">
    <w:name w:val="MiniTOCTitle"/>
    <w:basedOn w:val="Heading4"/>
    <w:rsid w:val="006A1FE4"/>
    <w:pPr>
      <w:spacing w:before="240"/>
      <w:outlineLvl w:val="9"/>
    </w:pPr>
    <w:rPr>
      <w:noProof/>
      <w:sz w:val="24"/>
    </w:rPr>
  </w:style>
  <w:style w:type="paragraph" w:customStyle="1" w:styleId="MiniTOCItem">
    <w:name w:val="MiniTOCItem"/>
    <w:basedOn w:val="ListBullet"/>
    <w:rsid w:val="006A1FE4"/>
    <w:pPr>
      <w:numPr>
        <w:numId w:val="0"/>
      </w:numPr>
      <w:tabs>
        <w:tab w:val="right" w:leader="dot" w:pos="6521"/>
      </w:tabs>
      <w:spacing w:before="0" w:after="0"/>
    </w:pPr>
  </w:style>
  <w:style w:type="paragraph" w:customStyle="1" w:styleId="TOFTitle">
    <w:name w:val="TOFTitle"/>
    <w:basedOn w:val="TOCTitle"/>
    <w:rsid w:val="006A1FE4"/>
  </w:style>
  <w:style w:type="paragraph" w:styleId="TableofFigures">
    <w:name w:val="table of figures"/>
    <w:basedOn w:val="Normal"/>
    <w:next w:val="Normal"/>
    <w:semiHidden/>
    <w:rsid w:val="006A1FE4"/>
    <w:pPr>
      <w:tabs>
        <w:tab w:val="right" w:leader="dot" w:pos="9072"/>
      </w:tabs>
      <w:ind w:left="970" w:hanging="403"/>
    </w:pPr>
    <w:rPr>
      <w:rFonts w:ascii="Times New Roman" w:hAnsi="Times New Roman"/>
      <w:b/>
    </w:rPr>
  </w:style>
  <w:style w:type="paragraph" w:styleId="ListNumber">
    <w:name w:val="List Number"/>
    <w:basedOn w:val="List"/>
    <w:rsid w:val="006A1FE4"/>
    <w:pPr>
      <w:numPr>
        <w:numId w:val="11"/>
      </w:numPr>
    </w:pPr>
  </w:style>
  <w:style w:type="character" w:customStyle="1" w:styleId="WingdingSymbols">
    <w:name w:val="Wingding Symbols"/>
    <w:rsid w:val="006A1FE4"/>
    <w:rPr>
      <w:rFonts w:ascii="Wingdings" w:hAnsi="Wingdings"/>
    </w:rPr>
  </w:style>
  <w:style w:type="paragraph" w:customStyle="1" w:styleId="TableHeading">
    <w:name w:val="Table Heading"/>
    <w:basedOn w:val="HeadingBase"/>
    <w:rsid w:val="006A1FE4"/>
    <w:pPr>
      <w:keepLines/>
      <w:pBdr>
        <w:bottom w:val="single" w:sz="6" w:space="1" w:color="918585"/>
      </w:pBdr>
      <w:spacing w:before="240"/>
    </w:pPr>
  </w:style>
  <w:style w:type="character" w:customStyle="1" w:styleId="HotSpot">
    <w:name w:val="HotSpot"/>
    <w:rsid w:val="006A1FE4"/>
    <w:rPr>
      <w:color w:val="0033CC"/>
      <w:u w:val="none"/>
    </w:rPr>
  </w:style>
  <w:style w:type="paragraph" w:customStyle="1" w:styleId="BodyTextRight">
    <w:name w:val="Body Text Right"/>
    <w:basedOn w:val="BodyText"/>
    <w:rsid w:val="006A1FE4"/>
    <w:pPr>
      <w:spacing w:before="0" w:after="0"/>
      <w:jc w:val="right"/>
    </w:pPr>
  </w:style>
  <w:style w:type="paragraph" w:styleId="Index3">
    <w:name w:val="index 3"/>
    <w:basedOn w:val="ListNumber2"/>
    <w:next w:val="Normal"/>
    <w:semiHidden/>
    <w:rsid w:val="006A1FE4"/>
    <w:pPr>
      <w:numPr>
        <w:numId w:val="0"/>
      </w:numPr>
      <w:tabs>
        <w:tab w:val="right" w:leader="dot" w:pos="4176"/>
      </w:tabs>
    </w:pPr>
  </w:style>
  <w:style w:type="paragraph" w:styleId="ListNumber2">
    <w:name w:val="List Number 2"/>
    <w:basedOn w:val="List2"/>
    <w:rsid w:val="006A1FE4"/>
    <w:pPr>
      <w:numPr>
        <w:numId w:val="10"/>
      </w:numPr>
      <w:tabs>
        <w:tab w:val="clear" w:pos="1060"/>
      </w:tabs>
    </w:pPr>
  </w:style>
  <w:style w:type="paragraph" w:customStyle="1" w:styleId="MarginNote">
    <w:name w:val="Margin Note"/>
    <w:basedOn w:val="BodyText"/>
    <w:rsid w:val="006A1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F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FE4"/>
    <w:rPr>
      <w:sz w:val="32"/>
    </w:rPr>
  </w:style>
  <w:style w:type="paragraph" w:customStyle="1" w:styleId="HeadingProcedure">
    <w:name w:val="Heading Procedure"/>
    <w:basedOn w:val="HeadingBase"/>
    <w:next w:val="Normal"/>
    <w:rsid w:val="006A1FE4"/>
    <w:pPr>
      <w:tabs>
        <w:tab w:val="left" w:pos="0"/>
      </w:tabs>
      <w:spacing w:before="120" w:after="60"/>
    </w:pPr>
    <w:rPr>
      <w:i/>
      <w:color w:val="918585"/>
      <w:sz w:val="22"/>
    </w:rPr>
  </w:style>
  <w:style w:type="paragraph" w:customStyle="1" w:styleId="TableBodyText">
    <w:name w:val="Table Body Text"/>
    <w:basedOn w:val="BodyText"/>
    <w:rsid w:val="006A1FE4"/>
    <w:pPr>
      <w:spacing w:before="60" w:after="60"/>
    </w:pPr>
  </w:style>
  <w:style w:type="paragraph" w:styleId="ListContinue">
    <w:name w:val="List Continue"/>
    <w:basedOn w:val="List"/>
    <w:rsid w:val="006A1FE4"/>
    <w:pPr>
      <w:ind w:firstLine="0"/>
    </w:pPr>
  </w:style>
  <w:style w:type="paragraph" w:customStyle="1" w:styleId="ListNote">
    <w:name w:val="List Note"/>
    <w:basedOn w:val="List"/>
    <w:rsid w:val="006A1FE4"/>
    <w:pPr>
      <w:pBdr>
        <w:top w:val="single" w:sz="6" w:space="2" w:color="918585"/>
        <w:bottom w:val="single" w:sz="6" w:space="2" w:color="918585"/>
      </w:pBdr>
      <w:tabs>
        <w:tab w:val="left" w:pos="1021"/>
      </w:tabs>
      <w:ind w:firstLine="0"/>
    </w:pPr>
  </w:style>
  <w:style w:type="paragraph" w:customStyle="1" w:styleId="Warning">
    <w:name w:val="Warning"/>
    <w:basedOn w:val="BodyText"/>
    <w:rsid w:val="006A1FE4"/>
    <w:pPr>
      <w:shd w:val="clear" w:color="auto" w:fill="D9D9D9"/>
      <w:tabs>
        <w:tab w:val="left" w:pos="992"/>
      </w:tabs>
      <w:ind w:left="119" w:right="119"/>
    </w:pPr>
    <w:rPr>
      <w:sz w:val="20"/>
    </w:rPr>
  </w:style>
  <w:style w:type="paragraph" w:customStyle="1" w:styleId="MarginIcons">
    <w:name w:val="Margin Icons"/>
    <w:basedOn w:val="BodyText"/>
    <w:rsid w:val="006A1F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FE4"/>
    <w:rPr>
      <w:rFonts w:ascii="Courier New" w:hAnsi="Courier New"/>
    </w:rPr>
  </w:style>
  <w:style w:type="paragraph" w:customStyle="1" w:styleId="NoteBullet">
    <w:name w:val="Note Bullet"/>
    <w:basedOn w:val="Note"/>
    <w:rsid w:val="006A1FE4"/>
    <w:pPr>
      <w:tabs>
        <w:tab w:val="clear" w:pos="680"/>
      </w:tabs>
      <w:spacing w:before="60" w:after="60"/>
    </w:pPr>
  </w:style>
  <w:style w:type="paragraph" w:customStyle="1" w:styleId="SubHeading2">
    <w:name w:val="SubHeading2"/>
    <w:basedOn w:val="HeadingBase"/>
    <w:rsid w:val="006A1FE4"/>
    <w:pPr>
      <w:spacing w:before="240" w:after="60"/>
    </w:pPr>
    <w:rPr>
      <w:sz w:val="20"/>
    </w:rPr>
  </w:style>
  <w:style w:type="paragraph" w:customStyle="1" w:styleId="SubHeading1">
    <w:name w:val="SubHeading1"/>
    <w:basedOn w:val="HeadingBase"/>
    <w:rsid w:val="006A1FE4"/>
    <w:pPr>
      <w:spacing w:before="240" w:after="60"/>
    </w:pPr>
    <w:rPr>
      <w:color w:val="918585"/>
      <w:sz w:val="22"/>
    </w:rPr>
  </w:style>
  <w:style w:type="paragraph" w:customStyle="1" w:styleId="SideHeading">
    <w:name w:val="Side Heading"/>
    <w:basedOn w:val="HeadingBase"/>
    <w:rsid w:val="006A1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FE4"/>
    <w:pPr>
      <w:numPr>
        <w:numId w:val="12"/>
      </w:numPr>
    </w:pPr>
  </w:style>
  <w:style w:type="paragraph" w:styleId="PlainText">
    <w:name w:val="Plain Text"/>
    <w:basedOn w:val="Normal"/>
    <w:link w:val="PlainTextChar"/>
    <w:rsid w:val="006A1FE4"/>
    <w:rPr>
      <w:sz w:val="20"/>
    </w:rPr>
  </w:style>
  <w:style w:type="character" w:customStyle="1" w:styleId="PlainTextChar">
    <w:name w:val="Plain Text Char"/>
    <w:basedOn w:val="DefaultParagraphFont"/>
    <w:link w:val="PlainText"/>
    <w:rsid w:val="006A1FE4"/>
    <w:rPr>
      <w:rFonts w:ascii="Courier New" w:eastAsia="Times New Roman" w:hAnsi="Courier New" w:cs="Times New Roman"/>
      <w:sz w:val="20"/>
      <w:szCs w:val="20"/>
      <w:lang w:eastAsia="en-US"/>
    </w:rPr>
  </w:style>
  <w:style w:type="character" w:customStyle="1" w:styleId="MenuOption">
    <w:name w:val="Menu Option"/>
    <w:basedOn w:val="DefaultParagraphFont"/>
    <w:rsid w:val="006A1FE4"/>
    <w:rPr>
      <w:b/>
      <w:smallCaps/>
    </w:rPr>
  </w:style>
  <w:style w:type="paragraph" w:customStyle="1" w:styleId="TableListNumber">
    <w:name w:val="Table List Number"/>
    <w:basedOn w:val="ListNumber"/>
    <w:rsid w:val="006A1FE4"/>
    <w:pPr>
      <w:numPr>
        <w:numId w:val="0"/>
      </w:numPr>
    </w:pPr>
  </w:style>
  <w:style w:type="paragraph" w:styleId="TOC4">
    <w:name w:val="toc 4"/>
    <w:basedOn w:val="TOCBase"/>
    <w:next w:val="Normal"/>
    <w:semiHidden/>
    <w:rsid w:val="006A1FE4"/>
    <w:pPr>
      <w:tabs>
        <w:tab w:val="right" w:leader="dot" w:pos="9071"/>
      </w:tabs>
      <w:ind w:left="1701"/>
    </w:pPr>
  </w:style>
  <w:style w:type="paragraph" w:customStyle="1" w:styleId="ListAlpha">
    <w:name w:val="List Alpha"/>
    <w:basedOn w:val="List"/>
    <w:rsid w:val="006A1FE4"/>
    <w:pPr>
      <w:numPr>
        <w:numId w:val="9"/>
      </w:numPr>
    </w:pPr>
  </w:style>
  <w:style w:type="paragraph" w:customStyle="1" w:styleId="ListAlpha2">
    <w:name w:val="List Alpha 2"/>
    <w:basedOn w:val="List2"/>
    <w:rsid w:val="006A1FE4"/>
    <w:pPr>
      <w:numPr>
        <w:numId w:val="8"/>
      </w:numPr>
    </w:pPr>
  </w:style>
  <w:style w:type="paragraph" w:styleId="List2">
    <w:name w:val="List 2"/>
    <w:basedOn w:val="BodyText"/>
    <w:rsid w:val="006A1FE4"/>
    <w:pPr>
      <w:tabs>
        <w:tab w:val="left" w:pos="680"/>
      </w:tabs>
      <w:spacing w:before="60" w:after="60"/>
      <w:ind w:left="680" w:hanging="340"/>
    </w:pPr>
  </w:style>
  <w:style w:type="paragraph" w:styleId="List3">
    <w:name w:val="List 3"/>
    <w:basedOn w:val="BodyText"/>
    <w:rsid w:val="006A1FE4"/>
    <w:pPr>
      <w:tabs>
        <w:tab w:val="left" w:pos="1021"/>
      </w:tabs>
      <w:spacing w:before="60" w:after="60"/>
      <w:ind w:left="1020" w:hanging="340"/>
    </w:pPr>
  </w:style>
  <w:style w:type="paragraph" w:styleId="List4">
    <w:name w:val="List 4"/>
    <w:basedOn w:val="BodyText"/>
    <w:rsid w:val="006A1FE4"/>
    <w:pPr>
      <w:tabs>
        <w:tab w:val="left" w:pos="1361"/>
      </w:tabs>
      <w:spacing w:before="60" w:after="60"/>
      <w:ind w:left="1361" w:hanging="340"/>
    </w:pPr>
  </w:style>
  <w:style w:type="paragraph" w:styleId="List5">
    <w:name w:val="List 5"/>
    <w:basedOn w:val="BodyText"/>
    <w:rsid w:val="006A1FE4"/>
    <w:pPr>
      <w:tabs>
        <w:tab w:val="left" w:pos="1701"/>
      </w:tabs>
      <w:spacing w:before="60" w:after="60"/>
      <w:ind w:left="1701" w:hanging="340"/>
    </w:pPr>
  </w:style>
  <w:style w:type="paragraph" w:styleId="ListBullet3">
    <w:name w:val="List Bullet 3"/>
    <w:basedOn w:val="List3"/>
    <w:rsid w:val="006A1FE4"/>
    <w:pPr>
      <w:numPr>
        <w:numId w:val="15"/>
      </w:numPr>
      <w:tabs>
        <w:tab w:val="clear" w:pos="1021"/>
      </w:tabs>
      <w:ind w:left="1037" w:hanging="357"/>
    </w:pPr>
  </w:style>
  <w:style w:type="paragraph" w:styleId="ListBullet4">
    <w:name w:val="List Bullet 4"/>
    <w:basedOn w:val="List4"/>
    <w:rsid w:val="006A1FE4"/>
    <w:pPr>
      <w:numPr>
        <w:numId w:val="3"/>
      </w:numPr>
    </w:pPr>
  </w:style>
  <w:style w:type="paragraph" w:styleId="ListBullet5">
    <w:name w:val="List Bullet 5"/>
    <w:basedOn w:val="List5"/>
    <w:rsid w:val="006A1FE4"/>
    <w:pPr>
      <w:numPr>
        <w:numId w:val="4"/>
      </w:numPr>
    </w:pPr>
  </w:style>
  <w:style w:type="paragraph" w:styleId="ListContinue2">
    <w:name w:val="List Continue 2"/>
    <w:basedOn w:val="List2"/>
    <w:rsid w:val="006A1FE4"/>
    <w:pPr>
      <w:ind w:firstLine="0"/>
    </w:pPr>
  </w:style>
  <w:style w:type="paragraph" w:styleId="ListContinue3">
    <w:name w:val="List Continue 3"/>
    <w:basedOn w:val="List3"/>
    <w:rsid w:val="006A1FE4"/>
    <w:pPr>
      <w:ind w:left="1021" w:firstLine="0"/>
    </w:pPr>
  </w:style>
  <w:style w:type="paragraph" w:styleId="ListContinue4">
    <w:name w:val="List Continue 4"/>
    <w:basedOn w:val="List4"/>
    <w:rsid w:val="006A1FE4"/>
    <w:pPr>
      <w:ind w:firstLine="0"/>
    </w:pPr>
  </w:style>
  <w:style w:type="paragraph" w:styleId="ListContinue5">
    <w:name w:val="List Continue 5"/>
    <w:basedOn w:val="List5"/>
    <w:rsid w:val="006A1FE4"/>
    <w:pPr>
      <w:ind w:firstLine="0"/>
    </w:pPr>
  </w:style>
  <w:style w:type="paragraph" w:styleId="ListNumber3">
    <w:name w:val="List Number 3"/>
    <w:basedOn w:val="List3"/>
    <w:rsid w:val="006A1FE4"/>
    <w:pPr>
      <w:numPr>
        <w:numId w:val="5"/>
      </w:numPr>
    </w:pPr>
  </w:style>
  <w:style w:type="paragraph" w:styleId="ListNumber4">
    <w:name w:val="List Number 4"/>
    <w:basedOn w:val="List4"/>
    <w:rsid w:val="006A1FE4"/>
    <w:pPr>
      <w:numPr>
        <w:numId w:val="6"/>
      </w:numPr>
    </w:pPr>
  </w:style>
  <w:style w:type="paragraph" w:styleId="ListNumber5">
    <w:name w:val="List Number 5"/>
    <w:basedOn w:val="List5"/>
    <w:rsid w:val="006A1FE4"/>
    <w:pPr>
      <w:numPr>
        <w:numId w:val="7"/>
      </w:numPr>
    </w:pPr>
  </w:style>
  <w:style w:type="paragraph" w:styleId="BlockText">
    <w:name w:val="Block Text"/>
    <w:basedOn w:val="Normal"/>
    <w:rsid w:val="006A1FE4"/>
    <w:pPr>
      <w:spacing w:after="120"/>
      <w:ind w:left="1440" w:right="1440"/>
    </w:pPr>
  </w:style>
  <w:style w:type="character" w:customStyle="1" w:styleId="Subscript">
    <w:name w:val="Subscript"/>
    <w:basedOn w:val="DefaultParagraphFont"/>
    <w:rsid w:val="006A1FE4"/>
    <w:rPr>
      <w:sz w:val="16"/>
      <w:vertAlign w:val="subscript"/>
    </w:rPr>
  </w:style>
  <w:style w:type="character" w:customStyle="1" w:styleId="Superscript">
    <w:name w:val="Superscript"/>
    <w:basedOn w:val="DefaultParagraphFont"/>
    <w:rsid w:val="006A1FE4"/>
    <w:rPr>
      <w:sz w:val="16"/>
      <w:vertAlign w:val="superscript"/>
    </w:rPr>
  </w:style>
  <w:style w:type="character" w:customStyle="1" w:styleId="Symbols">
    <w:name w:val="Symbols"/>
    <w:basedOn w:val="DefaultParagraphFont"/>
    <w:rsid w:val="006A1FE4"/>
    <w:rPr>
      <w:rFonts w:ascii="Symbol" w:hAnsi="Symbol"/>
    </w:rPr>
  </w:style>
  <w:style w:type="character" w:customStyle="1" w:styleId="MenuOptions">
    <w:name w:val="Menu Options"/>
    <w:basedOn w:val="DefaultParagraphFont"/>
    <w:rsid w:val="006A1FE4"/>
    <w:rPr>
      <w:rFonts w:ascii="Arial Narrow" w:hAnsi="Arial Narrow"/>
      <w:smallCaps/>
    </w:rPr>
  </w:style>
  <w:style w:type="character" w:customStyle="1" w:styleId="Buttons">
    <w:name w:val="Buttons"/>
    <w:basedOn w:val="DefaultParagraphFont"/>
    <w:rsid w:val="006A1FE4"/>
    <w:rPr>
      <w:b/>
    </w:rPr>
  </w:style>
  <w:style w:type="character" w:customStyle="1" w:styleId="Underlined">
    <w:name w:val="Underlined"/>
    <w:basedOn w:val="DefaultParagraphFont"/>
    <w:rsid w:val="006A1FE4"/>
    <w:rPr>
      <w:u w:val="single"/>
    </w:rPr>
  </w:style>
  <w:style w:type="paragraph" w:customStyle="1" w:styleId="TableBodyTextRight">
    <w:name w:val="Table Body Text Right"/>
    <w:basedOn w:val="TableBodyText"/>
    <w:rsid w:val="006A1FE4"/>
    <w:pPr>
      <w:widowControl w:val="0"/>
      <w:autoSpaceDE w:val="0"/>
      <w:autoSpaceDN w:val="0"/>
      <w:adjustRightInd w:val="0"/>
      <w:jc w:val="right"/>
    </w:pPr>
    <w:rPr>
      <w:rFonts w:cs="Arial"/>
      <w:szCs w:val="18"/>
    </w:rPr>
  </w:style>
  <w:style w:type="paragraph" w:customStyle="1" w:styleId="CopyrightText">
    <w:name w:val="Copyright Text"/>
    <w:basedOn w:val="BodyText"/>
    <w:rsid w:val="006A1FE4"/>
    <w:rPr>
      <w:sz w:val="18"/>
    </w:rPr>
  </w:style>
  <w:style w:type="paragraph" w:customStyle="1" w:styleId="BodySmallRight">
    <w:name w:val="Body Small Right"/>
    <w:basedOn w:val="BodyTextRight"/>
    <w:rsid w:val="006A1FE4"/>
    <w:rPr>
      <w:sz w:val="18"/>
      <w:szCs w:val="18"/>
    </w:rPr>
  </w:style>
  <w:style w:type="paragraph" w:customStyle="1" w:styleId="MarginEdition">
    <w:name w:val="Margin Edition"/>
    <w:basedOn w:val="MarginNote"/>
    <w:rsid w:val="006A1FE4"/>
    <w:pPr>
      <w:spacing w:before="0" w:after="0"/>
    </w:pPr>
    <w:rPr>
      <w:rFonts w:ascii="Times New Roman" w:hAnsi="Times New Roman"/>
      <w:color w:val="999999"/>
    </w:rPr>
  </w:style>
  <w:style w:type="paragraph" w:customStyle="1" w:styleId="Spacer">
    <w:name w:val="Spacer"/>
    <w:basedOn w:val="Normal"/>
    <w:rsid w:val="006A1FE4"/>
    <w:rPr>
      <w:sz w:val="2"/>
      <w:szCs w:val="2"/>
    </w:rPr>
  </w:style>
  <w:style w:type="character" w:customStyle="1" w:styleId="Small">
    <w:name w:val="Small"/>
    <w:basedOn w:val="DefaultParagraphFont"/>
    <w:rsid w:val="006A1FE4"/>
    <w:rPr>
      <w:sz w:val="16"/>
    </w:rPr>
  </w:style>
  <w:style w:type="paragraph" w:customStyle="1" w:styleId="WideTable">
    <w:name w:val="Wide Table"/>
    <w:basedOn w:val="Normal"/>
    <w:rsid w:val="006A1FE4"/>
    <w:pPr>
      <w:ind w:left="-1418"/>
    </w:pPr>
    <w:rPr>
      <w:sz w:val="2"/>
      <w:szCs w:val="2"/>
    </w:rPr>
  </w:style>
  <w:style w:type="character" w:styleId="PageNumber">
    <w:name w:val="page number"/>
    <w:basedOn w:val="DefaultParagraphFont"/>
    <w:rsid w:val="006A1FE4"/>
  </w:style>
  <w:style w:type="paragraph" w:styleId="Quote">
    <w:name w:val="Quote"/>
    <w:basedOn w:val="Heading1"/>
    <w:link w:val="QuoteChar"/>
    <w:qFormat/>
    <w:rsid w:val="006A1FE4"/>
    <w:rPr>
      <w:b w:val="0"/>
      <w:sz w:val="72"/>
      <w:szCs w:val="72"/>
      <w:lang w:val="en-NZ"/>
    </w:rPr>
  </w:style>
  <w:style w:type="character" w:customStyle="1" w:styleId="QuoteChar">
    <w:name w:val="Quote Char"/>
    <w:basedOn w:val="DefaultParagraphFont"/>
    <w:link w:val="Quote"/>
    <w:rsid w:val="006A1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FE4"/>
    <w:pPr>
      <w:pageBreakBefore/>
    </w:pPr>
  </w:style>
  <w:style w:type="paragraph" w:customStyle="1" w:styleId="Border">
    <w:name w:val="Border"/>
    <w:basedOn w:val="Normal"/>
    <w:qFormat/>
    <w:rsid w:val="006A1F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FE4"/>
    <w:rPr>
      <w:b/>
      <w:bCs/>
      <w:i/>
      <w:iCs/>
      <w:color w:val="auto"/>
    </w:rPr>
  </w:style>
  <w:style w:type="paragraph" w:styleId="IntenseQuote">
    <w:name w:val="Intense Quote"/>
    <w:basedOn w:val="Normal"/>
    <w:next w:val="Normal"/>
    <w:link w:val="IntenseQuoteChar"/>
    <w:uiPriority w:val="30"/>
    <w:qFormat/>
    <w:rsid w:val="006A1F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F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FE4"/>
    <w:rPr>
      <w:smallCaps/>
      <w:color w:val="auto"/>
      <w:u w:val="single"/>
    </w:rPr>
  </w:style>
  <w:style w:type="character" w:styleId="IntenseReference">
    <w:name w:val="Intense Reference"/>
    <w:basedOn w:val="DefaultParagraphFont"/>
    <w:uiPriority w:val="32"/>
    <w:qFormat/>
    <w:rsid w:val="006A1FE4"/>
    <w:rPr>
      <w:b/>
      <w:bCs/>
      <w:smallCaps/>
      <w:color w:val="auto"/>
      <w:spacing w:val="5"/>
      <w:u w:val="single"/>
    </w:rPr>
  </w:style>
  <w:style w:type="paragraph" w:customStyle="1" w:styleId="2ColumnHeading">
    <w:name w:val="2Column Heading"/>
    <w:basedOn w:val="BodyText"/>
    <w:qFormat/>
    <w:rsid w:val="006A1FE4"/>
    <w:pPr>
      <w:spacing w:after="60"/>
      <w:ind w:left="-2268"/>
    </w:pPr>
    <w:rPr>
      <w:b/>
    </w:rPr>
  </w:style>
  <w:style w:type="paragraph" w:customStyle="1" w:styleId="Heading1TOC">
    <w:name w:val="Heading1 TOC"/>
    <w:basedOn w:val="Normal"/>
    <w:qFormat/>
    <w:rsid w:val="006A1FE4"/>
    <w:pPr>
      <w:spacing w:before="240" w:after="120"/>
    </w:pPr>
    <w:rPr>
      <w:rFonts w:ascii="Times New Roman" w:hAnsi="Times New Roman"/>
      <w:b/>
      <w:sz w:val="32"/>
    </w:rPr>
  </w:style>
  <w:style w:type="paragraph" w:customStyle="1" w:styleId="Heading2TOC">
    <w:name w:val="Heading2 TOC"/>
    <w:basedOn w:val="Normal"/>
    <w:qFormat/>
    <w:rsid w:val="006A1FE4"/>
    <w:pPr>
      <w:spacing w:before="240" w:after="60"/>
    </w:pPr>
    <w:rPr>
      <w:rFonts w:ascii="Times New Roman" w:hAnsi="Times New Roman"/>
      <w:b/>
      <w:sz w:val="28"/>
    </w:rPr>
  </w:style>
  <w:style w:type="character" w:customStyle="1" w:styleId="Underline">
    <w:name w:val="Underline"/>
    <w:basedOn w:val="DefaultParagraphFont"/>
    <w:qFormat/>
    <w:rsid w:val="006A1FE4"/>
    <w:rPr>
      <w:u w:val="single"/>
    </w:rPr>
  </w:style>
  <w:style w:type="character" w:customStyle="1" w:styleId="BoldandItalics">
    <w:name w:val="Bold and Italics"/>
    <w:qFormat/>
    <w:rsid w:val="006A1FE4"/>
    <w:rPr>
      <w:b/>
      <w:i/>
      <w:u w:val="none"/>
    </w:rPr>
  </w:style>
  <w:style w:type="paragraph" w:styleId="BalloonText">
    <w:name w:val="Balloon Text"/>
    <w:basedOn w:val="Normal"/>
    <w:link w:val="BalloonTextChar"/>
    <w:rsid w:val="006A1FE4"/>
    <w:rPr>
      <w:rFonts w:ascii="Tahoma" w:hAnsi="Tahoma" w:cs="Tahoma"/>
      <w:sz w:val="16"/>
      <w:szCs w:val="16"/>
    </w:rPr>
  </w:style>
  <w:style w:type="character" w:customStyle="1" w:styleId="BalloonTextChar">
    <w:name w:val="Balloon Text Char"/>
    <w:basedOn w:val="DefaultParagraphFont"/>
    <w:link w:val="BalloonText"/>
    <w:rsid w:val="006A1F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F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1F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FE4"/>
    <w:rPr>
      <w:b/>
      <w:color w:val="660033"/>
      <w:spacing w:val="0"/>
    </w:rPr>
  </w:style>
  <w:style w:type="paragraph" w:customStyle="1" w:styleId="Nameditemlist">
    <w:name w:val="Named item list"/>
    <w:basedOn w:val="BodyText"/>
    <w:qFormat/>
    <w:rsid w:val="006A1F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1893</Words>
  <Characters>11358</Characters>
  <Application>Microsoft Office Word</Application>
  <DocSecurity>0</DocSecurity>
  <Lines>461</Lines>
  <Paragraphs>196</Paragraphs>
  <ScaleCrop>false</ScaleCrop>
  <Company>Author-it Software Corporation Ltd.</Company>
  <LinksUpToDate>false</LinksUpToDate>
  <CharactersWithSpaces>13116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UEENEEK146A Design energy management controls for electrical installations in buildings</dc:title>
  <dc:subject>Approved</dc:subject>
  <dc:creator>E-OZ Training Standards</dc:creator>
  <cp:keywords>Release: 2</cp:keywords>
  <dc:description>Review Date: 12 April 2008</dc:description>
  <cp:lastModifiedBy>TPCMS</cp:lastModifiedBy>
  <cp:revision>3</cp:revision>
  <dcterms:created xsi:type="dcterms:W3CDTF">2013-08-14T07:59:00Z</dcterms:created>
  <dcterms:modified xsi:type="dcterms:W3CDTF">2013-08-14T07:59:00Z</dcterms:modified>
</cp:coreProperties>
</file>