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1D4" w:rsidP="008F41D4">
      <w:pPr>
        <w:pStyle w:val="Title"/>
      </w:pPr>
      <w:r>
        <w:fldChar w:fldCharType="begin"/>
      </w:r>
      <w:r>
        <w:instrText xml:space="preserve"> TITLE   \* MERGEFORMAT </w:instrText>
      </w:r>
      <w:r>
        <w:fldChar w:fldCharType="separate"/>
      </w:r>
      <w:r>
        <w:t>UEENEEK136A Install, configure and commission LV micro-hydro systems rated up to 6.4 kW</w:t>
      </w:r>
      <w:r>
        <w:fldChar w:fldCharType="end"/>
      </w:r>
    </w:p>
    <w:p w:rsidR="008F41D4" w:rsidP="008F41D4">
      <w:pPr>
        <w:pStyle w:val="Version"/>
        <w:sectPr w:rsidSect="007761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61EA" w:rsidP="007761EA">
      <w:pPr>
        <w:pStyle w:val="SuperHeading"/>
      </w:pPr>
      <w:r w:rsidRPr="007761EA">
        <w:t>UEENEEK136A Install, configure and commission LV micro-hydro systems rated up to 6.4 kW</w:t>
      </w:r>
    </w:p>
    <w:p w:rsidR="00000000" w:rsidRPr="007761EA" w:rsidP="007761EA">
      <w:pPr>
        <w:pStyle w:val="Heading1"/>
      </w:pPr>
      <w:bookmarkStart w:id="1" w:name="O_588945"/>
      <w:bookmarkEnd w:id="1"/>
      <w:r w:rsidRPr="007761EA">
        <w:t>Modification History</w:t>
      </w:r>
    </w:p>
    <w:p w:rsidR="00000000" w:rsidRPr="007761EA" w:rsidP="007761EA">
      <w:pPr>
        <w:pStyle w:val="BodyText"/>
      </w:pPr>
      <w:r w:rsidRPr="007761EA">
        <w:t>Not applicable.</w:t>
      </w:r>
    </w:p>
    <w:p w:rsidR="00000000" w:rsidRPr="007761EA" w:rsidP="007761EA">
      <w:pPr>
        <w:pStyle w:val="AllowPageBreak"/>
      </w:pPr>
    </w:p>
    <w:p w:rsidR="00000000" w:rsidRPr="007761EA" w:rsidP="007761EA">
      <w:pPr>
        <w:pStyle w:val="Heading1"/>
      </w:pPr>
      <w:bookmarkStart w:id="2" w:name="O_588944"/>
      <w:bookmarkEnd w:id="2"/>
      <w:r w:rsidRPr="007761EA">
        <w:t>Unit Descriptor</w:t>
      </w:r>
    </w:p>
    <w:tbl>
      <w:tblPr>
        <w:tblW w:w="0" w:type="auto"/>
        <w:tblLayout w:type="fixed"/>
        <w:tblCellMar>
          <w:left w:w="62" w:type="dxa"/>
          <w:right w:w="62" w:type="dxa"/>
        </w:tblCellMar>
        <w:tblLook w:val="0000"/>
      </w:tblPr>
      <w:tblGrid>
        <w:gridCol w:w="2700"/>
        <w:gridCol w:w="5760"/>
      </w:tblGrid>
      <w:tr w:rsidTr="008F41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1)</w:t>
            </w:r>
            <w:r w:rsidRPr="007761EA">
              <w:t xml:space="preserve"> </w:t>
            </w:r>
            <w:r w:rsidRPr="007761EA">
              <w:rPr>
                <w:rStyle w:val="SpecialBold"/>
              </w:rPr>
              <w:t>Scope:</w:t>
            </w:r>
          </w:p>
        </w:tc>
      </w:tr>
      <w:tr w:rsidTr="008F41D4">
        <w:tblPrEx>
          <w:tblW w:w="0" w:type="auto"/>
          <w:tblLayout w:type="fixed"/>
          <w:tblCellMar>
            <w:left w:w="62" w:type="dxa"/>
            <w:right w:w="62" w:type="dxa"/>
          </w:tblCellMar>
          <w:tblLook w:val="0000"/>
        </w:tblPrEx>
        <w:trPr>
          <w:trHeight w:val="481"/>
        </w:trPr>
        <w:tc>
          <w:tcPr>
            <w:tcW w:w="2700" w:type="dxa"/>
            <w:tcBorders>
              <w:top w:val="nil"/>
              <w:left w:val="nil"/>
              <w:bottom w:val="nil"/>
              <w:right w:val="nil"/>
            </w:tcBorders>
            <w:tcMar>
              <w:top w:w="0" w:type="dxa"/>
              <w:left w:w="62" w:type="dxa"/>
              <w:bottom w:w="0" w:type="dxa"/>
              <w:right w:w="62" w:type="dxa"/>
            </w:tcMar>
          </w:tcPr>
          <w:p w:rsidR="00000000" w:rsidRPr="007761E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1.1) Descriptor</w:t>
            </w:r>
          </w:p>
        </w:tc>
      </w:tr>
      <w:tr w:rsidTr="008F41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This unit covers the installation and adjustment and set-up of LV micro-hydro systems rated up to 6.4 kW. It encompasses working safely and to installation standards, matching components with that specified for a given location, placing and securing system</w:t>
            </w:r>
            <w:r w:rsidRPr="007761EA">
              <w:t xml:space="preserve"> components accurately, making required circuit connections and completing the necessary installation documentation.</w:t>
            </w:r>
          </w:p>
        </w:tc>
      </w:tr>
    </w:tbl>
    <w:p w:rsidR="00000000" w:rsidRPr="007761EA" w:rsidP="007761EA">
      <w:pPr>
        <w:pStyle w:val="BodyText"/>
      </w:pPr>
    </w:p>
    <w:p w:rsidR="00000000" w:rsidRPr="007761EA" w:rsidP="007761EA">
      <w:pPr>
        <w:pStyle w:val="AllowPageBreak"/>
      </w:pPr>
    </w:p>
    <w:p w:rsidR="00000000" w:rsidRPr="007761EA" w:rsidP="007761EA">
      <w:pPr>
        <w:pStyle w:val="Heading1"/>
      </w:pPr>
      <w:bookmarkStart w:id="3" w:name="O_588943"/>
      <w:bookmarkEnd w:id="3"/>
      <w:r w:rsidRPr="007761EA">
        <w:t>Application of the Unit</w:t>
      </w:r>
    </w:p>
    <w:tbl>
      <w:tblPr>
        <w:tblW w:w="0" w:type="auto"/>
        <w:tblLayout w:type="fixed"/>
        <w:tblCellMar>
          <w:left w:w="62" w:type="dxa"/>
          <w:right w:w="62" w:type="dxa"/>
        </w:tblCellMar>
        <w:tblLook w:val="0000"/>
      </w:tblPr>
      <w:tblGrid>
        <w:gridCol w:w="2672"/>
        <w:gridCol w:w="5699"/>
      </w:tblGrid>
      <w:tr w:rsidTr="008F41D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2)</w:t>
            </w:r>
          </w:p>
        </w:tc>
      </w:tr>
      <w:tr w:rsidTr="008F41D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This unit is intended for competency development in entry-level employment-based programs incorporated in approved contracts of training.</w:t>
            </w:r>
          </w:p>
        </w:tc>
      </w:tr>
    </w:tbl>
    <w:p w:rsidR="00000000" w:rsidRPr="007761EA" w:rsidP="007761EA">
      <w:pPr>
        <w:pStyle w:val="BodyText"/>
      </w:pPr>
    </w:p>
    <w:p w:rsidR="00000000" w:rsidRPr="007761EA" w:rsidP="007761EA">
      <w:pPr>
        <w:pStyle w:val="AllowPageBreak"/>
      </w:pPr>
    </w:p>
    <w:p w:rsidR="00000000" w:rsidRPr="007761EA" w:rsidP="007761EA">
      <w:pPr>
        <w:pStyle w:val="Heading1"/>
      </w:pPr>
      <w:bookmarkStart w:id="4" w:name="O_588942"/>
      <w:bookmarkEnd w:id="4"/>
      <w:r w:rsidRPr="007761EA">
        <w:t>Licensing/Regulatory Information</w:t>
      </w:r>
    </w:p>
    <w:tbl>
      <w:tblPr>
        <w:tblW w:w="0" w:type="auto"/>
        <w:tblLayout w:type="fixed"/>
        <w:tblCellMar>
          <w:left w:w="62" w:type="dxa"/>
          <w:right w:w="62" w:type="dxa"/>
        </w:tblCellMar>
        <w:tblLook w:val="0000"/>
      </w:tblPr>
      <w:tblGrid>
        <w:gridCol w:w="2700"/>
        <w:gridCol w:w="5760"/>
      </w:tblGrid>
      <w:tr w:rsidTr="008F41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 xml:space="preserve">3) </w:t>
            </w:r>
          </w:p>
        </w:tc>
      </w:tr>
      <w:tr w:rsidTr="008F41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 xml:space="preserve">The skills and knowledge described in this unit require a license to practice in the workplace. </w:t>
            </w:r>
          </w:p>
          <w:p w:rsidR="00000000" w:rsidRPr="007761EA" w:rsidP="007761EA">
            <w:pPr>
              <w:pStyle w:val="BodyText"/>
            </w:pPr>
            <w:r w:rsidRPr="007761EA">
              <w:t>Note.</w:t>
            </w:r>
          </w:p>
          <w:p w:rsidR="00000000" w:rsidRPr="007761EA" w:rsidP="007761EA">
            <w:pPr>
              <w:pStyle w:val="BodyText"/>
            </w:pPr>
            <w:r w:rsidRPr="007761EA">
              <w:t xml:space="preserve">Competency requirements to be granted a license to carry out installations, fault finding, repair or maintenance on low voltage electrical installations </w:t>
            </w:r>
            <w:r w:rsidRPr="007761EA">
              <w:t>is incorporated in unit UEENEEG105A and all prerequisite units it specifies.</w:t>
            </w:r>
          </w:p>
          <w:p w:rsidR="00000000" w:rsidRPr="007761EA" w:rsidP="007761EA">
            <w:pPr>
              <w:pStyle w:val="BodyText"/>
            </w:pPr>
            <w:r w:rsidRPr="007761EA">
              <w:t xml:space="preserve">Practice in the workplace and during training is also subject to regulations directly related to occupational health and safety and where applicable contracts of training such as </w:t>
            </w:r>
            <w:r w:rsidRPr="007761EA">
              <w:t>apprenticeships.</w:t>
            </w:r>
          </w:p>
          <w:p w:rsidR="00000000" w:rsidRPr="007761EA" w:rsidP="007761EA">
            <w:pPr>
              <w:pStyle w:val="BodyText"/>
            </w:pPr>
            <w:r w:rsidRPr="007761EA">
              <w:t xml:space="preserve">Note: </w:t>
            </w:r>
          </w:p>
          <w:p w:rsidR="00000000" w:rsidRPr="007761EA" w:rsidP="007761EA">
            <w:pPr>
              <w:pStyle w:val="BodyText"/>
            </w:pPr>
            <w:r w:rsidRPr="007761EA">
              <w:t>1. Compliance with permits may be required in various jurisdictions and typically relates to the operation of plant, machinery and equipment such as elevating work platforms, powder operated fixing tools, power operated tools, vehic</w:t>
            </w:r>
            <w:r w:rsidRPr="007761EA">
              <w:t>les, road signage and traffic control and lifting equipment. Permits may also be required for some work environments such as confined spaces, working aloft, near live electrical apparatus and site rehabilitation.</w:t>
            </w:r>
          </w:p>
          <w:p w:rsidR="00000000" w:rsidRPr="007761EA" w:rsidP="007761EA">
            <w:pPr>
              <w:pStyle w:val="BodyText"/>
            </w:pPr>
            <w:r w:rsidRPr="007761EA">
              <w:t>2. Compliance may be required in various ju</w:t>
            </w:r>
            <w:r w:rsidRPr="007761EA">
              <w:t>risdictions relating to currency in First Aid, confined space, lifting, risk safety measures etc.</w:t>
            </w:r>
          </w:p>
        </w:tc>
      </w:tr>
    </w:tbl>
    <w:p w:rsidR="00000000" w:rsidRPr="007761EA" w:rsidP="007761EA">
      <w:pPr>
        <w:pStyle w:val="BodyText"/>
      </w:pPr>
    </w:p>
    <w:p w:rsidR="00000000" w:rsidRPr="007761EA" w:rsidP="007761EA">
      <w:pPr>
        <w:pStyle w:val="AllowPageBreak"/>
      </w:pPr>
    </w:p>
    <w:p w:rsidR="00000000" w:rsidRPr="007761EA" w:rsidP="007761EA">
      <w:pPr>
        <w:pStyle w:val="Heading1"/>
      </w:pPr>
      <w:bookmarkStart w:id="5" w:name="O_588941"/>
      <w:bookmarkEnd w:id="5"/>
      <w:r w:rsidRPr="007761EA">
        <w:t>Pre-Requisites</w:t>
      </w:r>
    </w:p>
    <w:tbl>
      <w:tblPr>
        <w:tblW w:w="0" w:type="auto"/>
        <w:tblLayout w:type="fixed"/>
        <w:tblCellMar>
          <w:left w:w="62" w:type="dxa"/>
          <w:right w:w="62" w:type="dxa"/>
        </w:tblCellMar>
        <w:tblLook w:val="0000"/>
      </w:tblPr>
      <w:tblGrid>
        <w:gridCol w:w="2700"/>
        <w:gridCol w:w="1440"/>
        <w:gridCol w:w="4320"/>
      </w:tblGrid>
      <w:tr w:rsidTr="008F41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 xml:space="preserve">4) </w:t>
            </w:r>
          </w:p>
        </w:tc>
      </w:tr>
      <w:tr w:rsidTr="008F41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4.1)</w:t>
            </w:r>
          </w:p>
        </w:tc>
      </w:tr>
      <w:tr w:rsidTr="008F41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Granting competency in this unit shall be made only after competency in the following unit(s) has/have been confirmed.</w:t>
            </w:r>
          </w:p>
        </w:tc>
      </w:tr>
      <w:tr w:rsidTr="008F41D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UEENEEG103A</w:t>
            </w:r>
          </w:p>
        </w:tc>
        <w:tc>
          <w:tcPr>
            <w:tcW w:w="432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Install low voltage wiring and accessories</w:t>
            </w:r>
          </w:p>
        </w:tc>
      </w:tr>
      <w:tr w:rsidTr="008F41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UEENEEK124A</w:t>
            </w:r>
          </w:p>
        </w:tc>
        <w:tc>
          <w:tcPr>
            <w:tcW w:w="432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Solve basic problems in micro hydro systems</w:t>
            </w:r>
          </w:p>
        </w:tc>
      </w:tr>
    </w:tbl>
    <w:p w:rsidR="00000000" w:rsidRPr="007761EA" w:rsidP="007761E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F41D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 xml:space="preserve">4.2) </w:t>
            </w:r>
          </w:p>
        </w:tc>
      </w:tr>
      <w:tr w:rsidTr="008F41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Participants are best equipped to achieve competency in this unit if they have reading, writing and numeracy skills indicated by the following scales. Description of each scale is given in Volume 2, Part 3 ‘</w:t>
            </w:r>
            <w:r w:rsidRPr="007761EA">
              <w:t>Literacy and Numeracy’</w:t>
            </w:r>
          </w:p>
        </w:tc>
      </w:tr>
      <w:tr w:rsidTr="008F41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Reading</w:t>
            </w:r>
          </w:p>
        </w:tc>
        <w:tc>
          <w:tcPr>
            <w:tcW w:w="81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3</w:t>
            </w:r>
          </w:p>
        </w:tc>
        <w:tc>
          <w:tcPr>
            <w:tcW w:w="99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Writing</w:t>
            </w: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3</w:t>
            </w:r>
          </w:p>
        </w:tc>
        <w:tc>
          <w:tcPr>
            <w:tcW w:w="12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Numeracy</w:t>
            </w:r>
          </w:p>
        </w:tc>
        <w:tc>
          <w:tcPr>
            <w:tcW w:w="72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3</w:t>
            </w:r>
          </w:p>
        </w:tc>
      </w:tr>
    </w:tbl>
    <w:p w:rsidR="00000000" w:rsidRPr="007761EA" w:rsidP="007761EA">
      <w:pPr>
        <w:pStyle w:val="BodyText"/>
      </w:pPr>
    </w:p>
    <w:p w:rsidR="00000000" w:rsidRPr="007761EA" w:rsidP="007761EA">
      <w:pPr>
        <w:pStyle w:val="AllowPageBreak"/>
      </w:pPr>
    </w:p>
    <w:p w:rsidR="00000000" w:rsidRPr="007761EA" w:rsidP="007761EA">
      <w:pPr>
        <w:pStyle w:val="Heading1"/>
      </w:pPr>
      <w:bookmarkStart w:id="6" w:name="O_588940"/>
      <w:bookmarkEnd w:id="6"/>
      <w:r w:rsidRPr="007761EA">
        <w:t>Employability Skills Information</w:t>
      </w:r>
    </w:p>
    <w:tbl>
      <w:tblPr>
        <w:tblW w:w="0" w:type="auto"/>
        <w:tblLayout w:type="fixed"/>
        <w:tblCellMar>
          <w:left w:w="62" w:type="dxa"/>
          <w:right w:w="62" w:type="dxa"/>
        </w:tblCellMar>
        <w:tblLook w:val="0000"/>
      </w:tblPr>
      <w:tblGrid>
        <w:gridCol w:w="2700"/>
        <w:gridCol w:w="5760"/>
      </w:tblGrid>
      <w:tr w:rsidTr="008F41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 xml:space="preserve">5) </w:t>
            </w:r>
          </w:p>
        </w:tc>
      </w:tr>
      <w:tr w:rsidTr="008F41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761EA">
              <w:t>requirements.</w:t>
            </w:r>
          </w:p>
        </w:tc>
      </w:tr>
    </w:tbl>
    <w:p w:rsidR="00000000" w:rsidRPr="007761EA" w:rsidP="007761EA">
      <w:pPr>
        <w:pStyle w:val="BodyText"/>
      </w:pPr>
    </w:p>
    <w:p w:rsidR="00000000" w:rsidRPr="007761EA" w:rsidP="007761EA">
      <w:pPr>
        <w:pStyle w:val="AllowPageBreak"/>
      </w:pPr>
    </w:p>
    <w:p w:rsidR="00000000" w:rsidRPr="007761EA" w:rsidP="007761EA">
      <w:pPr>
        <w:pStyle w:val="Heading1"/>
      </w:pPr>
      <w:bookmarkStart w:id="7" w:name="O_588939"/>
      <w:bookmarkEnd w:id="7"/>
      <w:r w:rsidRPr="007761EA">
        <w:t>Elements and Performance Criteria Pre-Content</w:t>
      </w:r>
    </w:p>
    <w:tbl>
      <w:tblPr>
        <w:tblW w:w="0" w:type="auto"/>
        <w:tblLayout w:type="fixed"/>
        <w:tblCellMar>
          <w:left w:w="62" w:type="dxa"/>
          <w:right w:w="62" w:type="dxa"/>
        </w:tblCellMar>
        <w:tblLook w:val="0000"/>
      </w:tblPr>
      <w:tblGrid>
        <w:gridCol w:w="2700"/>
        <w:gridCol w:w="5760"/>
      </w:tblGrid>
      <w:tr w:rsidTr="008F41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6)</w:t>
            </w:r>
            <w:r w:rsidRPr="007761E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Performance Criteria describe the required performance needed to demonstrate achievement of the element. Assessment of performance is to be consistent with the Evidence Guide.</w:t>
            </w:r>
          </w:p>
        </w:tc>
      </w:tr>
    </w:tbl>
    <w:p w:rsidR="00000000" w:rsidRPr="007761EA" w:rsidP="007761EA">
      <w:pPr>
        <w:pStyle w:val="BodyText"/>
      </w:pPr>
    </w:p>
    <w:p w:rsidR="00000000" w:rsidRPr="007761EA" w:rsidP="007761EA">
      <w:pPr>
        <w:pStyle w:val="AllowPageBreak"/>
      </w:pPr>
    </w:p>
    <w:p w:rsidR="00000000" w:rsidRPr="007761EA" w:rsidP="007761EA">
      <w:pPr>
        <w:pStyle w:val="Heading1"/>
      </w:pPr>
      <w:bookmarkStart w:id="8" w:name="O_588938"/>
      <w:bookmarkEnd w:id="8"/>
      <w:r w:rsidRPr="007761E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F41D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PERFORMANCE CRITER</w:t>
            </w:r>
            <w:r w:rsidRPr="007761EA">
              <w:rPr>
                <w:rStyle w:val="SpecialBold"/>
              </w:rPr>
              <w:t>IA</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1</w:t>
            </w:r>
          </w:p>
        </w:tc>
        <w:tc>
          <w:tcPr>
            <w:tcW w:w="2296" w:type="dxa"/>
            <w:vMerge w:val="restart"/>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Prepare to install LV micro-hydro systems.</w:t>
            </w: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1.1</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 xml:space="preserve">OHS procedures for a given work area are identified, obtained and understood </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1.2</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Health and safety risks are identified, and established risk control measures and procedures in preparation for the w</w:t>
            </w:r>
            <w:r w:rsidRPr="007761EA">
              <w:t>ork are followed</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1.3</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Safety hazards that have not previously been identified are noted and established risk control measures are implemented</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1.4</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 xml:space="preserve">Installation of the system is prepared in consultation with others effected by the work and sequenced appropriately </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1.5</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The nature and location of the work is determined from documentation or appropriate person to establish the scope of work to be unde</w:t>
            </w:r>
            <w:r w:rsidRPr="007761EA">
              <w:t>rtaken</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1.6</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Location of system components is planned within the constraints of the building structure, significants and regulations</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1.7</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Advice is sought from appropriate persons to ensure the work is coordinated effectively with others</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1.8</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Material needed for the installation work is obtained in accordance with established procedures and checked against job requirements</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1.9</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Tools, equipment and testing devices needed to for the installation work are obtained in accordance with established</w:t>
            </w:r>
            <w:r w:rsidRPr="007761EA">
              <w:t xml:space="preserve"> procedures and checked for correct operation and safety</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1.10</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Preparatory work is checked to ensure no damage has occurred and complies with requirements</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2</w:t>
            </w:r>
          </w:p>
        </w:tc>
        <w:tc>
          <w:tcPr>
            <w:tcW w:w="2296" w:type="dxa"/>
            <w:vMerge w:val="restart"/>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Install LV micro-hydro systems.</w:t>
            </w: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2.1</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 xml:space="preserve">OHS risk control measures and procedures are followed for carrying out the work </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2.2</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The need to test or measure live is determined in strict accordance with OHS requirements and when necessary conducted within established safety procedures</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2.3</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Circuits/machines/plant are checked as being isolated where necessary in strict accordance OHS requirements and procedures</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2.4</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System components are installed to comply with technical standards and job specifications and requirements with sufficient acc</w:t>
            </w:r>
            <w:r w:rsidRPr="007761EA">
              <w:t>ess to affect terminations, adjustment and maintenance</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2.5</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 xml:space="preserve">Wiring is terminated at system components in accordance with manufacturer specifications and functional and regulatory requirements </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2.6</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Established methods for dealing with unexpected situations are discussed with appropriate person or persons and documented</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2.7</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Unexpected situations are dealt with safely and with the approval of an authorised person</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2.8</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Ongoing checks of the quality</w:t>
            </w:r>
            <w:r w:rsidRPr="007761EA">
              <w:t xml:space="preserve"> of installed apparatus are undertaken in accordance with established procedures</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2.9</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Apparatus installation is carried out efficiently without waste of materials or damage to apparatus, circuits, the surrounding environment or services and using sustain</w:t>
            </w:r>
            <w:r w:rsidRPr="007761EA">
              <w:t>able energy principles</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3</w:t>
            </w:r>
          </w:p>
        </w:tc>
        <w:tc>
          <w:tcPr>
            <w:tcW w:w="2296"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3.1</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OHS work completion risk control measures and procedures are followed</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3.2</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Work site is cleaned and made safe in accordance with established procedures</w:t>
            </w:r>
          </w:p>
        </w:tc>
      </w:tr>
      <w:tr w:rsidTr="008F41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3.3</w:t>
            </w:r>
          </w:p>
        </w:tc>
        <w:tc>
          <w:tcPr>
            <w:tcW w:w="48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Final checks are made so that the installed apparatus conforms to requirements</w:t>
            </w:r>
          </w:p>
        </w:tc>
      </w:tr>
      <w:tr w:rsidTr="008F41D4">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3.4</w:t>
            </w:r>
          </w:p>
        </w:tc>
        <w:tc>
          <w:tcPr>
            <w:tcW w:w="486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‘As-installed’ apparatus and associated equipment is documented and appropriate person(s) notified in accordance with established procedures</w:t>
            </w:r>
          </w:p>
        </w:tc>
      </w:tr>
    </w:tbl>
    <w:p w:rsidR="00000000" w:rsidRPr="007761EA" w:rsidP="007761EA">
      <w:pPr>
        <w:pStyle w:val="BodyText"/>
      </w:pPr>
    </w:p>
    <w:p w:rsidR="00000000" w:rsidRPr="007761EA" w:rsidP="007761EA">
      <w:pPr>
        <w:pStyle w:val="AllowPageBreak"/>
      </w:pPr>
    </w:p>
    <w:p w:rsidR="00000000" w:rsidRPr="007761EA" w:rsidP="007761EA">
      <w:pPr>
        <w:pStyle w:val="Heading1"/>
      </w:pPr>
      <w:bookmarkStart w:id="9" w:name="O_588937"/>
      <w:bookmarkEnd w:id="9"/>
      <w:r w:rsidRPr="007761EA">
        <w:t>Required Skills and Knowledge</w:t>
      </w:r>
    </w:p>
    <w:tbl>
      <w:tblPr>
        <w:tblW w:w="0" w:type="auto"/>
        <w:tblLayout w:type="fixed"/>
        <w:tblCellMar>
          <w:left w:w="62" w:type="dxa"/>
          <w:right w:w="62" w:type="dxa"/>
        </w:tblCellMar>
        <w:tblLook w:val="0000"/>
      </w:tblPr>
      <w:tblGrid>
        <w:gridCol w:w="1620"/>
        <w:gridCol w:w="6840"/>
      </w:tblGrid>
      <w:tr w:rsidTr="008F41D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REQUIRED SKILLS AND KNOWLEDGE</w:t>
            </w:r>
          </w:p>
        </w:tc>
      </w:tr>
      <w:tr w:rsidTr="008F41D4">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8)</w:t>
            </w:r>
            <w:r w:rsidRPr="007761EA">
              <w:t xml:space="preserve"> This describes the essential skills and knowledge and their level, required for this unit.</w:t>
            </w:r>
          </w:p>
          <w:p w:rsidR="00000000" w:rsidRPr="007761EA" w:rsidP="007761EA">
            <w:pPr>
              <w:pStyle w:val="BodyText"/>
            </w:pPr>
            <w:r w:rsidRPr="007761EA">
              <w:t>Evidence must show that knowledge has been acquired of safe working practices and installing and setting up LV micro-hydro systems.</w:t>
            </w:r>
          </w:p>
          <w:p w:rsidR="00000000" w:rsidP="007761EA">
            <w:pPr>
              <w:pStyle w:val="BodyText"/>
              <w:rPr>
                <w:lang w:val="en-NZ"/>
              </w:rPr>
            </w:pPr>
            <w:r w:rsidRPr="007761EA">
              <w:t>All knowledge and skills detailed in this unit should be contextualised to current industry practices and technologies.</w:t>
            </w:r>
          </w:p>
        </w:tc>
      </w:tr>
      <w:tr w:rsidTr="008F41D4">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KS01-EK136A</w:t>
            </w:r>
          </w:p>
        </w:tc>
        <w:tc>
          <w:tcPr>
            <w:tcW w:w="684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Micro-hydro systems LV installation and maintenance processes</w:t>
            </w:r>
          </w:p>
        </w:tc>
      </w:tr>
      <w:tr w:rsidTr="008F41D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Evidence shall show an understanding of micro-hydro systems LV installation and maintenance to an extent indicated by the following aspects:</w:t>
            </w:r>
          </w:p>
        </w:tc>
      </w:tr>
      <w:tr w:rsidTr="008F41D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Micro-hydro systems (MHS) LV installa</w:t>
            </w:r>
            <w:r w:rsidRPr="007761EA">
              <w:t>tion processes encompassing:</w:t>
            </w:r>
          </w:p>
          <w:p w:rsidR="00000000" w:rsidRPr="007761EA" w:rsidP="007761EA">
            <w:pPr>
              <w:pStyle w:val="ListBullet2"/>
            </w:pPr>
            <w:r w:rsidRPr="007761EA">
              <w:t xml:space="preserve">Selection of an appropriate MHS taking into account the topology of the site, local council approvals, environmental considerations, site access and transport of equipment, water and power transmission distances and daily and </w:t>
            </w:r>
            <w:r w:rsidRPr="007761EA">
              <w:t>seasonal load profiles.</w:t>
            </w:r>
          </w:p>
          <w:p w:rsidR="00000000" w:rsidRPr="007761EA" w:rsidP="007761EA">
            <w:pPr>
              <w:pStyle w:val="ListBullet2"/>
            </w:pPr>
            <w:r w:rsidRPr="007761EA">
              <w:t>Appropriate methods, using appropriate safety procedures, for: dam or weir construction; watercourse construction and/or penstock installation; turbine installation;</w:t>
            </w:r>
          </w:p>
          <w:p w:rsidR="00000000" w:rsidRPr="007761EA" w:rsidP="007761EA">
            <w:pPr>
              <w:pStyle w:val="ListBullet2"/>
            </w:pPr>
            <w:r w:rsidRPr="007761EA">
              <w:t>Appropriate installation, testing, commissioning, fault diagnosis and rectification procedures using appropriate safety procedures.</w:t>
            </w:r>
          </w:p>
          <w:p w:rsidR="00000000" w:rsidRPr="007761EA" w:rsidP="007761EA">
            <w:pPr>
              <w:pStyle w:val="ListBullet2"/>
            </w:pPr>
            <w:r w:rsidRPr="007761EA">
              <w:t>Schematic and wiring diagrams for the MHS showing the general circuit layout and protection between the MHS, batteries, inve</w:t>
            </w:r>
            <w:r w:rsidRPr="007761EA">
              <w:t>rter and loads according to Australian Standards AS/NZS3000, AS4509, and AS4086.2 requirements.</w:t>
            </w:r>
          </w:p>
          <w:p w:rsidR="00000000" w:rsidP="007761EA">
            <w:pPr>
              <w:pStyle w:val="ListBullet2"/>
              <w:rPr>
                <w:lang w:val="en-NZ"/>
              </w:rPr>
            </w:pPr>
            <w:r w:rsidRPr="007761EA">
              <w:t>Safety procedures for the installation, commissioning, fault diagnosis of system components.</w:t>
            </w:r>
          </w:p>
        </w:tc>
      </w:tr>
      <w:tr w:rsidTr="008F41D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Micro-hydro systems (MHS) maintenance processes encompassing:</w:t>
            </w:r>
          </w:p>
          <w:p w:rsidR="00000000" w:rsidRPr="007761EA" w:rsidP="007761EA">
            <w:pPr>
              <w:pStyle w:val="ListBullet2"/>
            </w:pPr>
            <w:r w:rsidRPr="007761EA">
              <w:t>Ap</w:t>
            </w:r>
            <w:r w:rsidRPr="007761EA">
              <w:t>propriate maintenance methods using appropriate safety procedures.</w:t>
            </w:r>
          </w:p>
          <w:p w:rsidR="00000000" w:rsidRPr="007761EA" w:rsidP="007761EA">
            <w:pPr>
              <w:pStyle w:val="ListBullet2"/>
            </w:pPr>
            <w:r w:rsidRPr="007761EA">
              <w:t>Maintenance schedule for the system.</w:t>
            </w:r>
          </w:p>
          <w:p w:rsidR="00000000" w:rsidRPr="007761EA" w:rsidP="007761EA">
            <w:pPr>
              <w:pStyle w:val="ListBullet2"/>
            </w:pPr>
            <w:r w:rsidRPr="007761EA">
              <w:t>Safety procedures for the maintenance of system components.</w:t>
            </w:r>
          </w:p>
        </w:tc>
      </w:tr>
    </w:tbl>
    <w:p w:rsidR="00000000" w:rsidRPr="007761EA" w:rsidP="007761EA">
      <w:pPr>
        <w:pStyle w:val="BodyText"/>
      </w:pPr>
    </w:p>
    <w:p w:rsidR="00000000" w:rsidRPr="007761EA" w:rsidP="007761EA">
      <w:pPr>
        <w:pStyle w:val="AllowPageBreak"/>
      </w:pPr>
    </w:p>
    <w:p w:rsidR="00000000" w:rsidRPr="007761EA" w:rsidP="007761EA">
      <w:pPr>
        <w:pStyle w:val="Heading1"/>
      </w:pPr>
      <w:bookmarkStart w:id="10" w:name="O_588936"/>
      <w:bookmarkEnd w:id="10"/>
      <w:r w:rsidRPr="007761EA">
        <w:t>Evidence Guide</w:t>
      </w:r>
    </w:p>
    <w:tbl>
      <w:tblPr>
        <w:tblW w:w="0" w:type="auto"/>
        <w:tblLayout w:type="fixed"/>
        <w:tblCellMar>
          <w:left w:w="62" w:type="dxa"/>
          <w:right w:w="62" w:type="dxa"/>
        </w:tblCellMar>
        <w:tblLook w:val="0000"/>
      </w:tblPr>
      <w:tblGrid>
        <w:gridCol w:w="8460"/>
      </w:tblGrid>
      <w:tr w:rsidTr="008F41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EVIDENCE GUIDE</w:t>
            </w:r>
          </w:p>
        </w:tc>
      </w:tr>
      <w:tr w:rsidTr="008F41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9)</w:t>
            </w:r>
            <w:r w:rsidRPr="007761EA">
              <w:t xml:space="preserve"> This provides essential advice for assessment of the unit and must be read in conjunction with the performance criteria and the range statement of the unit and the Training Package Assessment Guidelines.</w:t>
            </w:r>
          </w:p>
          <w:p w:rsidR="00000000" w:rsidRPr="007761EA" w:rsidP="007761EA">
            <w:pPr>
              <w:pStyle w:val="BodyText"/>
            </w:pPr>
            <w:r w:rsidRPr="007761EA">
              <w:t>The Evidence Guide forms an integral part of this u</w:t>
            </w:r>
            <w:r w:rsidRPr="007761EA">
              <w:t>nit. It must be used in conjunction with all parts of this unit and performed in accordance with the Assessment Guidelines of this Training Package.</w:t>
            </w:r>
          </w:p>
        </w:tc>
      </w:tr>
    </w:tbl>
    <w:p w:rsidR="00000000" w:rsidRPr="007761EA" w:rsidP="007761EA">
      <w:pPr>
        <w:pStyle w:val="BodyText"/>
      </w:pPr>
    </w:p>
    <w:tbl>
      <w:tblPr>
        <w:tblW w:w="0" w:type="auto"/>
        <w:tblLayout w:type="fixed"/>
        <w:tblCellMar>
          <w:left w:w="62" w:type="dxa"/>
          <w:right w:w="62" w:type="dxa"/>
        </w:tblCellMar>
        <w:tblLook w:val="0000"/>
      </w:tblPr>
      <w:tblGrid>
        <w:gridCol w:w="1890"/>
        <w:gridCol w:w="6570"/>
      </w:tblGrid>
      <w:tr w:rsidTr="008F41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9.1)</w:t>
            </w:r>
          </w:p>
        </w:tc>
      </w:tr>
      <w:tr w:rsidTr="008F41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Longitudinal competency development approa</w:t>
            </w:r>
            <w:r w:rsidRPr="007761EA">
              <w:t>ches to assessment, such as Profiling, require data to be reliably gathered in a form that can be consistently interpreted over time. This approach is best utilised in Apprenticeship programs and reduces assessment intervention. It is the industry-preferre</w:t>
            </w:r>
            <w:r w:rsidRPr="007761EA">
              <w:t>d model for apprenticeships. However, where summative (or final) assessment is used it is to include the application of the competency in the normal work environment or, at a minimum, the application of the competency in a realistically simulated work envi</w:t>
            </w:r>
            <w:r w:rsidRPr="007761EA">
              <w:t>ronment. In some circumstances, assessment in part or full can occur outside the workplace. However, it must be in accordance with industry and regulatory policy.</w:t>
            </w:r>
          </w:p>
          <w:p w:rsidR="00000000" w:rsidRPr="007761EA" w:rsidP="007761EA">
            <w:pPr>
              <w:pStyle w:val="BodyText"/>
            </w:pPr>
            <w:r w:rsidRPr="007761EA">
              <w:t>Methods chosen for a particular assessment will be influenced by various factors. These inclu</w:t>
            </w:r>
            <w:r w:rsidRPr="007761EA">
              <w:t>de the extent of the assessment, the most effective locations for the assessment activities to take place, access to physical resources, additional safety measures that may be required and the critical nature of the competencies being assessed.</w:t>
            </w:r>
          </w:p>
          <w:p w:rsidR="00000000" w:rsidRPr="007761EA" w:rsidP="007761EA">
            <w:pPr>
              <w:pStyle w:val="BodyText"/>
            </w:pPr>
            <w:r w:rsidRPr="007761EA">
              <w:t>The critica</w:t>
            </w:r>
            <w:r w:rsidRPr="007761EA">
              <w:t>l safety issues inherent in working with electricity, electrical equipment, gas or any other hazardous substance/material present a challenge for those determining competence. Sources of evidence need to be ‘rich’ in nature to minimise error in judgment.</w:t>
            </w:r>
          </w:p>
          <w:p w:rsidR="00000000" w:rsidRPr="007761EA" w:rsidP="007761EA">
            <w:pPr>
              <w:pStyle w:val="BodyText"/>
            </w:pPr>
            <w:r w:rsidRPr="007761EA">
              <w:t>A</w:t>
            </w:r>
            <w:r w:rsidRPr="007761EA">
              <w:t>ctivities associated with normal everyday work have a bearing on the decision as to how much and how detailed the data gathered will contribute to its ‘richness’. Some skills are more critical to safety and operational requirements while the same skills ma</w:t>
            </w:r>
            <w:r w:rsidRPr="007761EA">
              <w:t>y be more or less frequently practised. These points are raised for the assessors to consider when choosing an assessment method and developing assessment instruments. Sample assessment instruments are included for Assessors in the Assessment Guidelines of</w:t>
            </w:r>
            <w:r w:rsidRPr="007761EA">
              <w:t xml:space="preserve"> this Training Package.</w:t>
            </w:r>
          </w:p>
        </w:tc>
      </w:tr>
    </w:tbl>
    <w:p w:rsidR="00000000" w:rsidRPr="007761EA" w:rsidP="007761EA">
      <w:pPr>
        <w:pStyle w:val="BodyText"/>
      </w:pPr>
    </w:p>
    <w:tbl>
      <w:tblPr>
        <w:tblW w:w="0" w:type="auto"/>
        <w:tblLayout w:type="fixed"/>
        <w:tblCellMar>
          <w:left w:w="62" w:type="dxa"/>
          <w:right w:w="62" w:type="dxa"/>
        </w:tblCellMar>
        <w:tblLook w:val="0000"/>
      </w:tblPr>
      <w:tblGrid>
        <w:gridCol w:w="1890"/>
        <w:gridCol w:w="1530"/>
        <w:gridCol w:w="5040"/>
      </w:tblGrid>
      <w:tr w:rsidTr="008F41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9.2)</w:t>
            </w:r>
          </w:p>
        </w:tc>
      </w:tr>
      <w:tr w:rsidTr="008F41D4">
        <w:tblPrEx>
          <w:tblW w:w="0" w:type="auto"/>
          <w:tblLayout w:type="fixed"/>
          <w:tblCellMar>
            <w:left w:w="62" w:type="dxa"/>
            <w:right w:w="62" w:type="dxa"/>
          </w:tblCellMar>
          <w:tblLook w:val="0000"/>
        </w:tblPrEx>
        <w:trPr>
          <w:trHeight w:val="726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Before the critical aspects of evidence are considered all prerequisites must be met.</w:t>
            </w:r>
          </w:p>
          <w:p w:rsidR="00000000" w:rsidRPr="007761EA" w:rsidP="007761EA">
            <w:pPr>
              <w:pStyle w:val="BodyText"/>
            </w:pPr>
            <w:r w:rsidRPr="007761EA">
              <w:t>Evidence for competence in this unit must be considered hol</w:t>
            </w:r>
            <w:r w:rsidRPr="007761EA">
              <w:t>istically.  Each element and associated performance criteria must be demonstrated on at least two occasions in accordance with the ‘Assessment Guidelines – UEE11’.  Evidence must also comprise:</w:t>
            </w:r>
          </w:p>
          <w:p w:rsidR="00000000" w:rsidRPr="007761EA" w:rsidP="007761EA">
            <w:pPr>
              <w:pStyle w:val="ListBullet"/>
            </w:pPr>
            <w:r w:rsidRPr="007761EA">
              <w:t>A representative body of work performance demonstrated within</w:t>
            </w:r>
            <w:r w:rsidRPr="007761EA">
              <w:t xml:space="preserve"> the timeframes typically expected of the discipline, work function and industrial environment. In particular this must  incorporate evidence that shows a candidate is able to:</w:t>
            </w:r>
          </w:p>
          <w:p w:rsidR="00000000" w:rsidRPr="007761EA" w:rsidP="007761EA">
            <w:pPr>
              <w:pStyle w:val="ListBullet2"/>
            </w:pPr>
            <w:r w:rsidRPr="007761EA">
              <w:t>Implement Occupational Health and Safety workplace procedures and practices including the use of risk control measures as specified in the performance criteria and range statement</w:t>
            </w:r>
          </w:p>
          <w:p w:rsidR="00000000" w:rsidRPr="007761EA" w:rsidP="007761EA">
            <w:pPr>
              <w:pStyle w:val="ListBullet2"/>
            </w:pPr>
            <w:r w:rsidRPr="007761EA">
              <w:t>Apply sustainable energy principles and practices as specified in the perfor</w:t>
            </w:r>
            <w:r w:rsidRPr="007761EA">
              <w:t>mance criteria and range statement</w:t>
            </w:r>
          </w:p>
          <w:p w:rsidR="00000000" w:rsidRPr="007761EA" w:rsidP="007761EA">
            <w:pPr>
              <w:pStyle w:val="ListBullet2"/>
            </w:pPr>
            <w:r w:rsidRPr="007761EA">
              <w:t>Demonstrate an understanding of the essential knowledge and associated skills as described in this unit.  It may be required by some jurisdictions that RTOs provide a percentile graded result for the purpose of regulatory</w:t>
            </w:r>
            <w:r w:rsidRPr="007761EA">
              <w:t xml:space="preserve"> or licensing requirements.</w:t>
            </w:r>
          </w:p>
          <w:p w:rsidR="00000000" w:rsidRPr="007761EA" w:rsidP="007761EA">
            <w:pPr>
              <w:pStyle w:val="ListBullet2"/>
            </w:pPr>
            <w:r w:rsidRPr="007761EA">
              <w:t>Demonstrate an appropriate level of skills enabling employment</w:t>
            </w:r>
          </w:p>
          <w:p w:rsidR="00000000" w:rsidRPr="007761EA" w:rsidP="007761EA">
            <w:pPr>
              <w:pStyle w:val="ListBullet2"/>
            </w:pPr>
            <w:r w:rsidRPr="007761EA">
              <w:t>Conduct work observing the relevant Anti Discrimination legislation, regulations, polices and workplace procedures</w:t>
            </w:r>
          </w:p>
          <w:p w:rsidR="00000000" w:rsidRPr="007761EA" w:rsidP="007761EA">
            <w:pPr>
              <w:pStyle w:val="ListBullet"/>
            </w:pPr>
            <w:r w:rsidRPr="007761EA">
              <w:t>Demonstrated consistent performance across a repr</w:t>
            </w:r>
            <w:r w:rsidRPr="007761EA">
              <w:t>esentative range of contexts from the prescribed items below:</w:t>
            </w:r>
          </w:p>
          <w:p w:rsidR="00000000" w:rsidP="007761EA">
            <w:pPr>
              <w:pStyle w:val="ListBullet2"/>
              <w:rPr>
                <w:lang w:val="en-NZ"/>
              </w:rPr>
            </w:pPr>
            <w:r w:rsidRPr="007761EA">
              <w:t>Install and set up LV micro-hydro systems as described in 8) and including:</w:t>
            </w:r>
          </w:p>
        </w:tc>
      </w:tr>
      <w:tr w:rsidTr="008F41D4">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A</w:t>
            </w:r>
          </w:p>
        </w:tc>
        <w:tc>
          <w:tcPr>
            <w:tcW w:w="504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Reading and interpreting drawings related to and apparatus locations and circuit connections.</w:t>
            </w:r>
          </w:p>
        </w:tc>
      </w:tr>
      <w:tr w:rsidTr="008F41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B</w:t>
            </w:r>
          </w:p>
        </w:tc>
        <w:tc>
          <w:tcPr>
            <w:tcW w:w="504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 xml:space="preserve">Placing and securing system components accurately </w:t>
            </w:r>
          </w:p>
        </w:tc>
      </w:tr>
      <w:tr w:rsidTr="008F41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C</w:t>
            </w:r>
          </w:p>
        </w:tc>
        <w:tc>
          <w:tcPr>
            <w:tcW w:w="504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Maintaining fire integrity</w:t>
            </w:r>
          </w:p>
        </w:tc>
      </w:tr>
      <w:tr w:rsidTr="008F41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D</w:t>
            </w:r>
          </w:p>
        </w:tc>
        <w:tc>
          <w:tcPr>
            <w:tcW w:w="504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Connecting system components to comply with requirements</w:t>
            </w:r>
          </w:p>
        </w:tc>
      </w:tr>
      <w:tr w:rsidTr="008F41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E</w:t>
            </w:r>
          </w:p>
        </w:tc>
        <w:tc>
          <w:tcPr>
            <w:tcW w:w="504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Dealing with unplanned events by drawing on essential knowledge and skills to provide appropriate solutions incorporated in a holistic assessment with the above listed items</w:t>
            </w:r>
          </w:p>
        </w:tc>
      </w:tr>
    </w:tbl>
    <w:p w:rsidR="00000000" w:rsidRPr="007761EA" w:rsidP="007761EA">
      <w:pPr>
        <w:pStyle w:val="BodyText"/>
      </w:pPr>
    </w:p>
    <w:tbl>
      <w:tblPr>
        <w:tblW w:w="0" w:type="auto"/>
        <w:tblLayout w:type="fixed"/>
        <w:tblCellMar>
          <w:left w:w="62" w:type="dxa"/>
          <w:right w:w="62" w:type="dxa"/>
        </w:tblCellMar>
        <w:tblLook w:val="0000"/>
      </w:tblPr>
      <w:tblGrid>
        <w:gridCol w:w="1890"/>
        <w:gridCol w:w="6570"/>
      </w:tblGrid>
      <w:tr w:rsidTr="008F41D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9.3)</w:t>
            </w:r>
          </w:p>
        </w:tc>
      </w:tr>
      <w:tr w:rsidTr="008F41D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This unit should be asse</w:t>
            </w:r>
            <w:r w:rsidRPr="007761EA">
              <w:t>ssed as it relates to normal work practice using procedures, information and resources typical of a workplace. This should include:</w:t>
            </w:r>
          </w:p>
          <w:p w:rsidR="00000000" w:rsidRPr="007761EA" w:rsidP="007761EA">
            <w:pPr>
              <w:pStyle w:val="ListBullet2"/>
            </w:pPr>
            <w:r w:rsidRPr="007761EA">
              <w:t>OHS policy and work procedures and instructions.</w:t>
            </w:r>
          </w:p>
          <w:p w:rsidR="00000000" w:rsidRPr="007761EA" w:rsidP="007761EA">
            <w:pPr>
              <w:pStyle w:val="ListBullet2"/>
            </w:pPr>
            <w:r w:rsidRPr="007761EA">
              <w:t>Suitable work environment, facilities, equipment and materials to undertake actual work as prescribed by this unit.</w:t>
            </w:r>
          </w:p>
          <w:p w:rsidR="00000000" w:rsidRPr="007761EA" w:rsidP="007761EA">
            <w:pPr>
              <w:pStyle w:val="BodyText"/>
            </w:pPr>
            <w:r w:rsidRPr="007761EA">
              <w:t>These should be part of the formal learning/assessment environment.</w:t>
            </w:r>
          </w:p>
          <w:p w:rsidR="00000000" w:rsidRPr="007761EA" w:rsidP="007761EA">
            <w:pPr>
              <w:pStyle w:val="BodyText"/>
            </w:pPr>
            <w:r w:rsidRPr="007761EA">
              <w:t>Note:</w:t>
            </w:r>
          </w:p>
          <w:p w:rsidR="00000000" w:rsidRPr="007761EA" w:rsidP="007761EA">
            <w:pPr>
              <w:pStyle w:val="BodyText"/>
            </w:pPr>
            <w:r w:rsidRPr="007761EA">
              <w:t>Where simulation is considered a suitable strategy for assessment,</w:t>
            </w:r>
            <w:r w:rsidRPr="007761EA">
              <w:t xml:space="preserve"> conditions must be authentic and as far as possible reproduce and replicate the workplace and be consistent with the approved industry simulation policy.</w:t>
            </w:r>
          </w:p>
          <w:p w:rsidR="00000000" w:rsidRPr="007761EA" w:rsidP="007761EA">
            <w:pPr>
              <w:pStyle w:val="BodyText"/>
            </w:pPr>
            <w:r w:rsidRPr="007761EA">
              <w:t>The resources used for assessment should reflect current industry practices in relation to installing</w:t>
            </w:r>
            <w:r w:rsidRPr="007761EA">
              <w:t xml:space="preserve"> and setting up LV micro-hydro systems.</w:t>
            </w:r>
          </w:p>
        </w:tc>
      </w:tr>
    </w:tbl>
    <w:p w:rsidR="00000000" w:rsidRPr="007761EA" w:rsidP="007761EA">
      <w:pPr>
        <w:pStyle w:val="BodyText"/>
      </w:pPr>
    </w:p>
    <w:tbl>
      <w:tblPr>
        <w:tblW w:w="0" w:type="auto"/>
        <w:tblLayout w:type="fixed"/>
        <w:tblCellMar>
          <w:left w:w="62" w:type="dxa"/>
          <w:right w:w="62" w:type="dxa"/>
        </w:tblCellMar>
        <w:tblLook w:val="0000"/>
      </w:tblPr>
      <w:tblGrid>
        <w:gridCol w:w="1890"/>
        <w:gridCol w:w="6570"/>
      </w:tblGrid>
      <w:tr w:rsidTr="008F41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9.4)</w:t>
            </w:r>
          </w:p>
        </w:tc>
      </w:tr>
      <w:tr w:rsidTr="008F41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This unit shall be assessed by methods given in Volume 1, Part 3 ‘Assessment Guidelines’.</w:t>
            </w:r>
          </w:p>
          <w:p w:rsidR="00000000" w:rsidRPr="007761EA" w:rsidP="007761EA">
            <w:pPr>
              <w:pStyle w:val="BodyText"/>
            </w:pPr>
            <w:r w:rsidRPr="007761EA">
              <w:t xml:space="preserve">Note: </w:t>
            </w:r>
          </w:p>
          <w:p w:rsidR="00000000" w:rsidRPr="007761EA" w:rsidP="007761EA">
            <w:pPr>
              <w:pStyle w:val="BodyText"/>
            </w:pPr>
            <w:r w:rsidRPr="007761EA">
              <w:t>Competent performance with inherent safe working practices is expected in the Industry to which this unit applies. This requires assessment in a structured environment which is intended primarily for learning/assessment and incorporates all necessary equip</w:t>
            </w:r>
            <w:r w:rsidRPr="007761EA">
              <w:t>ment and facilities for learners to develop and demonstrate the essential knowledge and skills described in this unit.</w:t>
            </w:r>
          </w:p>
        </w:tc>
      </w:tr>
    </w:tbl>
    <w:p w:rsidR="00000000" w:rsidRPr="007761EA" w:rsidP="007761EA">
      <w:pPr>
        <w:pStyle w:val="BodyText"/>
      </w:pPr>
    </w:p>
    <w:tbl>
      <w:tblPr>
        <w:tblW w:w="0" w:type="auto"/>
        <w:tblLayout w:type="fixed"/>
        <w:tblCellMar>
          <w:left w:w="62" w:type="dxa"/>
          <w:right w:w="62" w:type="dxa"/>
        </w:tblCellMar>
        <w:tblLook w:val="0000"/>
      </w:tblPr>
      <w:tblGrid>
        <w:gridCol w:w="1890"/>
        <w:gridCol w:w="6570"/>
      </w:tblGrid>
      <w:tr w:rsidTr="008F41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9.5)</w:t>
            </w:r>
          </w:p>
        </w:tc>
      </w:tr>
      <w:tr w:rsidTr="008F41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t>There are no concurrent assessment recommendations for this unit.</w:t>
            </w:r>
          </w:p>
        </w:tc>
      </w:tr>
      <w:tr w:rsidTr="008F41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 xml:space="preserve">The </w:t>
            </w:r>
            <w:r w:rsidRPr="007761EA">
              <w:t>critical aspects of occupational health and safety covered in unit UEENEEE101A and other discipline specific occupational health and safety units shall be incorporated in relation to this unit.</w:t>
            </w:r>
          </w:p>
        </w:tc>
      </w:tr>
    </w:tbl>
    <w:p w:rsidR="00000000" w:rsidRPr="007761EA" w:rsidP="007761EA">
      <w:pPr>
        <w:pStyle w:val="BodyText"/>
      </w:pPr>
    </w:p>
    <w:p w:rsidR="00000000" w:rsidRPr="007761EA" w:rsidP="007761EA">
      <w:pPr>
        <w:pStyle w:val="AllowPageBreak"/>
      </w:pPr>
    </w:p>
    <w:p w:rsidR="00000000" w:rsidRPr="007761EA" w:rsidP="007761EA">
      <w:pPr>
        <w:pStyle w:val="Heading1"/>
      </w:pPr>
      <w:bookmarkStart w:id="11" w:name="O_588935"/>
      <w:bookmarkEnd w:id="11"/>
      <w:r w:rsidRPr="007761EA">
        <w:t>Range Statement</w:t>
      </w:r>
    </w:p>
    <w:tbl>
      <w:tblPr>
        <w:tblW w:w="0" w:type="auto"/>
        <w:tblLayout w:type="fixed"/>
        <w:tblCellMar>
          <w:left w:w="62" w:type="dxa"/>
          <w:right w:w="62" w:type="dxa"/>
        </w:tblCellMar>
        <w:tblLook w:val="0000"/>
      </w:tblPr>
      <w:tblGrid>
        <w:gridCol w:w="8460"/>
      </w:tblGrid>
      <w:tr w:rsidTr="008F41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RANGE STATEMENT</w:t>
            </w:r>
          </w:p>
        </w:tc>
      </w:tr>
      <w:tr w:rsidTr="008F41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10)</w:t>
            </w:r>
            <w:r w:rsidRPr="007761EA">
              <w:t xml:space="preserve"> This relates to the unit as a whole providing the range of contexts and conditions to which the performance criteria apply. It allows for different work environments and situations that will affect performance.</w:t>
            </w:r>
          </w:p>
          <w:p w:rsidR="00000000" w:rsidRPr="007761EA" w:rsidP="007761EA">
            <w:pPr>
              <w:pStyle w:val="BodyText"/>
            </w:pPr>
            <w:r w:rsidRPr="007761EA">
              <w:t>This unit must be demonstrated in relation t</w:t>
            </w:r>
            <w:r w:rsidRPr="007761EA">
              <w:t>o installing LV micro-hydro systems in at least two different types of premises construction or environment.</w:t>
            </w:r>
          </w:p>
          <w:p w:rsidR="00000000" w:rsidRPr="007761EA" w:rsidP="007761EA">
            <w:pPr>
              <w:pStyle w:val="BodyText"/>
            </w:pPr>
            <w:r w:rsidRPr="007761EA">
              <w:t>Generic terms used throughout this Vocational Standard shall be regarded as part of the Range Statement in which competency is demonstrated. The de</w:t>
            </w:r>
            <w:r w:rsidRPr="007761EA">
              <w:t>finition of these and other terms that apply are given in Volume 2, Part 2.1.</w:t>
            </w:r>
          </w:p>
        </w:tc>
      </w:tr>
    </w:tbl>
    <w:p w:rsidR="00000000" w:rsidRPr="007761EA" w:rsidP="007761EA">
      <w:pPr>
        <w:pStyle w:val="BodyText"/>
      </w:pPr>
    </w:p>
    <w:p w:rsidR="00000000" w:rsidRPr="007761EA" w:rsidP="007761EA">
      <w:pPr>
        <w:pStyle w:val="AllowPageBreak"/>
      </w:pPr>
    </w:p>
    <w:p w:rsidR="00000000" w:rsidRPr="007761EA" w:rsidP="007761EA">
      <w:pPr>
        <w:pStyle w:val="Heading1"/>
      </w:pPr>
      <w:bookmarkStart w:id="12" w:name="O_588934"/>
      <w:bookmarkEnd w:id="12"/>
      <w:r w:rsidRPr="007761EA">
        <w:t>Unit Sector(s)</w:t>
      </w:r>
    </w:p>
    <w:p w:rsidR="00000000" w:rsidRPr="007761EA" w:rsidP="007761EA">
      <w:pPr>
        <w:pStyle w:val="BodyText"/>
      </w:pPr>
      <w:r w:rsidRPr="007761EA">
        <w:t>Not applicable.</w:t>
      </w:r>
    </w:p>
    <w:p w:rsidR="00000000" w:rsidRPr="007761EA" w:rsidP="007761EA">
      <w:pPr>
        <w:pStyle w:val="AllowPageBreak"/>
      </w:pPr>
    </w:p>
    <w:p w:rsidR="00000000" w:rsidRPr="007761EA" w:rsidP="007761EA">
      <w:pPr>
        <w:pStyle w:val="Heading1"/>
      </w:pPr>
      <w:bookmarkStart w:id="13" w:name="O_588933"/>
      <w:bookmarkEnd w:id="13"/>
      <w:r w:rsidRPr="007761EA">
        <w:t>Competency Field</w:t>
      </w:r>
    </w:p>
    <w:tbl>
      <w:tblPr>
        <w:tblW w:w="0" w:type="auto"/>
        <w:tblLayout w:type="fixed"/>
        <w:tblCellMar>
          <w:left w:w="62" w:type="dxa"/>
          <w:right w:w="62" w:type="dxa"/>
        </w:tblCellMar>
        <w:tblLook w:val="0000"/>
      </w:tblPr>
      <w:tblGrid>
        <w:gridCol w:w="2700"/>
        <w:gridCol w:w="5760"/>
      </w:tblGrid>
      <w:tr w:rsidTr="008F41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761EA">
            <w:pPr>
              <w:pStyle w:val="BodyText"/>
              <w:rPr>
                <w:lang w:val="en-NZ"/>
              </w:rPr>
            </w:pPr>
            <w:r w:rsidRPr="007761EA">
              <w:rPr>
                <w:rStyle w:val="SpecialBold"/>
              </w:rPr>
              <w:t xml:space="preserve">11) </w:t>
            </w:r>
          </w:p>
        </w:tc>
      </w:tr>
      <w:tr w:rsidTr="008F41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61EA" w:rsidP="007761EA">
            <w:pPr>
              <w:pStyle w:val="BodyText"/>
            </w:pPr>
            <w:r w:rsidRPr="007761EA">
              <w:t>Renewable and Sustainable Energy</w:t>
            </w:r>
          </w:p>
        </w:tc>
      </w:tr>
    </w:tbl>
    <w:p w:rsidR="00000000" w:rsidRPr="007761EA" w:rsidP="007761EA">
      <w:pPr>
        <w:pStyle w:val="BodyText"/>
      </w:pPr>
    </w:p>
    <w:p w:rsidR="00000000" w:rsidRPr="007761EA" w:rsidP="007761EA"/>
    <w:sectPr w:rsidSect="007761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EA" w:rsidRPr="008F41D4" w:rsidP="008F41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1D4" w:rsidP="007761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F41D4" w:rsidP="007761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F41D4" w:rsidP="007761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EA" w:rsidRPr="008F41D4" w:rsidP="008F41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1D4" w:rsidRPr="002D2AF8" w:rsidP="007761EA">
    <w:pPr>
      <w:pStyle w:val="Header"/>
      <w:framePr w:wrap="around"/>
    </w:pPr>
    <w:r>
      <w:fldChar w:fldCharType="begin"/>
    </w:r>
    <w:r>
      <w:instrText xml:space="preserve"> TITLE   \* MERGEFORMAT </w:instrText>
    </w:r>
    <w:r>
      <w:fldChar w:fldCharType="separate"/>
    </w:r>
    <w:r>
      <w:t>UEENEEK136A Install, configure and commission LV micro-hydro systems rated up to 6.4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F41D4" w:rsidP="007761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D6F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BAA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400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1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1EA"/>
    <w:pPr>
      <w:spacing w:before="360" w:after="60"/>
      <w:outlineLvl w:val="0"/>
    </w:pPr>
    <w:rPr>
      <w:sz w:val="32"/>
    </w:rPr>
  </w:style>
  <w:style w:type="paragraph" w:styleId="Heading2">
    <w:name w:val="heading 2"/>
    <w:basedOn w:val="HeadingBase"/>
    <w:next w:val="BodyText"/>
    <w:link w:val="Heading2Char"/>
    <w:qFormat/>
    <w:rsid w:val="007761EA"/>
    <w:pPr>
      <w:keepLines/>
      <w:spacing w:before="240" w:after="120"/>
      <w:outlineLvl w:val="1"/>
    </w:pPr>
    <w:rPr>
      <w:sz w:val="28"/>
      <w:szCs w:val="40"/>
    </w:rPr>
  </w:style>
  <w:style w:type="paragraph" w:styleId="Heading3">
    <w:name w:val="heading 3"/>
    <w:basedOn w:val="HeadingBase"/>
    <w:next w:val="BodyText"/>
    <w:link w:val="Heading3Char"/>
    <w:qFormat/>
    <w:rsid w:val="007761EA"/>
    <w:pPr>
      <w:spacing w:before="180" w:after="120"/>
      <w:outlineLvl w:val="2"/>
    </w:pPr>
    <w:rPr>
      <w:spacing w:val="-10"/>
      <w:kern w:val="32"/>
    </w:rPr>
  </w:style>
  <w:style w:type="paragraph" w:styleId="Heading4">
    <w:name w:val="heading 4"/>
    <w:basedOn w:val="HeadingBase"/>
    <w:next w:val="BodyText"/>
    <w:link w:val="Heading4Char"/>
    <w:qFormat/>
    <w:rsid w:val="007761EA"/>
    <w:pPr>
      <w:spacing w:before="160" w:after="120"/>
      <w:outlineLvl w:val="3"/>
    </w:pPr>
    <w:rPr>
      <w:sz w:val="22"/>
    </w:rPr>
  </w:style>
  <w:style w:type="paragraph" w:styleId="Heading5">
    <w:name w:val="heading 5"/>
    <w:basedOn w:val="HeadingBase"/>
    <w:next w:val="Normal"/>
    <w:link w:val="Heading5Char"/>
    <w:qFormat/>
    <w:rsid w:val="007761EA"/>
    <w:pPr>
      <w:spacing w:before="80"/>
      <w:outlineLvl w:val="4"/>
    </w:pPr>
    <w:rPr>
      <w:color w:val="918585"/>
      <w:sz w:val="20"/>
    </w:rPr>
  </w:style>
  <w:style w:type="paragraph" w:styleId="Heading6">
    <w:name w:val="heading 6"/>
    <w:basedOn w:val="HeadingBase"/>
    <w:next w:val="Normal"/>
    <w:link w:val="Heading6Char"/>
    <w:qFormat/>
    <w:rsid w:val="007761EA"/>
    <w:pPr>
      <w:spacing w:before="60"/>
      <w:outlineLvl w:val="5"/>
    </w:pPr>
    <w:rPr>
      <w:color w:val="918585"/>
      <w:sz w:val="20"/>
    </w:rPr>
  </w:style>
  <w:style w:type="paragraph" w:styleId="Heading7">
    <w:name w:val="heading 7"/>
    <w:basedOn w:val="Normal"/>
    <w:next w:val="Normal"/>
    <w:link w:val="Heading7Char"/>
    <w:qFormat/>
    <w:rsid w:val="007761EA"/>
    <w:pPr>
      <w:ind w:left="720"/>
      <w:outlineLvl w:val="6"/>
    </w:pPr>
    <w:rPr>
      <w:i/>
    </w:rPr>
  </w:style>
  <w:style w:type="paragraph" w:styleId="Heading8">
    <w:name w:val="heading 8"/>
    <w:basedOn w:val="Normal"/>
    <w:next w:val="Normal"/>
    <w:link w:val="Heading8Char"/>
    <w:qFormat/>
    <w:rsid w:val="007761EA"/>
    <w:pPr>
      <w:ind w:left="720"/>
      <w:outlineLvl w:val="7"/>
    </w:pPr>
    <w:rPr>
      <w:i/>
    </w:rPr>
  </w:style>
  <w:style w:type="paragraph" w:styleId="Heading9">
    <w:name w:val="heading 9"/>
    <w:basedOn w:val="Normal"/>
    <w:next w:val="Normal"/>
    <w:link w:val="Heading9Char"/>
    <w:qFormat/>
    <w:rsid w:val="007761EA"/>
    <w:pPr>
      <w:ind w:left="720"/>
      <w:outlineLvl w:val="8"/>
    </w:pPr>
    <w:rPr>
      <w:i/>
    </w:rPr>
  </w:style>
  <w:style w:type="character" w:default="1" w:styleId="DefaultParagraphFont">
    <w:name w:val="Default Paragraph Font"/>
    <w:uiPriority w:val="1"/>
    <w:unhideWhenUsed/>
    <w:rsid w:val="007761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1EA"/>
  </w:style>
  <w:style w:type="character" w:customStyle="1" w:styleId="Heading1Char">
    <w:name w:val="Heading 1 Char"/>
    <w:basedOn w:val="DefaultParagraphFont"/>
    <w:link w:val="Heading1"/>
    <w:rsid w:val="007761EA"/>
    <w:rPr>
      <w:rFonts w:ascii="Times New Roman" w:eastAsia="Times New Roman" w:hAnsi="Times New Roman" w:cs="Times New Roman"/>
      <w:b/>
      <w:sz w:val="32"/>
      <w:szCs w:val="20"/>
      <w:lang w:eastAsia="en-US"/>
    </w:rPr>
  </w:style>
  <w:style w:type="paragraph" w:styleId="BodyText">
    <w:name w:val="Body Text"/>
    <w:basedOn w:val="Normal"/>
    <w:link w:val="BodyTextChar"/>
    <w:rsid w:val="007761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1EA"/>
    <w:rPr>
      <w:rFonts w:ascii="Times New Roman" w:eastAsia="Times New Roman" w:hAnsi="Times New Roman" w:cs="Times New Roman"/>
      <w:sz w:val="24"/>
      <w:lang w:eastAsia="en-US"/>
    </w:rPr>
  </w:style>
  <w:style w:type="paragraph" w:styleId="ListBullet">
    <w:name w:val="List Bullet"/>
    <w:basedOn w:val="List"/>
    <w:rsid w:val="007761EA"/>
    <w:pPr>
      <w:numPr>
        <w:numId w:val="13"/>
      </w:numPr>
      <w:tabs>
        <w:tab w:val="clear" w:pos="340"/>
      </w:tabs>
      <w:spacing w:before="40" w:after="40"/>
    </w:pPr>
  </w:style>
  <w:style w:type="character" w:customStyle="1" w:styleId="SpecialBold">
    <w:name w:val="Special Bold"/>
    <w:basedOn w:val="DefaultParagraphFont"/>
    <w:rsid w:val="007761EA"/>
    <w:rPr>
      <w:b/>
      <w:spacing w:val="0"/>
    </w:rPr>
  </w:style>
  <w:style w:type="paragraph" w:styleId="ListBullet2">
    <w:name w:val="List Bullet 2"/>
    <w:basedOn w:val="List2"/>
    <w:rsid w:val="007761EA"/>
    <w:pPr>
      <w:numPr>
        <w:numId w:val="14"/>
      </w:numPr>
      <w:tabs>
        <w:tab w:val="clear" w:pos="680"/>
      </w:tabs>
    </w:pPr>
  </w:style>
  <w:style w:type="paragraph" w:customStyle="1" w:styleId="SuperHeading">
    <w:name w:val="SuperHeading"/>
    <w:basedOn w:val="Normal"/>
    <w:rsid w:val="007761EA"/>
    <w:pPr>
      <w:spacing w:before="240" w:after="120"/>
      <w:outlineLvl w:val="0"/>
    </w:pPr>
    <w:rPr>
      <w:rFonts w:ascii="Times New Roman" w:hAnsi="Times New Roman"/>
      <w:b/>
      <w:sz w:val="32"/>
    </w:rPr>
  </w:style>
  <w:style w:type="paragraph" w:customStyle="1" w:styleId="AllowPageBreak">
    <w:name w:val="AllowPageBreak"/>
    <w:rsid w:val="007761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1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1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1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1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1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1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1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1EA"/>
    <w:rPr>
      <w:rFonts w:ascii="Courier New" w:eastAsia="Times New Roman" w:hAnsi="Courier New" w:cs="Times New Roman"/>
      <w:i/>
      <w:szCs w:val="20"/>
      <w:lang w:eastAsia="en-US"/>
    </w:rPr>
  </w:style>
  <w:style w:type="paragraph" w:customStyle="1" w:styleId="HeadingBase">
    <w:name w:val="Heading Base"/>
    <w:rsid w:val="007761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1EA"/>
    <w:pPr>
      <w:tabs>
        <w:tab w:val="right" w:leader="dot" w:pos="9072"/>
      </w:tabs>
      <w:ind w:left="567"/>
    </w:pPr>
    <w:rPr>
      <w:szCs w:val="22"/>
    </w:rPr>
  </w:style>
  <w:style w:type="paragraph" w:customStyle="1" w:styleId="TOCBase">
    <w:name w:val="TOC Base"/>
    <w:rsid w:val="007761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1EA"/>
    <w:pPr>
      <w:tabs>
        <w:tab w:val="right" w:leader="dot" w:pos="9072"/>
      </w:tabs>
      <w:spacing w:before="40" w:after="40"/>
      <w:ind w:left="284"/>
    </w:pPr>
    <w:rPr>
      <w:rFonts w:ascii="Times New Roman" w:hAnsi="Times New Roman"/>
    </w:rPr>
  </w:style>
  <w:style w:type="paragraph" w:styleId="TOC1">
    <w:name w:val="toc 1"/>
    <w:basedOn w:val="TOCBase"/>
    <w:next w:val="Normal"/>
    <w:rsid w:val="007761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1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1EA"/>
    <w:rPr>
      <w:rFonts w:ascii="Times New Roman" w:eastAsia="Times New Roman" w:hAnsi="Times New Roman" w:cs="Times New Roman"/>
      <w:sz w:val="16"/>
      <w:lang w:eastAsia="en-US"/>
    </w:rPr>
  </w:style>
  <w:style w:type="paragraph" w:styleId="Title">
    <w:name w:val="Title"/>
    <w:basedOn w:val="HeadingBase"/>
    <w:link w:val="TitleChar"/>
    <w:qFormat/>
    <w:rsid w:val="007761EA"/>
    <w:pPr>
      <w:spacing w:before="5040"/>
      <w:jc w:val="center"/>
    </w:pPr>
    <w:rPr>
      <w:sz w:val="48"/>
      <w:szCs w:val="72"/>
      <w:lang w:val="en-US"/>
    </w:rPr>
  </w:style>
  <w:style w:type="character" w:customStyle="1" w:styleId="TitleChar">
    <w:name w:val="Title Char"/>
    <w:basedOn w:val="DefaultParagraphFont"/>
    <w:link w:val="Title"/>
    <w:rsid w:val="007761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1EA"/>
    <w:pPr>
      <w:tabs>
        <w:tab w:val="left" w:pos="3600"/>
        <w:tab w:val="left" w:pos="3958"/>
      </w:tabs>
    </w:pPr>
  </w:style>
  <w:style w:type="paragraph" w:styleId="List">
    <w:name w:val="List"/>
    <w:basedOn w:val="BodyText"/>
    <w:next w:val="BodyText"/>
    <w:rsid w:val="007761EA"/>
    <w:pPr>
      <w:tabs>
        <w:tab w:val="left" w:pos="340"/>
      </w:tabs>
      <w:spacing w:before="60" w:after="60"/>
      <w:ind w:left="340" w:hanging="340"/>
    </w:pPr>
  </w:style>
  <w:style w:type="paragraph" w:customStyle="1" w:styleId="Note">
    <w:name w:val="Note"/>
    <w:basedOn w:val="BodyText"/>
    <w:rsid w:val="007761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1EA"/>
    <w:pPr>
      <w:framePr w:wrap="auto" w:hAnchor="text" w:y="6049"/>
    </w:pPr>
    <w:rPr>
      <w:color w:val="000000"/>
      <w:sz w:val="40"/>
    </w:rPr>
  </w:style>
  <w:style w:type="paragraph" w:customStyle="1" w:styleId="TOCTitle">
    <w:name w:val="TOCTitle"/>
    <w:basedOn w:val="Heading1"/>
    <w:rsid w:val="007761EA"/>
    <w:pPr>
      <w:spacing w:after="240"/>
      <w:jc w:val="center"/>
      <w:outlineLvl w:val="9"/>
    </w:pPr>
    <w:rPr>
      <w:caps/>
    </w:rPr>
  </w:style>
  <w:style w:type="paragraph" w:customStyle="1" w:styleId="Version">
    <w:name w:val="Version"/>
    <w:rsid w:val="007761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1EA"/>
    <w:pPr>
      <w:keepNext w:val="0"/>
      <w:tabs>
        <w:tab w:val="right" w:pos="4176"/>
      </w:tabs>
      <w:ind w:left="198" w:hanging="198"/>
    </w:pPr>
    <w:rPr>
      <w:rFonts w:ascii="Garamond" w:hAnsi="Garamond"/>
    </w:rPr>
  </w:style>
  <w:style w:type="paragraph" w:styleId="IndexHeading">
    <w:name w:val="index heading"/>
    <w:basedOn w:val="Normal"/>
    <w:next w:val="Index1"/>
    <w:semiHidden/>
    <w:rsid w:val="007761EA"/>
    <w:pPr>
      <w:spacing w:before="120" w:after="120"/>
    </w:pPr>
    <w:rPr>
      <w:rFonts w:ascii="Arial" w:hAnsi="Arial"/>
      <w:b/>
      <w:color w:val="918585"/>
      <w:sz w:val="24"/>
    </w:rPr>
  </w:style>
  <w:style w:type="paragraph" w:styleId="Header">
    <w:name w:val="header"/>
    <w:basedOn w:val="Normal"/>
    <w:link w:val="HeaderChar"/>
    <w:rsid w:val="007761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1EA"/>
    <w:rPr>
      <w:rFonts w:ascii="Times New Roman" w:eastAsia="Times New Roman" w:hAnsi="Times New Roman" w:cs="Times New Roman"/>
      <w:sz w:val="16"/>
      <w:szCs w:val="20"/>
      <w:lang w:val="en-GB" w:eastAsia="en-US"/>
    </w:rPr>
  </w:style>
  <w:style w:type="paragraph" w:customStyle="1" w:styleId="Chapter">
    <w:name w:val="Chapter"/>
    <w:basedOn w:val="Normal"/>
    <w:rsid w:val="007761EA"/>
    <w:pPr>
      <w:spacing w:before="240"/>
    </w:pPr>
    <w:rPr>
      <w:rFonts w:ascii="Times New Roman" w:hAnsi="Times New Roman"/>
      <w:smallCaps/>
      <w:spacing w:val="80"/>
      <w:sz w:val="28"/>
    </w:rPr>
  </w:style>
  <w:style w:type="paragraph" w:customStyle="1" w:styleId="InChapter">
    <w:name w:val="InChapter"/>
    <w:basedOn w:val="Heading3"/>
    <w:rsid w:val="007761EA"/>
    <w:pPr>
      <w:spacing w:after="240"/>
      <w:outlineLvl w:val="9"/>
    </w:pPr>
    <w:rPr>
      <w:noProof/>
    </w:rPr>
  </w:style>
  <w:style w:type="paragraph" w:styleId="Index2">
    <w:name w:val="index 2"/>
    <w:basedOn w:val="Normal"/>
    <w:next w:val="Normal"/>
    <w:semiHidden/>
    <w:rsid w:val="007761EA"/>
    <w:pPr>
      <w:tabs>
        <w:tab w:val="right" w:pos="4176"/>
      </w:tabs>
      <w:ind w:left="568" w:hanging="284"/>
    </w:pPr>
    <w:rPr>
      <w:rFonts w:ascii="Garamond" w:hAnsi="Garamond"/>
    </w:rPr>
  </w:style>
  <w:style w:type="paragraph" w:customStyle="1" w:styleId="Byline">
    <w:name w:val="Byline"/>
    <w:rsid w:val="007761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1EA"/>
    <w:pPr>
      <w:tabs>
        <w:tab w:val="clear" w:pos="3600"/>
        <w:tab w:val="clear" w:pos="3958"/>
      </w:tabs>
      <w:jc w:val="right"/>
    </w:pPr>
  </w:style>
  <w:style w:type="character" w:styleId="Emphasis">
    <w:name w:val="Emphasis"/>
    <w:basedOn w:val="DefaultParagraphFont"/>
    <w:qFormat/>
    <w:rsid w:val="007761EA"/>
    <w:rPr>
      <w:i/>
    </w:rPr>
  </w:style>
  <w:style w:type="paragraph" w:styleId="Caption">
    <w:name w:val="caption"/>
    <w:basedOn w:val="BodyText"/>
    <w:next w:val="Normal"/>
    <w:qFormat/>
    <w:rsid w:val="007761EA"/>
    <w:pPr>
      <w:framePr w:w="2268" w:hSpace="181" w:vSpace="181" w:wrap="around" w:vAnchor="text" w:hAnchor="page" w:x="1135" w:y="285" w:anchorLock="1"/>
    </w:pPr>
    <w:rPr>
      <w:i/>
    </w:rPr>
  </w:style>
  <w:style w:type="paragraph" w:customStyle="1" w:styleId="MiniTOCTitle">
    <w:name w:val="MiniTOCTitle"/>
    <w:basedOn w:val="Heading4"/>
    <w:rsid w:val="007761EA"/>
    <w:pPr>
      <w:spacing w:before="240"/>
      <w:outlineLvl w:val="9"/>
    </w:pPr>
    <w:rPr>
      <w:noProof/>
      <w:sz w:val="24"/>
    </w:rPr>
  </w:style>
  <w:style w:type="paragraph" w:customStyle="1" w:styleId="MiniTOCItem">
    <w:name w:val="MiniTOCItem"/>
    <w:basedOn w:val="ListBullet"/>
    <w:rsid w:val="007761EA"/>
    <w:pPr>
      <w:numPr>
        <w:numId w:val="0"/>
      </w:numPr>
      <w:tabs>
        <w:tab w:val="right" w:leader="dot" w:pos="6521"/>
      </w:tabs>
      <w:spacing w:before="0" w:after="0"/>
    </w:pPr>
  </w:style>
  <w:style w:type="paragraph" w:customStyle="1" w:styleId="TOFTitle">
    <w:name w:val="TOFTitle"/>
    <w:basedOn w:val="TOCTitle"/>
    <w:rsid w:val="007761EA"/>
  </w:style>
  <w:style w:type="paragraph" w:styleId="TableofFigures">
    <w:name w:val="table of figures"/>
    <w:basedOn w:val="Normal"/>
    <w:next w:val="Normal"/>
    <w:semiHidden/>
    <w:rsid w:val="007761EA"/>
    <w:pPr>
      <w:tabs>
        <w:tab w:val="right" w:leader="dot" w:pos="9072"/>
      </w:tabs>
      <w:ind w:left="970" w:hanging="403"/>
    </w:pPr>
    <w:rPr>
      <w:rFonts w:ascii="Times New Roman" w:hAnsi="Times New Roman"/>
      <w:b/>
    </w:rPr>
  </w:style>
  <w:style w:type="paragraph" w:styleId="ListNumber">
    <w:name w:val="List Number"/>
    <w:basedOn w:val="List"/>
    <w:rsid w:val="007761EA"/>
    <w:pPr>
      <w:numPr>
        <w:numId w:val="11"/>
      </w:numPr>
    </w:pPr>
  </w:style>
  <w:style w:type="character" w:customStyle="1" w:styleId="WingdingSymbols">
    <w:name w:val="Wingding Symbols"/>
    <w:rsid w:val="007761EA"/>
    <w:rPr>
      <w:rFonts w:ascii="Wingdings" w:hAnsi="Wingdings"/>
    </w:rPr>
  </w:style>
  <w:style w:type="paragraph" w:customStyle="1" w:styleId="TableHeading">
    <w:name w:val="Table Heading"/>
    <w:basedOn w:val="HeadingBase"/>
    <w:rsid w:val="007761EA"/>
    <w:pPr>
      <w:keepLines/>
      <w:pBdr>
        <w:bottom w:val="single" w:sz="6" w:space="1" w:color="918585"/>
      </w:pBdr>
      <w:spacing w:before="240"/>
    </w:pPr>
  </w:style>
  <w:style w:type="character" w:customStyle="1" w:styleId="HotSpot">
    <w:name w:val="HotSpot"/>
    <w:rsid w:val="007761EA"/>
    <w:rPr>
      <w:color w:val="0033CC"/>
      <w:u w:val="none"/>
    </w:rPr>
  </w:style>
  <w:style w:type="paragraph" w:customStyle="1" w:styleId="BodyTextRight">
    <w:name w:val="Body Text Right"/>
    <w:basedOn w:val="BodyText"/>
    <w:rsid w:val="007761EA"/>
    <w:pPr>
      <w:spacing w:before="0" w:after="0"/>
      <w:jc w:val="right"/>
    </w:pPr>
  </w:style>
  <w:style w:type="paragraph" w:styleId="Index3">
    <w:name w:val="index 3"/>
    <w:basedOn w:val="ListNumber2"/>
    <w:next w:val="Normal"/>
    <w:semiHidden/>
    <w:rsid w:val="007761EA"/>
    <w:pPr>
      <w:numPr>
        <w:numId w:val="0"/>
      </w:numPr>
      <w:tabs>
        <w:tab w:val="right" w:leader="dot" w:pos="4176"/>
      </w:tabs>
    </w:pPr>
  </w:style>
  <w:style w:type="paragraph" w:styleId="ListNumber2">
    <w:name w:val="List Number 2"/>
    <w:basedOn w:val="List2"/>
    <w:rsid w:val="007761EA"/>
    <w:pPr>
      <w:numPr>
        <w:numId w:val="10"/>
      </w:numPr>
      <w:tabs>
        <w:tab w:val="clear" w:pos="1060"/>
      </w:tabs>
    </w:pPr>
  </w:style>
  <w:style w:type="paragraph" w:customStyle="1" w:styleId="MarginNote">
    <w:name w:val="Margin Note"/>
    <w:basedOn w:val="BodyText"/>
    <w:rsid w:val="007761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1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1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1EA"/>
    <w:rPr>
      <w:sz w:val="32"/>
    </w:rPr>
  </w:style>
  <w:style w:type="paragraph" w:customStyle="1" w:styleId="HeadingProcedure">
    <w:name w:val="Heading Procedure"/>
    <w:basedOn w:val="HeadingBase"/>
    <w:next w:val="Normal"/>
    <w:rsid w:val="007761EA"/>
    <w:pPr>
      <w:tabs>
        <w:tab w:val="left" w:pos="0"/>
      </w:tabs>
      <w:spacing w:before="120" w:after="60"/>
    </w:pPr>
    <w:rPr>
      <w:i/>
      <w:color w:val="918585"/>
      <w:sz w:val="22"/>
    </w:rPr>
  </w:style>
  <w:style w:type="paragraph" w:customStyle="1" w:styleId="TableBodyText">
    <w:name w:val="Table Body Text"/>
    <w:basedOn w:val="BodyText"/>
    <w:rsid w:val="007761EA"/>
    <w:pPr>
      <w:spacing w:before="60" w:after="60"/>
    </w:pPr>
  </w:style>
  <w:style w:type="paragraph" w:styleId="ListContinue">
    <w:name w:val="List Continue"/>
    <w:basedOn w:val="List"/>
    <w:rsid w:val="007761EA"/>
    <w:pPr>
      <w:ind w:firstLine="0"/>
    </w:pPr>
  </w:style>
  <w:style w:type="paragraph" w:customStyle="1" w:styleId="ListNote">
    <w:name w:val="List Note"/>
    <w:basedOn w:val="List"/>
    <w:rsid w:val="007761EA"/>
    <w:pPr>
      <w:pBdr>
        <w:top w:val="single" w:sz="6" w:space="2" w:color="918585"/>
        <w:bottom w:val="single" w:sz="6" w:space="2" w:color="918585"/>
      </w:pBdr>
      <w:tabs>
        <w:tab w:val="left" w:pos="1021"/>
      </w:tabs>
      <w:ind w:firstLine="0"/>
    </w:pPr>
  </w:style>
  <w:style w:type="paragraph" w:customStyle="1" w:styleId="Warning">
    <w:name w:val="Warning"/>
    <w:basedOn w:val="BodyText"/>
    <w:rsid w:val="007761EA"/>
    <w:pPr>
      <w:shd w:val="clear" w:color="auto" w:fill="D9D9D9"/>
      <w:tabs>
        <w:tab w:val="left" w:pos="992"/>
      </w:tabs>
      <w:ind w:left="119" w:right="119"/>
    </w:pPr>
    <w:rPr>
      <w:sz w:val="20"/>
    </w:rPr>
  </w:style>
  <w:style w:type="paragraph" w:customStyle="1" w:styleId="MarginIcons">
    <w:name w:val="Margin Icons"/>
    <w:basedOn w:val="BodyText"/>
    <w:rsid w:val="007761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1EA"/>
    <w:rPr>
      <w:rFonts w:ascii="Courier New" w:hAnsi="Courier New"/>
    </w:rPr>
  </w:style>
  <w:style w:type="paragraph" w:customStyle="1" w:styleId="NoteBullet">
    <w:name w:val="Note Bullet"/>
    <w:basedOn w:val="Note"/>
    <w:rsid w:val="007761EA"/>
    <w:pPr>
      <w:tabs>
        <w:tab w:val="clear" w:pos="680"/>
      </w:tabs>
      <w:spacing w:before="60" w:after="60"/>
    </w:pPr>
  </w:style>
  <w:style w:type="paragraph" w:customStyle="1" w:styleId="SubHeading2">
    <w:name w:val="SubHeading2"/>
    <w:basedOn w:val="HeadingBase"/>
    <w:rsid w:val="007761EA"/>
    <w:pPr>
      <w:spacing w:before="240" w:after="60"/>
    </w:pPr>
    <w:rPr>
      <w:sz w:val="20"/>
    </w:rPr>
  </w:style>
  <w:style w:type="paragraph" w:customStyle="1" w:styleId="SubHeading1">
    <w:name w:val="SubHeading1"/>
    <w:basedOn w:val="HeadingBase"/>
    <w:rsid w:val="007761EA"/>
    <w:pPr>
      <w:spacing w:before="240" w:after="60"/>
    </w:pPr>
    <w:rPr>
      <w:color w:val="918585"/>
      <w:sz w:val="22"/>
    </w:rPr>
  </w:style>
  <w:style w:type="paragraph" w:customStyle="1" w:styleId="SideHeading">
    <w:name w:val="Side Heading"/>
    <w:basedOn w:val="HeadingBase"/>
    <w:rsid w:val="007761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1EA"/>
    <w:pPr>
      <w:numPr>
        <w:numId w:val="12"/>
      </w:numPr>
    </w:pPr>
  </w:style>
  <w:style w:type="paragraph" w:styleId="PlainText">
    <w:name w:val="Plain Text"/>
    <w:basedOn w:val="Normal"/>
    <w:link w:val="PlainTextChar"/>
    <w:rsid w:val="007761EA"/>
    <w:rPr>
      <w:sz w:val="20"/>
    </w:rPr>
  </w:style>
  <w:style w:type="character" w:customStyle="1" w:styleId="PlainTextChar">
    <w:name w:val="Plain Text Char"/>
    <w:basedOn w:val="DefaultParagraphFont"/>
    <w:link w:val="PlainText"/>
    <w:rsid w:val="007761EA"/>
    <w:rPr>
      <w:rFonts w:ascii="Courier New" w:eastAsia="Times New Roman" w:hAnsi="Courier New" w:cs="Times New Roman"/>
      <w:sz w:val="20"/>
      <w:szCs w:val="20"/>
      <w:lang w:eastAsia="en-US"/>
    </w:rPr>
  </w:style>
  <w:style w:type="character" w:customStyle="1" w:styleId="MenuOption">
    <w:name w:val="Menu Option"/>
    <w:basedOn w:val="DefaultParagraphFont"/>
    <w:rsid w:val="007761EA"/>
    <w:rPr>
      <w:b/>
      <w:smallCaps/>
    </w:rPr>
  </w:style>
  <w:style w:type="paragraph" w:customStyle="1" w:styleId="TableListNumber">
    <w:name w:val="Table List Number"/>
    <w:basedOn w:val="ListNumber"/>
    <w:rsid w:val="007761EA"/>
    <w:pPr>
      <w:numPr>
        <w:numId w:val="0"/>
      </w:numPr>
    </w:pPr>
  </w:style>
  <w:style w:type="paragraph" w:styleId="TOC4">
    <w:name w:val="toc 4"/>
    <w:basedOn w:val="TOCBase"/>
    <w:next w:val="Normal"/>
    <w:semiHidden/>
    <w:rsid w:val="007761EA"/>
    <w:pPr>
      <w:tabs>
        <w:tab w:val="right" w:leader="dot" w:pos="9071"/>
      </w:tabs>
      <w:ind w:left="1701"/>
    </w:pPr>
  </w:style>
  <w:style w:type="paragraph" w:customStyle="1" w:styleId="ListAlpha">
    <w:name w:val="List Alpha"/>
    <w:basedOn w:val="List"/>
    <w:rsid w:val="007761EA"/>
    <w:pPr>
      <w:numPr>
        <w:numId w:val="9"/>
      </w:numPr>
    </w:pPr>
  </w:style>
  <w:style w:type="paragraph" w:customStyle="1" w:styleId="ListAlpha2">
    <w:name w:val="List Alpha 2"/>
    <w:basedOn w:val="List2"/>
    <w:rsid w:val="007761EA"/>
    <w:pPr>
      <w:numPr>
        <w:numId w:val="8"/>
      </w:numPr>
    </w:pPr>
  </w:style>
  <w:style w:type="paragraph" w:styleId="List2">
    <w:name w:val="List 2"/>
    <w:basedOn w:val="BodyText"/>
    <w:rsid w:val="007761EA"/>
    <w:pPr>
      <w:tabs>
        <w:tab w:val="left" w:pos="680"/>
      </w:tabs>
      <w:spacing w:before="60" w:after="60"/>
      <w:ind w:left="680" w:hanging="340"/>
    </w:pPr>
  </w:style>
  <w:style w:type="paragraph" w:styleId="List3">
    <w:name w:val="List 3"/>
    <w:basedOn w:val="BodyText"/>
    <w:rsid w:val="007761EA"/>
    <w:pPr>
      <w:tabs>
        <w:tab w:val="left" w:pos="1021"/>
      </w:tabs>
      <w:spacing w:before="60" w:after="60"/>
      <w:ind w:left="1020" w:hanging="340"/>
    </w:pPr>
  </w:style>
  <w:style w:type="paragraph" w:styleId="List4">
    <w:name w:val="List 4"/>
    <w:basedOn w:val="BodyText"/>
    <w:rsid w:val="007761EA"/>
    <w:pPr>
      <w:tabs>
        <w:tab w:val="left" w:pos="1361"/>
      </w:tabs>
      <w:spacing w:before="60" w:after="60"/>
      <w:ind w:left="1361" w:hanging="340"/>
    </w:pPr>
  </w:style>
  <w:style w:type="paragraph" w:styleId="List5">
    <w:name w:val="List 5"/>
    <w:basedOn w:val="BodyText"/>
    <w:rsid w:val="007761EA"/>
    <w:pPr>
      <w:tabs>
        <w:tab w:val="left" w:pos="1701"/>
      </w:tabs>
      <w:spacing w:before="60" w:after="60"/>
      <w:ind w:left="1701" w:hanging="340"/>
    </w:pPr>
  </w:style>
  <w:style w:type="paragraph" w:styleId="ListBullet3">
    <w:name w:val="List Bullet 3"/>
    <w:basedOn w:val="List3"/>
    <w:rsid w:val="007761EA"/>
    <w:pPr>
      <w:numPr>
        <w:numId w:val="15"/>
      </w:numPr>
      <w:tabs>
        <w:tab w:val="clear" w:pos="1021"/>
      </w:tabs>
      <w:ind w:left="1037" w:hanging="357"/>
    </w:pPr>
  </w:style>
  <w:style w:type="paragraph" w:styleId="ListBullet4">
    <w:name w:val="List Bullet 4"/>
    <w:basedOn w:val="List4"/>
    <w:rsid w:val="007761EA"/>
    <w:pPr>
      <w:numPr>
        <w:numId w:val="3"/>
      </w:numPr>
    </w:pPr>
  </w:style>
  <w:style w:type="paragraph" w:styleId="ListBullet5">
    <w:name w:val="List Bullet 5"/>
    <w:basedOn w:val="List5"/>
    <w:rsid w:val="007761EA"/>
    <w:pPr>
      <w:numPr>
        <w:numId w:val="4"/>
      </w:numPr>
    </w:pPr>
  </w:style>
  <w:style w:type="paragraph" w:styleId="ListContinue2">
    <w:name w:val="List Continue 2"/>
    <w:basedOn w:val="List2"/>
    <w:rsid w:val="007761EA"/>
    <w:pPr>
      <w:ind w:firstLine="0"/>
    </w:pPr>
  </w:style>
  <w:style w:type="paragraph" w:styleId="ListContinue3">
    <w:name w:val="List Continue 3"/>
    <w:basedOn w:val="List3"/>
    <w:rsid w:val="007761EA"/>
    <w:pPr>
      <w:ind w:left="1021" w:firstLine="0"/>
    </w:pPr>
  </w:style>
  <w:style w:type="paragraph" w:styleId="ListContinue4">
    <w:name w:val="List Continue 4"/>
    <w:basedOn w:val="List4"/>
    <w:rsid w:val="007761EA"/>
    <w:pPr>
      <w:ind w:firstLine="0"/>
    </w:pPr>
  </w:style>
  <w:style w:type="paragraph" w:styleId="ListContinue5">
    <w:name w:val="List Continue 5"/>
    <w:basedOn w:val="List5"/>
    <w:rsid w:val="007761EA"/>
    <w:pPr>
      <w:ind w:firstLine="0"/>
    </w:pPr>
  </w:style>
  <w:style w:type="paragraph" w:styleId="ListNumber3">
    <w:name w:val="List Number 3"/>
    <w:basedOn w:val="List3"/>
    <w:rsid w:val="007761EA"/>
    <w:pPr>
      <w:numPr>
        <w:numId w:val="5"/>
      </w:numPr>
    </w:pPr>
  </w:style>
  <w:style w:type="paragraph" w:styleId="ListNumber4">
    <w:name w:val="List Number 4"/>
    <w:basedOn w:val="List4"/>
    <w:rsid w:val="007761EA"/>
    <w:pPr>
      <w:numPr>
        <w:numId w:val="6"/>
      </w:numPr>
    </w:pPr>
  </w:style>
  <w:style w:type="paragraph" w:styleId="ListNumber5">
    <w:name w:val="List Number 5"/>
    <w:basedOn w:val="List5"/>
    <w:rsid w:val="007761EA"/>
    <w:pPr>
      <w:numPr>
        <w:numId w:val="7"/>
      </w:numPr>
    </w:pPr>
  </w:style>
  <w:style w:type="paragraph" w:styleId="BlockText">
    <w:name w:val="Block Text"/>
    <w:basedOn w:val="Normal"/>
    <w:rsid w:val="007761EA"/>
    <w:pPr>
      <w:spacing w:after="120"/>
      <w:ind w:left="1440" w:right="1440"/>
    </w:pPr>
  </w:style>
  <w:style w:type="character" w:customStyle="1" w:styleId="Subscript">
    <w:name w:val="Subscript"/>
    <w:basedOn w:val="DefaultParagraphFont"/>
    <w:rsid w:val="007761EA"/>
    <w:rPr>
      <w:sz w:val="16"/>
      <w:vertAlign w:val="subscript"/>
    </w:rPr>
  </w:style>
  <w:style w:type="character" w:customStyle="1" w:styleId="Superscript">
    <w:name w:val="Superscript"/>
    <w:basedOn w:val="DefaultParagraphFont"/>
    <w:rsid w:val="007761EA"/>
    <w:rPr>
      <w:sz w:val="16"/>
      <w:vertAlign w:val="superscript"/>
    </w:rPr>
  </w:style>
  <w:style w:type="character" w:customStyle="1" w:styleId="Symbols">
    <w:name w:val="Symbols"/>
    <w:basedOn w:val="DefaultParagraphFont"/>
    <w:rsid w:val="007761EA"/>
    <w:rPr>
      <w:rFonts w:ascii="Symbol" w:hAnsi="Symbol"/>
    </w:rPr>
  </w:style>
  <w:style w:type="character" w:customStyle="1" w:styleId="MenuOptions">
    <w:name w:val="Menu Options"/>
    <w:basedOn w:val="DefaultParagraphFont"/>
    <w:rsid w:val="007761EA"/>
    <w:rPr>
      <w:rFonts w:ascii="Arial Narrow" w:hAnsi="Arial Narrow"/>
      <w:smallCaps/>
    </w:rPr>
  </w:style>
  <w:style w:type="character" w:customStyle="1" w:styleId="Buttons">
    <w:name w:val="Buttons"/>
    <w:basedOn w:val="DefaultParagraphFont"/>
    <w:rsid w:val="007761EA"/>
    <w:rPr>
      <w:b/>
    </w:rPr>
  </w:style>
  <w:style w:type="character" w:customStyle="1" w:styleId="Underlined">
    <w:name w:val="Underlined"/>
    <w:basedOn w:val="DefaultParagraphFont"/>
    <w:rsid w:val="007761EA"/>
    <w:rPr>
      <w:u w:val="single"/>
    </w:rPr>
  </w:style>
  <w:style w:type="paragraph" w:customStyle="1" w:styleId="TableBodyTextRight">
    <w:name w:val="Table Body Text Right"/>
    <w:basedOn w:val="TableBodyText"/>
    <w:rsid w:val="007761EA"/>
    <w:pPr>
      <w:widowControl w:val="0"/>
      <w:autoSpaceDE w:val="0"/>
      <w:autoSpaceDN w:val="0"/>
      <w:adjustRightInd w:val="0"/>
      <w:jc w:val="right"/>
    </w:pPr>
    <w:rPr>
      <w:rFonts w:cs="Arial"/>
      <w:szCs w:val="18"/>
    </w:rPr>
  </w:style>
  <w:style w:type="paragraph" w:customStyle="1" w:styleId="CopyrightText">
    <w:name w:val="Copyright Text"/>
    <w:basedOn w:val="BodyText"/>
    <w:rsid w:val="007761EA"/>
    <w:rPr>
      <w:sz w:val="18"/>
    </w:rPr>
  </w:style>
  <w:style w:type="paragraph" w:customStyle="1" w:styleId="BodySmallRight">
    <w:name w:val="Body Small Right"/>
    <w:basedOn w:val="BodyTextRight"/>
    <w:rsid w:val="007761EA"/>
    <w:rPr>
      <w:sz w:val="18"/>
      <w:szCs w:val="18"/>
    </w:rPr>
  </w:style>
  <w:style w:type="paragraph" w:customStyle="1" w:styleId="MarginEdition">
    <w:name w:val="Margin Edition"/>
    <w:basedOn w:val="MarginNote"/>
    <w:rsid w:val="007761EA"/>
    <w:pPr>
      <w:spacing w:before="0" w:after="0"/>
    </w:pPr>
    <w:rPr>
      <w:rFonts w:ascii="Times New Roman" w:hAnsi="Times New Roman"/>
      <w:color w:val="999999"/>
    </w:rPr>
  </w:style>
  <w:style w:type="paragraph" w:customStyle="1" w:styleId="Spacer">
    <w:name w:val="Spacer"/>
    <w:basedOn w:val="Normal"/>
    <w:rsid w:val="007761EA"/>
    <w:rPr>
      <w:sz w:val="2"/>
      <w:szCs w:val="2"/>
    </w:rPr>
  </w:style>
  <w:style w:type="character" w:customStyle="1" w:styleId="Small">
    <w:name w:val="Small"/>
    <w:basedOn w:val="DefaultParagraphFont"/>
    <w:rsid w:val="007761EA"/>
    <w:rPr>
      <w:sz w:val="16"/>
    </w:rPr>
  </w:style>
  <w:style w:type="paragraph" w:customStyle="1" w:styleId="WideTable">
    <w:name w:val="Wide Table"/>
    <w:basedOn w:val="Normal"/>
    <w:rsid w:val="007761EA"/>
    <w:pPr>
      <w:ind w:left="-1418"/>
    </w:pPr>
    <w:rPr>
      <w:sz w:val="2"/>
      <w:szCs w:val="2"/>
    </w:rPr>
  </w:style>
  <w:style w:type="character" w:styleId="PageNumber">
    <w:name w:val="page number"/>
    <w:basedOn w:val="DefaultParagraphFont"/>
    <w:rsid w:val="007761EA"/>
  </w:style>
  <w:style w:type="paragraph" w:styleId="Quote">
    <w:name w:val="Quote"/>
    <w:basedOn w:val="Heading1"/>
    <w:link w:val="QuoteChar"/>
    <w:qFormat/>
    <w:rsid w:val="007761EA"/>
    <w:rPr>
      <w:b w:val="0"/>
      <w:sz w:val="72"/>
      <w:szCs w:val="72"/>
      <w:lang w:val="en-NZ"/>
    </w:rPr>
  </w:style>
  <w:style w:type="character" w:customStyle="1" w:styleId="QuoteChar">
    <w:name w:val="Quote Char"/>
    <w:basedOn w:val="DefaultParagraphFont"/>
    <w:link w:val="Quote"/>
    <w:rsid w:val="007761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1EA"/>
    <w:pPr>
      <w:pageBreakBefore/>
    </w:pPr>
  </w:style>
  <w:style w:type="paragraph" w:customStyle="1" w:styleId="Border">
    <w:name w:val="Border"/>
    <w:basedOn w:val="Normal"/>
    <w:qFormat/>
    <w:rsid w:val="007761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1EA"/>
    <w:rPr>
      <w:b/>
      <w:bCs/>
      <w:i/>
      <w:iCs/>
      <w:color w:val="auto"/>
    </w:rPr>
  </w:style>
  <w:style w:type="paragraph" w:styleId="IntenseQuote">
    <w:name w:val="Intense Quote"/>
    <w:basedOn w:val="Normal"/>
    <w:next w:val="Normal"/>
    <w:link w:val="IntenseQuoteChar"/>
    <w:uiPriority w:val="30"/>
    <w:qFormat/>
    <w:rsid w:val="007761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1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1EA"/>
    <w:rPr>
      <w:smallCaps/>
      <w:color w:val="auto"/>
      <w:u w:val="single"/>
    </w:rPr>
  </w:style>
  <w:style w:type="character" w:styleId="IntenseReference">
    <w:name w:val="Intense Reference"/>
    <w:basedOn w:val="DefaultParagraphFont"/>
    <w:uiPriority w:val="32"/>
    <w:qFormat/>
    <w:rsid w:val="007761EA"/>
    <w:rPr>
      <w:b/>
      <w:bCs/>
      <w:smallCaps/>
      <w:color w:val="auto"/>
      <w:spacing w:val="5"/>
      <w:u w:val="single"/>
    </w:rPr>
  </w:style>
  <w:style w:type="paragraph" w:customStyle="1" w:styleId="2ColumnHeading">
    <w:name w:val="2Column Heading"/>
    <w:basedOn w:val="BodyText"/>
    <w:qFormat/>
    <w:rsid w:val="007761EA"/>
    <w:pPr>
      <w:spacing w:after="60"/>
      <w:ind w:left="-2268"/>
    </w:pPr>
    <w:rPr>
      <w:b/>
    </w:rPr>
  </w:style>
  <w:style w:type="paragraph" w:customStyle="1" w:styleId="Heading1TOC">
    <w:name w:val="Heading1 TOC"/>
    <w:basedOn w:val="Normal"/>
    <w:qFormat/>
    <w:rsid w:val="007761EA"/>
    <w:pPr>
      <w:spacing w:before="240" w:after="120"/>
    </w:pPr>
    <w:rPr>
      <w:rFonts w:ascii="Times New Roman" w:hAnsi="Times New Roman"/>
      <w:b/>
      <w:sz w:val="32"/>
    </w:rPr>
  </w:style>
  <w:style w:type="paragraph" w:customStyle="1" w:styleId="Heading2TOC">
    <w:name w:val="Heading2 TOC"/>
    <w:basedOn w:val="Normal"/>
    <w:qFormat/>
    <w:rsid w:val="007761EA"/>
    <w:pPr>
      <w:spacing w:before="240" w:after="60"/>
    </w:pPr>
    <w:rPr>
      <w:rFonts w:ascii="Times New Roman" w:hAnsi="Times New Roman"/>
      <w:b/>
      <w:sz w:val="28"/>
    </w:rPr>
  </w:style>
  <w:style w:type="character" w:customStyle="1" w:styleId="Underline">
    <w:name w:val="Underline"/>
    <w:basedOn w:val="DefaultParagraphFont"/>
    <w:qFormat/>
    <w:rsid w:val="007761EA"/>
    <w:rPr>
      <w:u w:val="single"/>
    </w:rPr>
  </w:style>
  <w:style w:type="character" w:customStyle="1" w:styleId="BoldandItalics">
    <w:name w:val="Bold and Italics"/>
    <w:qFormat/>
    <w:rsid w:val="007761EA"/>
    <w:rPr>
      <w:b/>
      <w:i/>
      <w:u w:val="none"/>
    </w:rPr>
  </w:style>
  <w:style w:type="paragraph" w:styleId="BalloonText">
    <w:name w:val="Balloon Text"/>
    <w:basedOn w:val="Normal"/>
    <w:link w:val="BalloonTextChar"/>
    <w:rsid w:val="007761EA"/>
    <w:rPr>
      <w:rFonts w:ascii="Tahoma" w:hAnsi="Tahoma" w:cs="Tahoma"/>
      <w:sz w:val="16"/>
      <w:szCs w:val="16"/>
    </w:rPr>
  </w:style>
  <w:style w:type="character" w:customStyle="1" w:styleId="BalloonTextChar">
    <w:name w:val="Balloon Text Char"/>
    <w:basedOn w:val="DefaultParagraphFont"/>
    <w:link w:val="BalloonText"/>
    <w:rsid w:val="007761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1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1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1EA"/>
    <w:rPr>
      <w:b/>
      <w:color w:val="660033"/>
      <w:spacing w:val="0"/>
    </w:rPr>
  </w:style>
  <w:style w:type="paragraph" w:customStyle="1" w:styleId="Nameditemlist">
    <w:name w:val="Named item list"/>
    <w:basedOn w:val="BodyText"/>
    <w:qFormat/>
    <w:rsid w:val="007761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2089</Words>
  <Characters>12623</Characters>
  <Application>Microsoft Office Word</Application>
  <DocSecurity>0</DocSecurity>
  <Lines>490</Lines>
  <Paragraphs>184</Paragraphs>
  <ScaleCrop>false</ScaleCrop>
  <Company>Author-it Software Corporation Ltd.</Company>
  <LinksUpToDate>false</LinksUpToDate>
  <CharactersWithSpaces>14564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UEENEEK136A Install, configure and commission LV micro-hydro systems rated up to 6.4 kW</dc:title>
  <dc:subject>Approved</dc:subject>
  <dc:creator>E-OZ Training Standards</dc:creator>
  <cp:keywords>Release 2</cp:keywords>
  <dc:description>Review Date: 12 April 2008</dc:description>
  <cp:lastModifiedBy>TPCMS</cp:lastModifiedBy>
  <cp:revision>3</cp:revision>
  <dcterms:created xsi:type="dcterms:W3CDTF">2013-08-14T00:41:00Z</dcterms:created>
  <dcterms:modified xsi:type="dcterms:W3CDTF">2013-08-14T00:41:00Z</dcterms:modified>
</cp:coreProperties>
</file>