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85AD0" w:rsidP="00C85AD0">
      <w:pPr>
        <w:pStyle w:val="Title"/>
      </w:pPr>
      <w:bookmarkStart w:id="0" w:name="_GoBack"/>
      <w:bookmarkEnd w:id="0"/>
      <w:r>
        <w:fldChar w:fldCharType="begin"/>
      </w:r>
      <w:r>
        <w:instrText xml:space="preserve"> TITLE   \* MERGEFORMAT </w:instrText>
      </w:r>
      <w:r>
        <w:fldChar w:fldCharType="separate"/>
      </w:r>
      <w:r>
        <w:t>UEENEEK132A Develop strategies to address environmental and sustainability issues in the energy sector</w:t>
      </w:r>
      <w:r>
        <w:fldChar w:fldCharType="end"/>
      </w:r>
    </w:p>
    <w:p w:rsidR="00C85AD0" w:rsidP="00C85AD0">
      <w:pPr>
        <w:pStyle w:val="Version"/>
        <w:sectPr w:rsidSect="00227EB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27EBA" w:rsidP="00227EBA">
      <w:pPr>
        <w:pStyle w:val="SuperHeading"/>
      </w:pPr>
      <w:r w:rsidRPr="00227EBA">
        <w:t>UEENEEK132A Develop strategies to address environmental and sustainability issues in the energy sector</w:t>
      </w:r>
    </w:p>
    <w:p w:rsidR="00000000" w:rsidRPr="00227EBA" w:rsidP="00227EBA">
      <w:pPr>
        <w:pStyle w:val="Heading1"/>
      </w:pPr>
      <w:bookmarkStart w:id="1" w:name="O_419576"/>
      <w:bookmarkEnd w:id="1"/>
      <w:r w:rsidRPr="00227EBA">
        <w:t>Modification History</w:t>
      </w:r>
    </w:p>
    <w:p w:rsidR="00000000" w:rsidRPr="00227EBA" w:rsidP="00227EBA">
      <w:pPr>
        <w:pStyle w:val="BodyText"/>
      </w:pPr>
      <w:r w:rsidRPr="00227EBA">
        <w:t>Not applicable.</w:t>
      </w:r>
    </w:p>
    <w:p w:rsidR="00000000" w:rsidRPr="00227EBA" w:rsidP="00227EBA">
      <w:pPr>
        <w:pStyle w:val="AllowPageBreak"/>
      </w:pPr>
    </w:p>
    <w:p w:rsidR="00000000" w:rsidRPr="00227EBA" w:rsidP="00227EBA">
      <w:pPr>
        <w:pStyle w:val="Heading1"/>
      </w:pPr>
      <w:bookmarkStart w:id="2" w:name="O_419574"/>
      <w:bookmarkEnd w:id="2"/>
      <w:r w:rsidRPr="00227EBA">
        <w:t>Unit Descriptor</w:t>
      </w:r>
    </w:p>
    <w:tbl>
      <w:tblPr>
        <w:tblW w:w="0" w:type="auto"/>
        <w:tblLayout w:type="fixed"/>
        <w:tblCellMar>
          <w:left w:w="62" w:type="dxa"/>
          <w:right w:w="62" w:type="dxa"/>
        </w:tblCellMar>
        <w:tblLook w:val="0000"/>
      </w:tblPr>
      <w:tblGrid>
        <w:gridCol w:w="2700"/>
        <w:gridCol w:w="5760"/>
      </w:tblGrid>
      <w:tr w:rsidTr="00C85AD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27EBA" w:rsidP="00227EBA">
            <w:pPr>
              <w:pStyle w:val="BodyText"/>
            </w:pPr>
            <w:r w:rsidRPr="00227EBA">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227EBA">
            <w:pPr>
              <w:pStyle w:val="BodyText"/>
              <w:rPr>
                <w:lang w:val="en-NZ"/>
              </w:rPr>
            </w:pPr>
            <w:r w:rsidRPr="00227EBA">
              <w:rPr>
                <w:rStyle w:val="SpecialBold"/>
              </w:rPr>
              <w:t>1)</w:t>
            </w:r>
            <w:r w:rsidRPr="00227EBA">
              <w:t xml:space="preserve"> </w:t>
            </w:r>
            <w:r w:rsidRPr="00227EBA">
              <w:rPr>
                <w:rStyle w:val="SpecialBold"/>
              </w:rPr>
              <w:t>Scope:</w:t>
            </w:r>
          </w:p>
        </w:tc>
      </w:tr>
      <w:tr w:rsidTr="00C85AD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227EBA">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227EBA">
            <w:pPr>
              <w:pStyle w:val="BodyText"/>
              <w:rPr>
                <w:lang w:val="en-NZ"/>
              </w:rPr>
            </w:pPr>
            <w:r w:rsidRPr="00227EBA">
              <w:rPr>
                <w:rStyle w:val="SpecialBold"/>
              </w:rPr>
              <w:t>1.1) Descriptor</w:t>
            </w:r>
          </w:p>
        </w:tc>
      </w:tr>
      <w:tr w:rsidTr="00C85AD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27EBA" w:rsidP="00227EBA">
            <w:pPr>
              <w:pStyle w:val="BodyText"/>
            </w:pPr>
            <w:r w:rsidRPr="00227EBA">
              <w:t xml:space="preserve">This unit covers developing strategies to address environmental and sustainability issues in the energy sector. It encompasses working safely, apply extensive knowledge of sustainable energy systems and components and their operating parameters, gathering </w:t>
            </w:r>
            <w:r w:rsidRPr="00227EBA">
              <w:t>and analysing data, applying problem solving techniques, developing and documenting alternatives solutions.</w:t>
            </w:r>
          </w:p>
        </w:tc>
      </w:tr>
    </w:tbl>
    <w:p w:rsidR="00000000" w:rsidRPr="00227EBA" w:rsidP="00227EBA">
      <w:pPr>
        <w:pStyle w:val="BodyText"/>
      </w:pPr>
    </w:p>
    <w:p w:rsidR="00000000" w:rsidRPr="00227EBA" w:rsidP="00227EBA">
      <w:pPr>
        <w:pStyle w:val="AllowPageBreak"/>
      </w:pPr>
    </w:p>
    <w:p w:rsidR="00000000" w:rsidRPr="00227EBA" w:rsidP="00227EBA">
      <w:pPr>
        <w:pStyle w:val="Heading1"/>
      </w:pPr>
      <w:bookmarkStart w:id="3" w:name="O_419562"/>
      <w:bookmarkEnd w:id="3"/>
      <w:r w:rsidRPr="00227EBA">
        <w:t>Application of the Unit</w:t>
      </w:r>
    </w:p>
    <w:tbl>
      <w:tblPr>
        <w:tblW w:w="0" w:type="auto"/>
        <w:tblLayout w:type="fixed"/>
        <w:tblCellMar>
          <w:left w:w="62" w:type="dxa"/>
          <w:right w:w="62" w:type="dxa"/>
        </w:tblCellMar>
        <w:tblLook w:val="0000"/>
      </w:tblPr>
      <w:tblGrid>
        <w:gridCol w:w="2672"/>
        <w:gridCol w:w="5699"/>
      </w:tblGrid>
      <w:tr w:rsidTr="00C85AD0">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227EBA" w:rsidP="00227EBA">
            <w:pPr>
              <w:pStyle w:val="BodyText"/>
            </w:pPr>
            <w:r w:rsidRPr="00227EBA">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227EBA">
            <w:pPr>
              <w:pStyle w:val="BodyText"/>
              <w:rPr>
                <w:lang w:val="en-NZ"/>
              </w:rPr>
            </w:pPr>
            <w:r w:rsidRPr="00227EBA">
              <w:rPr>
                <w:rStyle w:val="SpecialBold"/>
              </w:rPr>
              <w:t>2)</w:t>
            </w:r>
          </w:p>
        </w:tc>
      </w:tr>
      <w:tr w:rsidTr="00C85AD0">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227EBA" w:rsidP="00227EBA">
            <w:pPr>
              <w:pStyle w:val="BodyText"/>
            </w:pPr>
            <w:r w:rsidRPr="00227EBA">
              <w:t>This unit is intended to apply to any recognised development program that leads to the acquisition of a formal award at AQF level 5 or higher.</w:t>
            </w:r>
          </w:p>
        </w:tc>
      </w:tr>
    </w:tbl>
    <w:p w:rsidR="00000000" w:rsidRPr="00227EBA" w:rsidP="00227EBA">
      <w:pPr>
        <w:pStyle w:val="BodyText"/>
      </w:pPr>
    </w:p>
    <w:p w:rsidR="00000000" w:rsidRPr="00227EBA" w:rsidP="00227EBA">
      <w:pPr>
        <w:pStyle w:val="AllowPageBreak"/>
      </w:pPr>
    </w:p>
    <w:p w:rsidR="00000000" w:rsidRPr="00227EBA" w:rsidP="00227EBA">
      <w:pPr>
        <w:pStyle w:val="Heading1"/>
      </w:pPr>
      <w:bookmarkStart w:id="4" w:name="O_419570"/>
      <w:bookmarkEnd w:id="4"/>
      <w:r w:rsidRPr="00227EBA">
        <w:t>Licensing/Regulatory Information</w:t>
      </w:r>
    </w:p>
    <w:tbl>
      <w:tblPr>
        <w:tblW w:w="0" w:type="auto"/>
        <w:tblLayout w:type="fixed"/>
        <w:tblCellMar>
          <w:left w:w="62" w:type="dxa"/>
          <w:right w:w="62" w:type="dxa"/>
        </w:tblCellMar>
        <w:tblLook w:val="0000"/>
      </w:tblPr>
      <w:tblGrid>
        <w:gridCol w:w="2700"/>
        <w:gridCol w:w="5760"/>
      </w:tblGrid>
      <w:tr w:rsidTr="00C85AD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27EBA" w:rsidP="00227EBA">
            <w:pPr>
              <w:pStyle w:val="BodyText"/>
            </w:pPr>
            <w:r w:rsidRPr="00227EBA">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227EBA">
            <w:pPr>
              <w:pStyle w:val="BodyText"/>
              <w:rPr>
                <w:lang w:val="en-NZ"/>
              </w:rPr>
            </w:pPr>
            <w:r w:rsidRPr="00227EBA">
              <w:rPr>
                <w:rStyle w:val="SpecialBold"/>
              </w:rPr>
              <w:t xml:space="preserve">3) </w:t>
            </w:r>
          </w:p>
        </w:tc>
      </w:tr>
      <w:tr w:rsidTr="00C85AD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27EBA" w:rsidP="00227EBA">
            <w:pPr>
              <w:pStyle w:val="BodyText"/>
            </w:pPr>
            <w:r w:rsidRPr="00227EBA">
              <w:t xml:space="preserve">The skills and knowledge described </w:t>
            </w:r>
            <w:r w:rsidRPr="00227EBA">
              <w:t>in this unit do not require a license to practice in the workplace. However, practice in this unit is subject to regulations directly related to occupational health and safety and contracts of training.</w:t>
            </w:r>
          </w:p>
        </w:tc>
      </w:tr>
    </w:tbl>
    <w:p w:rsidR="00000000" w:rsidRPr="00227EBA" w:rsidP="00227EBA">
      <w:pPr>
        <w:pStyle w:val="BodyText"/>
      </w:pPr>
    </w:p>
    <w:p w:rsidR="00000000" w:rsidRPr="00227EBA" w:rsidP="00227EBA">
      <w:pPr>
        <w:pStyle w:val="AllowPageBreak"/>
      </w:pPr>
    </w:p>
    <w:p w:rsidR="00000000" w:rsidRPr="00227EBA" w:rsidP="00227EBA">
      <w:pPr>
        <w:pStyle w:val="Heading1"/>
      </w:pPr>
      <w:bookmarkStart w:id="5" w:name="O_419571"/>
      <w:bookmarkEnd w:id="5"/>
      <w:r w:rsidRPr="00227EBA">
        <w:t>Pre-Requisites</w:t>
      </w:r>
    </w:p>
    <w:tbl>
      <w:tblPr>
        <w:tblW w:w="0" w:type="auto"/>
        <w:tblLayout w:type="fixed"/>
        <w:tblCellMar>
          <w:left w:w="62" w:type="dxa"/>
          <w:right w:w="62" w:type="dxa"/>
        </w:tblCellMar>
        <w:tblLook w:val="0000"/>
      </w:tblPr>
      <w:tblGrid>
        <w:gridCol w:w="2700"/>
        <w:gridCol w:w="5760"/>
      </w:tblGrid>
      <w:tr w:rsidTr="00C85AD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27EBA" w:rsidP="00227EBA">
            <w:pPr>
              <w:pStyle w:val="BodyText"/>
            </w:pPr>
            <w:r w:rsidRPr="00227EBA">
              <w:rPr>
                <w:rStyle w:val="SpecialBold"/>
              </w:rPr>
              <w:t>Prereq</w:t>
            </w:r>
            <w:r w:rsidRPr="00227EBA">
              <w:rPr>
                <w:rStyle w:val="SpecialBold"/>
              </w:rPr>
              <w:t>uisite Unit(s)</w:t>
            </w:r>
          </w:p>
        </w:tc>
        <w:tc>
          <w:tcPr>
            <w:tcW w:w="5760" w:type="dxa"/>
            <w:tcBorders>
              <w:top w:val="nil"/>
              <w:left w:val="nil"/>
              <w:bottom w:val="nil"/>
              <w:right w:val="nil"/>
            </w:tcBorders>
            <w:tcMar>
              <w:top w:w="0" w:type="dxa"/>
              <w:left w:w="62" w:type="dxa"/>
              <w:bottom w:w="0" w:type="dxa"/>
              <w:right w:w="62" w:type="dxa"/>
            </w:tcMar>
          </w:tcPr>
          <w:p w:rsidR="00000000" w:rsidP="00227EBA">
            <w:pPr>
              <w:pStyle w:val="BodyText"/>
              <w:rPr>
                <w:lang w:val="en-NZ"/>
              </w:rPr>
            </w:pPr>
            <w:r w:rsidRPr="00227EBA">
              <w:rPr>
                <w:rStyle w:val="SpecialBold"/>
              </w:rPr>
              <w:t xml:space="preserve">4) </w:t>
            </w:r>
          </w:p>
        </w:tc>
      </w:tr>
      <w:tr w:rsidTr="00C85AD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227EBA" w:rsidP="00227EBA">
            <w:pPr>
              <w:pStyle w:val="BodyText"/>
            </w:pPr>
            <w:r w:rsidRPr="00227EBA">
              <w:rPr>
                <w:rStyle w:val="SpecialBold"/>
              </w:rPr>
              <w:t>Competencies</w:t>
            </w:r>
          </w:p>
        </w:tc>
        <w:tc>
          <w:tcPr>
            <w:tcW w:w="5760" w:type="dxa"/>
            <w:tcBorders>
              <w:top w:val="nil"/>
              <w:left w:val="nil"/>
              <w:bottom w:val="nil"/>
              <w:right w:val="nil"/>
            </w:tcBorders>
            <w:tcMar>
              <w:top w:w="0" w:type="dxa"/>
              <w:left w:w="62" w:type="dxa"/>
              <w:bottom w:w="0" w:type="dxa"/>
              <w:right w:w="62" w:type="dxa"/>
            </w:tcMar>
          </w:tcPr>
          <w:p w:rsidR="00000000" w:rsidP="00227EBA">
            <w:pPr>
              <w:pStyle w:val="BodyText"/>
              <w:rPr>
                <w:lang w:val="en-NZ"/>
              </w:rPr>
            </w:pPr>
            <w:r w:rsidRPr="00227EBA">
              <w:rPr>
                <w:rStyle w:val="SpecialBold"/>
              </w:rPr>
              <w:t>4.1)</w:t>
            </w:r>
          </w:p>
        </w:tc>
      </w:tr>
      <w:tr w:rsidTr="00C85AD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27EBA" w:rsidP="00227EBA">
            <w:pPr>
              <w:pStyle w:val="BodyText"/>
            </w:pPr>
            <w:r w:rsidRPr="00227EBA">
              <w:t>There are no prerequisite competencies for this unit.</w:t>
            </w:r>
          </w:p>
        </w:tc>
      </w:tr>
    </w:tbl>
    <w:p w:rsidR="00000000" w:rsidRPr="00227EBA" w:rsidP="00227EBA">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C85AD0">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227EBA" w:rsidP="00227EBA">
            <w:pPr>
              <w:pStyle w:val="BodyText"/>
            </w:pPr>
            <w:r w:rsidRPr="00227EBA">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227EBA">
            <w:pPr>
              <w:pStyle w:val="BodyText"/>
              <w:rPr>
                <w:lang w:val="en-NZ"/>
              </w:rPr>
            </w:pPr>
            <w:r w:rsidRPr="00227EBA">
              <w:rPr>
                <w:rStyle w:val="SpecialBold"/>
              </w:rPr>
              <w:t xml:space="preserve">4.2) </w:t>
            </w:r>
          </w:p>
        </w:tc>
      </w:tr>
      <w:tr w:rsidTr="00C85AD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227EBA">
            <w:pPr>
              <w:pStyle w:val="BodyText"/>
              <w:rPr>
                <w:lang w:val="en-NZ"/>
              </w:rPr>
            </w:pPr>
            <w:r w:rsidRPr="00227EBA">
              <w:t>Participants are best equipped to achieve competency in this unit if they have reading, writing and numeracy skills indicated by the following scales. Description of each scale is given in Volume 2, Part 3 ‘Literacy and Numeracy’</w:t>
            </w:r>
          </w:p>
        </w:tc>
      </w:tr>
      <w:tr w:rsidTr="00C85AD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227EBA">
            <w:pPr>
              <w:pStyle w:val="BodyText"/>
              <w:rPr>
                <w:lang w:val="en-NZ"/>
              </w:rPr>
            </w:pPr>
            <w:r w:rsidRPr="00227EBA">
              <w:t>Reading</w:t>
            </w:r>
          </w:p>
        </w:tc>
        <w:tc>
          <w:tcPr>
            <w:tcW w:w="810" w:type="dxa"/>
            <w:tcBorders>
              <w:top w:val="nil"/>
              <w:left w:val="nil"/>
              <w:bottom w:val="nil"/>
              <w:right w:val="nil"/>
            </w:tcBorders>
            <w:tcMar>
              <w:top w:w="0" w:type="dxa"/>
              <w:left w:w="62" w:type="dxa"/>
              <w:bottom w:w="0" w:type="dxa"/>
              <w:right w:w="62" w:type="dxa"/>
            </w:tcMar>
          </w:tcPr>
          <w:p w:rsidR="00000000" w:rsidP="00227EBA">
            <w:pPr>
              <w:pStyle w:val="BodyText"/>
              <w:rPr>
                <w:lang w:val="en-NZ"/>
              </w:rPr>
            </w:pPr>
            <w:r w:rsidRPr="00227EBA">
              <w:t>5</w:t>
            </w:r>
          </w:p>
        </w:tc>
        <w:tc>
          <w:tcPr>
            <w:tcW w:w="990" w:type="dxa"/>
            <w:tcBorders>
              <w:top w:val="nil"/>
              <w:left w:val="nil"/>
              <w:bottom w:val="nil"/>
              <w:right w:val="nil"/>
            </w:tcBorders>
            <w:tcMar>
              <w:top w:w="0" w:type="dxa"/>
              <w:left w:w="62" w:type="dxa"/>
              <w:bottom w:w="0" w:type="dxa"/>
              <w:right w:w="62" w:type="dxa"/>
            </w:tcMar>
          </w:tcPr>
          <w:p w:rsidR="00000000" w:rsidP="00227EBA">
            <w:pPr>
              <w:pStyle w:val="BodyText"/>
              <w:rPr>
                <w:lang w:val="en-NZ"/>
              </w:rPr>
            </w:pPr>
            <w:r w:rsidRPr="00227EBA">
              <w:t>Writing</w:t>
            </w:r>
          </w:p>
        </w:tc>
        <w:tc>
          <w:tcPr>
            <w:tcW w:w="900" w:type="dxa"/>
            <w:tcBorders>
              <w:top w:val="nil"/>
              <w:left w:val="nil"/>
              <w:bottom w:val="nil"/>
              <w:right w:val="nil"/>
            </w:tcBorders>
            <w:tcMar>
              <w:top w:w="0" w:type="dxa"/>
              <w:left w:w="62" w:type="dxa"/>
              <w:bottom w:w="0" w:type="dxa"/>
              <w:right w:w="62" w:type="dxa"/>
            </w:tcMar>
          </w:tcPr>
          <w:p w:rsidR="00000000" w:rsidP="00227EBA">
            <w:pPr>
              <w:pStyle w:val="BodyText"/>
              <w:rPr>
                <w:lang w:val="en-NZ"/>
              </w:rPr>
            </w:pPr>
            <w:r w:rsidRPr="00227EBA">
              <w:t>5</w:t>
            </w:r>
          </w:p>
        </w:tc>
        <w:tc>
          <w:tcPr>
            <w:tcW w:w="1260" w:type="dxa"/>
            <w:tcBorders>
              <w:top w:val="nil"/>
              <w:left w:val="nil"/>
              <w:bottom w:val="nil"/>
              <w:right w:val="nil"/>
            </w:tcBorders>
            <w:tcMar>
              <w:top w:w="0" w:type="dxa"/>
              <w:left w:w="62" w:type="dxa"/>
              <w:bottom w:w="0" w:type="dxa"/>
              <w:right w:w="62" w:type="dxa"/>
            </w:tcMar>
          </w:tcPr>
          <w:p w:rsidR="00000000" w:rsidP="00227EBA">
            <w:pPr>
              <w:pStyle w:val="BodyText"/>
              <w:rPr>
                <w:lang w:val="en-NZ"/>
              </w:rPr>
            </w:pPr>
            <w:r w:rsidRPr="00227EBA">
              <w:t>Numeracy</w:t>
            </w:r>
          </w:p>
        </w:tc>
        <w:tc>
          <w:tcPr>
            <w:tcW w:w="720" w:type="dxa"/>
            <w:tcBorders>
              <w:top w:val="nil"/>
              <w:left w:val="nil"/>
              <w:bottom w:val="nil"/>
              <w:right w:val="nil"/>
            </w:tcBorders>
            <w:tcMar>
              <w:top w:w="0" w:type="dxa"/>
              <w:left w:w="62" w:type="dxa"/>
              <w:bottom w:w="0" w:type="dxa"/>
              <w:right w:w="62" w:type="dxa"/>
            </w:tcMar>
          </w:tcPr>
          <w:p w:rsidR="00000000" w:rsidRPr="00227EBA" w:rsidP="00227EBA">
            <w:pPr>
              <w:pStyle w:val="BodyText"/>
            </w:pPr>
            <w:r w:rsidRPr="00227EBA">
              <w:t>5</w:t>
            </w:r>
          </w:p>
        </w:tc>
      </w:tr>
    </w:tbl>
    <w:p w:rsidR="00000000" w:rsidRPr="00227EBA" w:rsidP="00227EBA">
      <w:pPr>
        <w:pStyle w:val="BodyText"/>
      </w:pPr>
    </w:p>
    <w:p w:rsidR="00000000" w:rsidRPr="00227EBA" w:rsidP="00227EBA">
      <w:pPr>
        <w:pStyle w:val="AllowPageBreak"/>
      </w:pPr>
    </w:p>
    <w:p w:rsidR="00000000" w:rsidRPr="00227EBA" w:rsidP="00227EBA">
      <w:pPr>
        <w:pStyle w:val="Heading1"/>
      </w:pPr>
      <w:bookmarkStart w:id="6" w:name="O_419567"/>
      <w:bookmarkEnd w:id="6"/>
      <w:r w:rsidRPr="00227EBA">
        <w:t>Employability Skills Information</w:t>
      </w:r>
    </w:p>
    <w:tbl>
      <w:tblPr>
        <w:tblW w:w="0" w:type="auto"/>
        <w:tblLayout w:type="fixed"/>
        <w:tblCellMar>
          <w:left w:w="62" w:type="dxa"/>
          <w:right w:w="62" w:type="dxa"/>
        </w:tblCellMar>
        <w:tblLook w:val="0000"/>
      </w:tblPr>
      <w:tblGrid>
        <w:gridCol w:w="2700"/>
        <w:gridCol w:w="5760"/>
      </w:tblGrid>
      <w:tr w:rsidTr="00C85AD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27EBA" w:rsidP="00227EBA">
            <w:pPr>
              <w:pStyle w:val="BodyText"/>
            </w:pPr>
            <w:r w:rsidRPr="00227EBA">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227EBA">
            <w:pPr>
              <w:pStyle w:val="BodyText"/>
              <w:rPr>
                <w:lang w:val="en-NZ"/>
              </w:rPr>
            </w:pPr>
            <w:r w:rsidRPr="00227EBA">
              <w:rPr>
                <w:rStyle w:val="SpecialBold"/>
              </w:rPr>
              <w:t xml:space="preserve">5) </w:t>
            </w:r>
          </w:p>
        </w:tc>
      </w:tr>
      <w:tr w:rsidTr="00C85AD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27EBA" w:rsidP="00227EBA">
            <w:pPr>
              <w:pStyle w:val="BodyText"/>
            </w:pPr>
            <w:r w:rsidRPr="00227EBA">
              <w:t>The required outcomes described in this unit of competency contain applicable facets of Employability Skills. The Employability Skills Summary of the qualification i</w:t>
            </w:r>
            <w:r w:rsidRPr="00227EBA">
              <w:t>n which this unit of competency is packaged will assist in identifying Employability Skill requirements.</w:t>
            </w:r>
          </w:p>
        </w:tc>
      </w:tr>
    </w:tbl>
    <w:p w:rsidR="00000000" w:rsidRPr="00227EBA" w:rsidP="00227EBA">
      <w:pPr>
        <w:pStyle w:val="BodyText"/>
      </w:pPr>
    </w:p>
    <w:p w:rsidR="00000000" w:rsidRPr="00227EBA" w:rsidP="00227EBA">
      <w:pPr>
        <w:pStyle w:val="AllowPageBreak"/>
      </w:pPr>
    </w:p>
    <w:p w:rsidR="00000000" w:rsidRPr="00227EBA" w:rsidP="00227EBA">
      <w:pPr>
        <w:pStyle w:val="Heading1"/>
      </w:pPr>
      <w:bookmarkStart w:id="7" w:name="O_419566"/>
      <w:bookmarkEnd w:id="7"/>
      <w:r w:rsidRPr="00227EBA">
        <w:t>Elements and Performance Criteria Pre-Content</w:t>
      </w:r>
    </w:p>
    <w:tbl>
      <w:tblPr>
        <w:tblW w:w="0" w:type="auto"/>
        <w:tblLayout w:type="fixed"/>
        <w:tblCellMar>
          <w:left w:w="62" w:type="dxa"/>
          <w:right w:w="62" w:type="dxa"/>
        </w:tblCellMar>
        <w:tblLook w:val="0000"/>
      </w:tblPr>
      <w:tblGrid>
        <w:gridCol w:w="2700"/>
        <w:gridCol w:w="5760"/>
      </w:tblGrid>
      <w:tr w:rsidTr="00C85AD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27EBA">
            <w:pPr>
              <w:pStyle w:val="BodyText"/>
              <w:rPr>
                <w:lang w:val="en-NZ"/>
              </w:rPr>
            </w:pPr>
            <w:r w:rsidRPr="00227EBA">
              <w:rPr>
                <w:rStyle w:val="SpecialBold"/>
              </w:rPr>
              <w:t>6)</w:t>
            </w:r>
            <w:r w:rsidRPr="00227EBA">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227EBA" w:rsidP="00227EBA">
            <w:pPr>
              <w:pStyle w:val="BodyText"/>
            </w:pPr>
            <w:r w:rsidRPr="00227EBA">
              <w:t>Performance Criteria describe the required performance needed to demonstrate achievement of the element. Assessment of performance is to be consistent with the Evidence Guide.</w:t>
            </w:r>
          </w:p>
        </w:tc>
      </w:tr>
    </w:tbl>
    <w:p w:rsidR="00000000" w:rsidRPr="00227EBA" w:rsidP="00227EBA">
      <w:pPr>
        <w:pStyle w:val="BodyText"/>
      </w:pPr>
    </w:p>
    <w:p w:rsidR="00000000" w:rsidRPr="00227EBA" w:rsidP="00227EBA">
      <w:pPr>
        <w:pStyle w:val="AllowPageBreak"/>
      </w:pPr>
    </w:p>
    <w:p w:rsidR="00000000" w:rsidRPr="00227EBA" w:rsidP="00227EBA">
      <w:pPr>
        <w:pStyle w:val="Heading1"/>
      </w:pPr>
      <w:bookmarkStart w:id="8" w:name="O_419565"/>
      <w:bookmarkEnd w:id="8"/>
      <w:r w:rsidRPr="00227EBA">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C85AD0">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227EBA" w:rsidP="00227EBA">
            <w:pPr>
              <w:pStyle w:val="BodyText"/>
            </w:pPr>
            <w:r w:rsidRPr="00227EBA">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227EBA">
            <w:pPr>
              <w:pStyle w:val="BodyText"/>
              <w:rPr>
                <w:lang w:val="en-NZ"/>
              </w:rPr>
            </w:pPr>
            <w:r w:rsidRPr="00227EBA">
              <w:rPr>
                <w:rStyle w:val="SpecialBold"/>
              </w:rPr>
              <w:t>PERFORMANCE CRITER</w:t>
            </w:r>
            <w:r w:rsidRPr="00227EBA">
              <w:rPr>
                <w:rStyle w:val="SpecialBold"/>
              </w:rPr>
              <w:t>IA</w:t>
            </w:r>
          </w:p>
        </w:tc>
      </w:tr>
      <w:tr w:rsidTr="00C85AD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227EBA">
            <w:pPr>
              <w:pStyle w:val="BodyText"/>
              <w:rPr>
                <w:lang w:val="en-NZ"/>
              </w:rPr>
            </w:pPr>
            <w:r w:rsidRPr="00227EBA">
              <w:t>1</w:t>
            </w:r>
          </w:p>
        </w:tc>
        <w:tc>
          <w:tcPr>
            <w:tcW w:w="2296" w:type="dxa"/>
            <w:vMerge w:val="restart"/>
            <w:tcBorders>
              <w:top w:val="nil"/>
              <w:left w:val="nil"/>
              <w:bottom w:val="nil"/>
              <w:right w:val="nil"/>
            </w:tcBorders>
            <w:tcMar>
              <w:top w:w="0" w:type="dxa"/>
              <w:left w:w="62" w:type="dxa"/>
              <w:bottom w:w="0" w:type="dxa"/>
              <w:right w:w="62" w:type="dxa"/>
            </w:tcMar>
          </w:tcPr>
          <w:p w:rsidR="00000000" w:rsidP="00227EBA">
            <w:pPr>
              <w:pStyle w:val="BodyText"/>
              <w:rPr>
                <w:lang w:val="en-NZ"/>
              </w:rPr>
            </w:pPr>
            <w:r w:rsidRPr="00227EBA">
              <w:t xml:space="preserve">Prepare to develop strategies to address environmental and sustainability issues. </w:t>
            </w:r>
          </w:p>
        </w:tc>
        <w:tc>
          <w:tcPr>
            <w:tcW w:w="900" w:type="dxa"/>
            <w:tcBorders>
              <w:top w:val="nil"/>
              <w:left w:val="nil"/>
              <w:bottom w:val="nil"/>
              <w:right w:val="nil"/>
            </w:tcBorders>
            <w:tcMar>
              <w:top w:w="0" w:type="dxa"/>
              <w:left w:w="62" w:type="dxa"/>
              <w:bottom w:w="0" w:type="dxa"/>
              <w:right w:w="62" w:type="dxa"/>
            </w:tcMar>
          </w:tcPr>
          <w:p w:rsidR="00000000" w:rsidP="00227EBA">
            <w:pPr>
              <w:pStyle w:val="BodyText"/>
              <w:rPr>
                <w:lang w:val="en-NZ"/>
              </w:rPr>
            </w:pPr>
            <w:r w:rsidRPr="00227EBA">
              <w:t>1.1</w:t>
            </w:r>
          </w:p>
        </w:tc>
        <w:tc>
          <w:tcPr>
            <w:tcW w:w="4860" w:type="dxa"/>
            <w:tcBorders>
              <w:top w:val="nil"/>
              <w:left w:val="nil"/>
              <w:bottom w:val="nil"/>
              <w:right w:val="nil"/>
            </w:tcBorders>
            <w:tcMar>
              <w:top w:w="0" w:type="dxa"/>
              <w:left w:w="62" w:type="dxa"/>
              <w:bottom w:w="0" w:type="dxa"/>
              <w:right w:w="62" w:type="dxa"/>
            </w:tcMar>
          </w:tcPr>
          <w:p w:rsidR="00000000" w:rsidP="00227EBA">
            <w:pPr>
              <w:pStyle w:val="BodyText"/>
              <w:rPr>
                <w:lang w:val="en-NZ"/>
              </w:rPr>
            </w:pPr>
            <w:r w:rsidRPr="00227EBA">
              <w:t xml:space="preserve">OHS processes and procedures for a given work area are identified, obtained and understood </w:t>
            </w:r>
          </w:p>
        </w:tc>
      </w:tr>
      <w:tr w:rsidTr="00C85AD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27EBA">
            <w:pPr>
              <w:pStyle w:val="BodyText"/>
              <w:rPr>
                <w:lang w:val="en-NZ"/>
              </w:rPr>
            </w:pPr>
            <w:r w:rsidRPr="00227EBA">
              <w:t>1.2</w:t>
            </w:r>
          </w:p>
        </w:tc>
        <w:tc>
          <w:tcPr>
            <w:tcW w:w="4860" w:type="dxa"/>
            <w:tcBorders>
              <w:top w:val="nil"/>
              <w:left w:val="nil"/>
              <w:bottom w:val="nil"/>
              <w:right w:val="nil"/>
            </w:tcBorders>
            <w:tcMar>
              <w:top w:w="0" w:type="dxa"/>
              <w:left w:w="62" w:type="dxa"/>
              <w:bottom w:w="0" w:type="dxa"/>
              <w:right w:w="62" w:type="dxa"/>
            </w:tcMar>
          </w:tcPr>
          <w:p w:rsidR="00000000" w:rsidP="00227EBA">
            <w:pPr>
              <w:pStyle w:val="BodyText"/>
              <w:rPr>
                <w:lang w:val="en-NZ"/>
              </w:rPr>
            </w:pPr>
            <w:r w:rsidRPr="00227EBA">
              <w:t>Established OHS risk control measures and procedures are followed in preparation for the work</w:t>
            </w:r>
          </w:p>
        </w:tc>
      </w:tr>
      <w:tr w:rsidTr="00C85AD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27EBA">
            <w:pPr>
              <w:pStyle w:val="BodyText"/>
              <w:rPr>
                <w:lang w:val="en-NZ"/>
              </w:rPr>
            </w:pPr>
            <w:r w:rsidRPr="00227EBA">
              <w:t>1.3</w:t>
            </w:r>
          </w:p>
        </w:tc>
        <w:tc>
          <w:tcPr>
            <w:tcW w:w="4860" w:type="dxa"/>
            <w:tcBorders>
              <w:top w:val="nil"/>
              <w:left w:val="nil"/>
              <w:bottom w:val="nil"/>
              <w:right w:val="nil"/>
            </w:tcBorders>
            <w:tcMar>
              <w:top w:w="0" w:type="dxa"/>
              <w:left w:w="62" w:type="dxa"/>
              <w:bottom w:w="0" w:type="dxa"/>
              <w:right w:w="62" w:type="dxa"/>
            </w:tcMar>
          </w:tcPr>
          <w:p w:rsidR="00000000" w:rsidP="00227EBA">
            <w:pPr>
              <w:pStyle w:val="BodyText"/>
              <w:rPr>
                <w:lang w:val="en-NZ"/>
              </w:rPr>
            </w:pPr>
            <w:r w:rsidRPr="00227EBA">
              <w:t xml:space="preserve">The extent of the environmental and sustainability issues are determined from performance specifications and situation reports and in consultation </w:t>
            </w:r>
            <w:r w:rsidRPr="00227EBA">
              <w:t>with relevant persons</w:t>
            </w:r>
          </w:p>
        </w:tc>
      </w:tr>
      <w:tr w:rsidTr="00C85AD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27EBA">
            <w:pPr>
              <w:pStyle w:val="BodyText"/>
              <w:rPr>
                <w:lang w:val="en-NZ"/>
              </w:rPr>
            </w:pPr>
            <w:r w:rsidRPr="00227EBA">
              <w:t>1.4</w:t>
            </w:r>
          </w:p>
        </w:tc>
        <w:tc>
          <w:tcPr>
            <w:tcW w:w="4860" w:type="dxa"/>
            <w:tcBorders>
              <w:top w:val="nil"/>
              <w:left w:val="nil"/>
              <w:bottom w:val="nil"/>
              <w:right w:val="nil"/>
            </w:tcBorders>
            <w:tcMar>
              <w:top w:w="0" w:type="dxa"/>
              <w:left w:w="62" w:type="dxa"/>
              <w:bottom w:w="0" w:type="dxa"/>
              <w:right w:w="62" w:type="dxa"/>
            </w:tcMar>
          </w:tcPr>
          <w:p w:rsidR="00000000" w:rsidP="00227EBA">
            <w:pPr>
              <w:pStyle w:val="BodyText"/>
              <w:rPr>
                <w:lang w:val="en-NZ"/>
              </w:rPr>
            </w:pPr>
            <w:r w:rsidRPr="00227EBA">
              <w:t>Activities are planned to meet scheduled timelines in consultation with others involved in the work</w:t>
            </w:r>
          </w:p>
        </w:tc>
      </w:tr>
      <w:tr w:rsidTr="00C85AD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27EBA">
            <w:pPr>
              <w:pStyle w:val="BodyText"/>
              <w:rPr>
                <w:lang w:val="en-NZ"/>
              </w:rPr>
            </w:pPr>
            <w:r w:rsidRPr="00227EBA">
              <w:t>1.5</w:t>
            </w:r>
          </w:p>
        </w:tc>
        <w:tc>
          <w:tcPr>
            <w:tcW w:w="4860" w:type="dxa"/>
            <w:tcBorders>
              <w:top w:val="nil"/>
              <w:left w:val="nil"/>
              <w:bottom w:val="nil"/>
              <w:right w:val="nil"/>
            </w:tcBorders>
            <w:tcMar>
              <w:top w:w="0" w:type="dxa"/>
              <w:left w:w="62" w:type="dxa"/>
              <w:bottom w:w="0" w:type="dxa"/>
              <w:right w:w="62" w:type="dxa"/>
            </w:tcMar>
          </w:tcPr>
          <w:p w:rsidR="00000000" w:rsidP="00227EBA">
            <w:pPr>
              <w:pStyle w:val="BodyText"/>
              <w:rPr>
                <w:lang w:val="en-NZ"/>
              </w:rPr>
            </w:pPr>
            <w:r w:rsidRPr="00227EBA">
              <w:t>Effective strategies are determined to ensure solution development and implementation is carried out efficiently</w:t>
            </w:r>
          </w:p>
        </w:tc>
      </w:tr>
      <w:tr w:rsidTr="00C85AD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227EBA">
            <w:pPr>
              <w:pStyle w:val="BodyText"/>
              <w:rPr>
                <w:lang w:val="en-NZ"/>
              </w:rPr>
            </w:pPr>
            <w:r w:rsidRPr="00227EBA">
              <w:t>2</w:t>
            </w:r>
          </w:p>
        </w:tc>
        <w:tc>
          <w:tcPr>
            <w:tcW w:w="2296" w:type="dxa"/>
            <w:vMerge w:val="restart"/>
            <w:tcBorders>
              <w:top w:val="nil"/>
              <w:left w:val="nil"/>
              <w:bottom w:val="nil"/>
              <w:right w:val="nil"/>
            </w:tcBorders>
            <w:tcMar>
              <w:top w:w="0" w:type="dxa"/>
              <w:left w:w="62" w:type="dxa"/>
              <w:bottom w:w="0" w:type="dxa"/>
              <w:right w:w="62" w:type="dxa"/>
            </w:tcMar>
          </w:tcPr>
          <w:p w:rsidR="00000000" w:rsidP="00227EBA">
            <w:pPr>
              <w:pStyle w:val="BodyText"/>
              <w:rPr>
                <w:lang w:val="en-NZ"/>
              </w:rPr>
            </w:pPr>
            <w:r w:rsidRPr="00227EBA">
              <w:t>Develop strategies to address environmental and sustainability issues</w:t>
            </w:r>
          </w:p>
        </w:tc>
        <w:tc>
          <w:tcPr>
            <w:tcW w:w="900" w:type="dxa"/>
            <w:tcBorders>
              <w:top w:val="nil"/>
              <w:left w:val="nil"/>
              <w:bottom w:val="nil"/>
              <w:right w:val="nil"/>
            </w:tcBorders>
            <w:tcMar>
              <w:top w:w="0" w:type="dxa"/>
              <w:left w:w="62" w:type="dxa"/>
              <w:bottom w:w="0" w:type="dxa"/>
              <w:right w:w="62" w:type="dxa"/>
            </w:tcMar>
          </w:tcPr>
          <w:p w:rsidR="00000000" w:rsidP="00227EBA">
            <w:pPr>
              <w:pStyle w:val="BodyText"/>
              <w:rPr>
                <w:lang w:val="en-NZ"/>
              </w:rPr>
            </w:pPr>
            <w:r w:rsidRPr="00227EBA">
              <w:t>2.1</w:t>
            </w:r>
          </w:p>
        </w:tc>
        <w:tc>
          <w:tcPr>
            <w:tcW w:w="4860" w:type="dxa"/>
            <w:tcBorders>
              <w:top w:val="nil"/>
              <w:left w:val="nil"/>
              <w:bottom w:val="nil"/>
              <w:right w:val="nil"/>
            </w:tcBorders>
            <w:tcMar>
              <w:top w:w="0" w:type="dxa"/>
              <w:left w:w="62" w:type="dxa"/>
              <w:bottom w:w="0" w:type="dxa"/>
              <w:right w:w="62" w:type="dxa"/>
            </w:tcMar>
          </w:tcPr>
          <w:p w:rsidR="00000000" w:rsidP="00227EBA">
            <w:pPr>
              <w:pStyle w:val="BodyText"/>
              <w:rPr>
                <w:lang w:val="en-NZ"/>
              </w:rPr>
            </w:pPr>
            <w:r w:rsidRPr="00227EBA">
              <w:t>OHS risk control measures and procedures for carrying out the work are followed</w:t>
            </w:r>
          </w:p>
        </w:tc>
      </w:tr>
      <w:tr w:rsidTr="00C85AD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27EBA">
            <w:pPr>
              <w:pStyle w:val="BodyText"/>
              <w:rPr>
                <w:lang w:val="en-NZ"/>
              </w:rPr>
            </w:pPr>
            <w:r w:rsidRPr="00227EBA">
              <w:t>2.2</w:t>
            </w:r>
          </w:p>
        </w:tc>
        <w:tc>
          <w:tcPr>
            <w:tcW w:w="4860" w:type="dxa"/>
            <w:tcBorders>
              <w:top w:val="nil"/>
              <w:left w:val="nil"/>
              <w:bottom w:val="nil"/>
              <w:right w:val="nil"/>
            </w:tcBorders>
            <w:tcMar>
              <w:top w:w="0" w:type="dxa"/>
              <w:left w:w="62" w:type="dxa"/>
              <w:bottom w:w="0" w:type="dxa"/>
              <w:right w:w="62" w:type="dxa"/>
            </w:tcMar>
          </w:tcPr>
          <w:p w:rsidR="00000000" w:rsidP="00227EBA">
            <w:pPr>
              <w:pStyle w:val="BodyText"/>
              <w:rPr>
                <w:lang w:val="en-NZ"/>
              </w:rPr>
            </w:pPr>
            <w:r w:rsidRPr="00227EBA">
              <w:t>Knowledge of sustainability is applied to developing strategies to address greenhouse gas and s</w:t>
            </w:r>
            <w:r w:rsidRPr="00227EBA">
              <w:t>ustainability issues</w:t>
            </w:r>
          </w:p>
        </w:tc>
      </w:tr>
      <w:tr w:rsidTr="00C85AD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27EBA">
            <w:pPr>
              <w:pStyle w:val="BodyText"/>
              <w:rPr>
                <w:lang w:val="en-NZ"/>
              </w:rPr>
            </w:pPr>
            <w:r w:rsidRPr="00227EBA">
              <w:t>2.3</w:t>
            </w:r>
          </w:p>
        </w:tc>
        <w:tc>
          <w:tcPr>
            <w:tcW w:w="4860" w:type="dxa"/>
            <w:tcBorders>
              <w:top w:val="nil"/>
              <w:left w:val="nil"/>
              <w:bottom w:val="nil"/>
              <w:right w:val="nil"/>
            </w:tcBorders>
            <w:tcMar>
              <w:top w:w="0" w:type="dxa"/>
              <w:left w:w="62" w:type="dxa"/>
              <w:bottom w:w="0" w:type="dxa"/>
              <w:right w:w="62" w:type="dxa"/>
            </w:tcMar>
          </w:tcPr>
          <w:p w:rsidR="00000000" w:rsidP="00227EBA">
            <w:pPr>
              <w:pStyle w:val="BodyText"/>
              <w:rPr>
                <w:lang w:val="en-NZ"/>
              </w:rPr>
            </w:pPr>
            <w:r w:rsidRPr="00227EBA">
              <w:t xml:space="preserve">Parameters, specifications and performance requirements in relation to environmental and sustainability issues are set in accordance with established procedures </w:t>
            </w:r>
          </w:p>
        </w:tc>
      </w:tr>
      <w:tr w:rsidTr="00C85AD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27EBA">
            <w:pPr>
              <w:pStyle w:val="BodyText"/>
              <w:rPr>
                <w:lang w:val="en-NZ"/>
              </w:rPr>
            </w:pPr>
            <w:r w:rsidRPr="00227EBA">
              <w:t>2.4</w:t>
            </w:r>
          </w:p>
        </w:tc>
        <w:tc>
          <w:tcPr>
            <w:tcW w:w="4860" w:type="dxa"/>
            <w:tcBorders>
              <w:top w:val="nil"/>
              <w:left w:val="nil"/>
              <w:bottom w:val="nil"/>
              <w:right w:val="nil"/>
            </w:tcBorders>
            <w:tcMar>
              <w:top w:w="0" w:type="dxa"/>
              <w:left w:w="62" w:type="dxa"/>
              <w:bottom w:w="0" w:type="dxa"/>
              <w:right w:w="62" w:type="dxa"/>
            </w:tcMar>
          </w:tcPr>
          <w:p w:rsidR="00000000" w:rsidP="00227EBA">
            <w:pPr>
              <w:pStyle w:val="BodyText"/>
              <w:rPr>
                <w:lang w:val="en-NZ"/>
              </w:rPr>
            </w:pPr>
            <w:r w:rsidRPr="00227EBA">
              <w:t>Approaches to resolving environmental and sustainability issues are analysed to provide most effective solutions</w:t>
            </w:r>
          </w:p>
        </w:tc>
      </w:tr>
      <w:tr w:rsidTr="00C85AD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27EBA">
            <w:pPr>
              <w:pStyle w:val="BodyText"/>
              <w:rPr>
                <w:lang w:val="en-NZ"/>
              </w:rPr>
            </w:pPr>
            <w:r w:rsidRPr="00227EBA">
              <w:t>2.5</w:t>
            </w:r>
          </w:p>
        </w:tc>
        <w:tc>
          <w:tcPr>
            <w:tcW w:w="4860" w:type="dxa"/>
            <w:tcBorders>
              <w:top w:val="nil"/>
              <w:left w:val="nil"/>
              <w:bottom w:val="nil"/>
              <w:right w:val="nil"/>
            </w:tcBorders>
            <w:tcMar>
              <w:top w:w="0" w:type="dxa"/>
              <w:left w:w="62" w:type="dxa"/>
              <w:bottom w:w="0" w:type="dxa"/>
              <w:right w:w="62" w:type="dxa"/>
            </w:tcMar>
          </w:tcPr>
          <w:p w:rsidR="00000000" w:rsidP="00227EBA">
            <w:pPr>
              <w:pStyle w:val="BodyText"/>
              <w:rPr>
                <w:lang w:val="en-NZ"/>
              </w:rPr>
            </w:pPr>
            <w:r w:rsidRPr="00227EBA">
              <w:t>Unplanned events are dealt with safely and effectively consistent with regulatory requirements and enterprise policy</w:t>
            </w:r>
          </w:p>
        </w:tc>
      </w:tr>
      <w:tr w:rsidTr="00C85AD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27EBA">
            <w:pPr>
              <w:pStyle w:val="BodyText"/>
              <w:rPr>
                <w:lang w:val="en-NZ"/>
              </w:rPr>
            </w:pPr>
            <w:r w:rsidRPr="00227EBA">
              <w:t>2.6</w:t>
            </w:r>
          </w:p>
        </w:tc>
        <w:tc>
          <w:tcPr>
            <w:tcW w:w="4860" w:type="dxa"/>
            <w:tcBorders>
              <w:top w:val="nil"/>
              <w:left w:val="nil"/>
              <w:bottom w:val="nil"/>
              <w:right w:val="nil"/>
            </w:tcBorders>
            <w:tcMar>
              <w:top w:w="0" w:type="dxa"/>
              <w:left w:w="62" w:type="dxa"/>
              <w:bottom w:w="0" w:type="dxa"/>
              <w:right w:w="62" w:type="dxa"/>
            </w:tcMar>
          </w:tcPr>
          <w:p w:rsidR="00000000" w:rsidP="00227EBA">
            <w:pPr>
              <w:pStyle w:val="BodyText"/>
              <w:rPr>
                <w:lang w:val="en-NZ"/>
              </w:rPr>
            </w:pPr>
            <w:r w:rsidRPr="00227EBA">
              <w:t>Quality of work is monitored against personal performance agreement and/or established organisational or professional standards</w:t>
            </w:r>
          </w:p>
        </w:tc>
      </w:tr>
      <w:tr w:rsidTr="00C85AD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227EBA">
            <w:pPr>
              <w:pStyle w:val="BodyText"/>
              <w:rPr>
                <w:lang w:val="en-NZ"/>
              </w:rPr>
            </w:pPr>
            <w:r w:rsidRPr="00227EBA">
              <w:t>3</w:t>
            </w:r>
          </w:p>
        </w:tc>
        <w:tc>
          <w:tcPr>
            <w:tcW w:w="2296" w:type="dxa"/>
            <w:tcBorders>
              <w:top w:val="nil"/>
              <w:left w:val="nil"/>
              <w:bottom w:val="nil"/>
              <w:right w:val="nil"/>
            </w:tcBorders>
            <w:tcMar>
              <w:top w:w="0" w:type="dxa"/>
              <w:left w:w="62" w:type="dxa"/>
              <w:bottom w:w="0" w:type="dxa"/>
              <w:right w:w="62" w:type="dxa"/>
            </w:tcMar>
          </w:tcPr>
          <w:p w:rsidR="00000000" w:rsidP="00227EBA">
            <w:pPr>
              <w:pStyle w:val="BodyText"/>
              <w:rPr>
                <w:lang w:val="en-NZ"/>
              </w:rPr>
            </w:pPr>
            <w:r w:rsidRPr="00227EBA">
              <w:t>Document strategies to address environmental and sustainability issues.</w:t>
            </w:r>
          </w:p>
        </w:tc>
        <w:tc>
          <w:tcPr>
            <w:tcW w:w="900" w:type="dxa"/>
            <w:tcBorders>
              <w:top w:val="nil"/>
              <w:left w:val="nil"/>
              <w:bottom w:val="nil"/>
              <w:right w:val="nil"/>
            </w:tcBorders>
            <w:tcMar>
              <w:top w:w="0" w:type="dxa"/>
              <w:left w:w="62" w:type="dxa"/>
              <w:bottom w:w="0" w:type="dxa"/>
              <w:right w:w="62" w:type="dxa"/>
            </w:tcMar>
          </w:tcPr>
          <w:p w:rsidR="00000000" w:rsidP="00227EBA">
            <w:pPr>
              <w:pStyle w:val="BodyText"/>
              <w:rPr>
                <w:lang w:val="en-NZ"/>
              </w:rPr>
            </w:pPr>
            <w:r w:rsidRPr="00227EBA">
              <w:t>3.1</w:t>
            </w:r>
          </w:p>
        </w:tc>
        <w:tc>
          <w:tcPr>
            <w:tcW w:w="4860" w:type="dxa"/>
            <w:tcBorders>
              <w:top w:val="nil"/>
              <w:left w:val="nil"/>
              <w:bottom w:val="nil"/>
              <w:right w:val="nil"/>
            </w:tcBorders>
            <w:tcMar>
              <w:top w:w="0" w:type="dxa"/>
              <w:left w:w="62" w:type="dxa"/>
              <w:bottom w:w="0" w:type="dxa"/>
              <w:right w:w="62" w:type="dxa"/>
            </w:tcMar>
          </w:tcPr>
          <w:p w:rsidR="00000000" w:rsidP="00227EBA">
            <w:pPr>
              <w:pStyle w:val="BodyText"/>
              <w:rPr>
                <w:lang w:val="en-NZ"/>
              </w:rPr>
            </w:pPr>
            <w:r w:rsidRPr="00227EBA">
              <w:t>Solutions to environmental and sustainability iss</w:t>
            </w:r>
            <w:r w:rsidRPr="00227EBA">
              <w:t>ues are tested to determine their effectiveness and modified where necessary</w:t>
            </w:r>
          </w:p>
        </w:tc>
      </w:tr>
      <w:tr w:rsidTr="00C85AD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27EBA">
            <w:pPr>
              <w:pStyle w:val="BodyText"/>
              <w:rPr>
                <w:lang w:val="en-NZ"/>
              </w:rPr>
            </w:pPr>
            <w:r w:rsidRPr="00227EBA">
              <w:t>3.2</w:t>
            </w:r>
          </w:p>
        </w:tc>
        <w:tc>
          <w:tcPr>
            <w:tcW w:w="4860" w:type="dxa"/>
            <w:tcBorders>
              <w:top w:val="nil"/>
              <w:left w:val="nil"/>
              <w:bottom w:val="nil"/>
              <w:right w:val="nil"/>
            </w:tcBorders>
            <w:tcMar>
              <w:top w:w="0" w:type="dxa"/>
              <w:left w:w="62" w:type="dxa"/>
              <w:bottom w:w="0" w:type="dxa"/>
              <w:right w:w="62" w:type="dxa"/>
            </w:tcMar>
          </w:tcPr>
          <w:p w:rsidR="00000000" w:rsidP="00227EBA">
            <w:pPr>
              <w:pStyle w:val="BodyText"/>
              <w:rPr>
                <w:lang w:val="en-NZ"/>
              </w:rPr>
            </w:pPr>
            <w:r w:rsidRPr="00227EBA">
              <w:t>Adopted solutions are documented, including instructions for implementation that incorporates risk control measures to be followed</w:t>
            </w:r>
          </w:p>
        </w:tc>
      </w:tr>
      <w:tr w:rsidTr="00C85AD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27EBA">
            <w:pPr>
              <w:pStyle w:val="BodyText"/>
              <w:rPr>
                <w:lang w:val="en-NZ"/>
              </w:rPr>
            </w:pPr>
            <w:r w:rsidRPr="00227EBA">
              <w:t>3.3</w:t>
            </w:r>
          </w:p>
        </w:tc>
        <w:tc>
          <w:tcPr>
            <w:tcW w:w="4860" w:type="dxa"/>
            <w:tcBorders>
              <w:top w:val="nil"/>
              <w:left w:val="nil"/>
              <w:bottom w:val="nil"/>
              <w:right w:val="nil"/>
            </w:tcBorders>
            <w:tcMar>
              <w:top w:w="0" w:type="dxa"/>
              <w:left w:w="62" w:type="dxa"/>
              <w:bottom w:w="0" w:type="dxa"/>
              <w:right w:w="62" w:type="dxa"/>
            </w:tcMar>
          </w:tcPr>
          <w:p w:rsidR="00000000" w:rsidP="00227EBA">
            <w:pPr>
              <w:pStyle w:val="BodyText"/>
              <w:rPr>
                <w:lang w:val="en-NZ"/>
              </w:rPr>
            </w:pPr>
            <w:r w:rsidRPr="00227EBA">
              <w:t>Appropriately competent and qualif</w:t>
            </w:r>
            <w:r w:rsidRPr="00227EBA">
              <w:t>ied persons required to implement solutions to environmental and sustainability issues are coordinated in accordance with regulatory requirements and enterprise policy (See Note)</w:t>
            </w:r>
          </w:p>
        </w:tc>
      </w:tr>
      <w:tr w:rsidTr="00C85AD0">
        <w:tblPrEx>
          <w:tblW w:w="0" w:type="auto"/>
          <w:tblLayout w:type="fixed"/>
          <w:tblCellMar>
            <w:left w:w="62" w:type="dxa"/>
            <w:right w:w="62" w:type="dxa"/>
          </w:tblCellMar>
          <w:tblLook w:val="0000"/>
        </w:tblPrEx>
        <w:trPr>
          <w:trHeight w:val="189"/>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27EBA">
            <w:pPr>
              <w:pStyle w:val="BodyText"/>
              <w:rPr>
                <w:lang w:val="en-NZ"/>
              </w:rPr>
            </w:pPr>
            <w:r w:rsidRPr="00227EBA">
              <w:t>3.4</w:t>
            </w:r>
          </w:p>
        </w:tc>
        <w:tc>
          <w:tcPr>
            <w:tcW w:w="4860" w:type="dxa"/>
            <w:tcBorders>
              <w:top w:val="nil"/>
              <w:left w:val="nil"/>
              <w:bottom w:val="nil"/>
              <w:right w:val="nil"/>
            </w:tcBorders>
            <w:tcMar>
              <w:top w:w="0" w:type="dxa"/>
              <w:left w:w="62" w:type="dxa"/>
              <w:bottom w:w="0" w:type="dxa"/>
              <w:right w:w="62" w:type="dxa"/>
            </w:tcMar>
          </w:tcPr>
          <w:p w:rsidR="00000000" w:rsidP="00227EBA">
            <w:pPr>
              <w:pStyle w:val="BodyText"/>
              <w:rPr>
                <w:lang w:val="en-NZ"/>
              </w:rPr>
            </w:pPr>
            <w:r w:rsidRPr="00227EBA">
              <w:t>Justification for strategies used to solve environmental and sustainability issues is documented for inclusion in work/project development records in accordance with professional standards</w:t>
            </w:r>
          </w:p>
        </w:tc>
      </w:tr>
      <w:tr w:rsidTr="00C85AD0">
        <w:tblPrEx>
          <w:tblW w:w="0" w:type="auto"/>
          <w:tblLayout w:type="fixed"/>
          <w:tblCellMar>
            <w:left w:w="62" w:type="dxa"/>
            <w:right w:w="62" w:type="dxa"/>
          </w:tblCellMar>
          <w:tblLook w:val="0000"/>
        </w:tblPrEx>
        <w:tc>
          <w:tcPr>
            <w:tcW w:w="8460" w:type="dxa"/>
            <w:gridSpan w:val="4"/>
            <w:tcBorders>
              <w:top w:val="nil"/>
              <w:left w:val="nil"/>
              <w:bottom w:val="nil"/>
              <w:right w:val="nil"/>
            </w:tcBorders>
            <w:tcMar>
              <w:top w:w="0" w:type="dxa"/>
              <w:left w:w="62" w:type="dxa"/>
              <w:bottom w:w="0" w:type="dxa"/>
              <w:right w:w="62" w:type="dxa"/>
            </w:tcMar>
          </w:tcPr>
          <w:p w:rsidR="00000000" w:rsidRPr="00227EBA" w:rsidP="00227EBA">
            <w:pPr>
              <w:pStyle w:val="BodyText"/>
            </w:pPr>
            <w:r w:rsidRPr="00227EBA">
              <w:t xml:space="preserve">Note: </w:t>
            </w:r>
          </w:p>
          <w:p w:rsidR="00000000" w:rsidRPr="00227EBA" w:rsidP="00227EBA">
            <w:pPr>
              <w:pStyle w:val="BodyText"/>
            </w:pPr>
            <w:r w:rsidRPr="00227EBA">
              <w:t>A licence or permit to practise in the workplace is require</w:t>
            </w:r>
            <w:r w:rsidRPr="00227EBA">
              <w:t>d for specified work on building and premises</w:t>
            </w:r>
          </w:p>
        </w:tc>
      </w:tr>
    </w:tbl>
    <w:p w:rsidR="00000000" w:rsidRPr="00227EBA" w:rsidP="00227EBA">
      <w:pPr>
        <w:pStyle w:val="BodyText"/>
      </w:pPr>
    </w:p>
    <w:p w:rsidR="00000000" w:rsidRPr="00227EBA" w:rsidP="00227EBA">
      <w:pPr>
        <w:pStyle w:val="AllowPageBreak"/>
      </w:pPr>
    </w:p>
    <w:p w:rsidR="00000000" w:rsidRPr="00227EBA" w:rsidP="00227EBA">
      <w:pPr>
        <w:pStyle w:val="Heading1"/>
      </w:pPr>
      <w:bookmarkStart w:id="9" w:name="O_419573"/>
      <w:bookmarkEnd w:id="9"/>
      <w:r w:rsidRPr="00227EBA">
        <w:t>Required Skills and Knowledge</w:t>
      </w:r>
    </w:p>
    <w:tbl>
      <w:tblPr>
        <w:tblW w:w="0" w:type="auto"/>
        <w:tblLayout w:type="fixed"/>
        <w:tblCellMar>
          <w:left w:w="62" w:type="dxa"/>
          <w:right w:w="62" w:type="dxa"/>
        </w:tblCellMar>
        <w:tblLook w:val="0000"/>
      </w:tblPr>
      <w:tblGrid>
        <w:gridCol w:w="1800"/>
        <w:gridCol w:w="6660"/>
      </w:tblGrid>
      <w:tr w:rsidTr="00C85AD0">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227EBA">
            <w:pPr>
              <w:pStyle w:val="BodyText"/>
              <w:rPr>
                <w:lang w:val="en-NZ"/>
              </w:rPr>
            </w:pPr>
            <w:r w:rsidRPr="00227EBA">
              <w:rPr>
                <w:rStyle w:val="SpecialBold"/>
              </w:rPr>
              <w:t>REQUIRED SKILLS AND KNOWLEDGE</w:t>
            </w:r>
          </w:p>
        </w:tc>
      </w:tr>
      <w:tr w:rsidTr="00C85AD0">
        <w:tblPrEx>
          <w:tblW w:w="0" w:type="auto"/>
          <w:tblLayout w:type="fixed"/>
          <w:tblCellMar>
            <w:left w:w="62" w:type="dxa"/>
            <w:right w:w="62" w:type="dxa"/>
          </w:tblCellMar>
          <w:tblLook w:val="0000"/>
        </w:tblPrEx>
        <w:trPr>
          <w:trHeight w:val="226"/>
        </w:trPr>
        <w:tc>
          <w:tcPr>
            <w:tcW w:w="8460" w:type="dxa"/>
            <w:gridSpan w:val="2"/>
            <w:tcBorders>
              <w:top w:val="nil"/>
              <w:left w:val="nil"/>
              <w:bottom w:val="nil"/>
              <w:right w:val="nil"/>
            </w:tcBorders>
            <w:tcMar>
              <w:top w:w="0" w:type="dxa"/>
              <w:left w:w="62" w:type="dxa"/>
              <w:bottom w:w="0" w:type="dxa"/>
              <w:right w:w="62" w:type="dxa"/>
            </w:tcMar>
          </w:tcPr>
          <w:p w:rsidR="00000000" w:rsidRPr="00227EBA" w:rsidP="00227EBA">
            <w:pPr>
              <w:pStyle w:val="BodyText"/>
            </w:pPr>
            <w:r w:rsidRPr="00227EBA">
              <w:rPr>
                <w:rStyle w:val="SpecialBold"/>
              </w:rPr>
              <w:t>8)</w:t>
            </w:r>
            <w:r w:rsidRPr="00227EBA">
              <w:t xml:space="preserve"> This describes the essential skills and knowledge and their level, required for this unit.</w:t>
            </w:r>
          </w:p>
          <w:p w:rsidR="00000000" w:rsidRPr="00227EBA" w:rsidP="00227EBA">
            <w:pPr>
              <w:pStyle w:val="BodyText"/>
            </w:pPr>
            <w:r w:rsidRPr="00227EBA">
              <w:t>Evidence must show that knowledge has been acquired of safe working practices and developing strategies to address sustainability issues.</w:t>
            </w:r>
          </w:p>
          <w:p w:rsidR="00000000" w:rsidP="00227EBA">
            <w:pPr>
              <w:pStyle w:val="BodyText"/>
              <w:rPr>
                <w:lang w:val="en-NZ"/>
              </w:rPr>
            </w:pPr>
            <w:r w:rsidRPr="00227EBA">
              <w:t>All knowledge and skills detailed in this unit should be contextualised to current industry practices and technologies</w:t>
            </w:r>
            <w:r w:rsidRPr="00227EBA">
              <w:t>.</w:t>
            </w:r>
          </w:p>
        </w:tc>
      </w:tr>
      <w:tr w:rsidTr="00C85AD0">
        <w:tblPrEx>
          <w:tblW w:w="0" w:type="auto"/>
          <w:tblLayout w:type="fixed"/>
          <w:tblCellMar>
            <w:left w:w="62" w:type="dxa"/>
            <w:right w:w="62" w:type="dxa"/>
          </w:tblCellMar>
          <w:tblLook w:val="0000"/>
        </w:tblPrEx>
        <w:trPr>
          <w:trHeight w:val="226"/>
        </w:trPr>
        <w:tc>
          <w:tcPr>
            <w:tcW w:w="1800" w:type="dxa"/>
            <w:tcBorders>
              <w:top w:val="nil"/>
              <w:left w:val="nil"/>
              <w:bottom w:val="nil"/>
              <w:right w:val="nil"/>
            </w:tcBorders>
            <w:tcMar>
              <w:top w:w="0" w:type="dxa"/>
              <w:left w:w="62" w:type="dxa"/>
              <w:bottom w:w="0" w:type="dxa"/>
              <w:right w:w="62" w:type="dxa"/>
            </w:tcMar>
          </w:tcPr>
          <w:p w:rsidR="00000000" w:rsidRPr="00227EBA" w:rsidP="00227EBA">
            <w:pPr>
              <w:pStyle w:val="BodyText"/>
            </w:pPr>
            <w:r w:rsidRPr="00227EBA">
              <w:rPr>
                <w:rStyle w:val="SpecialBold"/>
              </w:rPr>
              <w:t>KS01-EK132A</w:t>
            </w:r>
          </w:p>
        </w:tc>
        <w:tc>
          <w:tcPr>
            <w:tcW w:w="6660" w:type="dxa"/>
            <w:tcBorders>
              <w:top w:val="nil"/>
              <w:left w:val="nil"/>
              <w:bottom w:val="nil"/>
              <w:right w:val="nil"/>
            </w:tcBorders>
            <w:tcMar>
              <w:top w:w="0" w:type="dxa"/>
              <w:left w:w="62" w:type="dxa"/>
              <w:bottom w:w="0" w:type="dxa"/>
              <w:right w:w="62" w:type="dxa"/>
            </w:tcMar>
          </w:tcPr>
          <w:p w:rsidR="00000000" w:rsidP="00227EBA">
            <w:pPr>
              <w:pStyle w:val="BodyText"/>
              <w:rPr>
                <w:lang w:val="en-NZ"/>
              </w:rPr>
            </w:pPr>
            <w:r w:rsidRPr="00227EBA">
              <w:rPr>
                <w:rStyle w:val="SpecialBold"/>
              </w:rPr>
              <w:t>Environmental and Sustainability strategies</w:t>
            </w:r>
          </w:p>
        </w:tc>
      </w:tr>
      <w:tr w:rsidTr="00C85AD0">
        <w:tblPrEx>
          <w:tblW w:w="0" w:type="auto"/>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60" w:type="dxa"/>
            <w:tcBorders>
              <w:top w:val="nil"/>
              <w:left w:val="nil"/>
              <w:bottom w:val="nil"/>
              <w:right w:val="nil"/>
            </w:tcBorders>
            <w:tcMar>
              <w:top w:w="0" w:type="dxa"/>
              <w:left w:w="62" w:type="dxa"/>
              <w:bottom w:w="0" w:type="dxa"/>
              <w:right w:w="62" w:type="dxa"/>
            </w:tcMar>
          </w:tcPr>
          <w:p w:rsidR="00000000" w:rsidP="00227EBA">
            <w:pPr>
              <w:pStyle w:val="BodyText"/>
              <w:rPr>
                <w:lang w:val="en-NZ"/>
              </w:rPr>
            </w:pPr>
            <w:r w:rsidRPr="00227EBA">
              <w:t>Evidence shall show an understanding of greenhouse reduction strategies to an extent indicated by the following aspects:</w:t>
            </w:r>
          </w:p>
        </w:tc>
      </w:tr>
      <w:tr w:rsidTr="00C85AD0">
        <w:tblPrEx>
          <w:tblW w:w="0" w:type="auto"/>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60" w:type="dxa"/>
            <w:tcBorders>
              <w:top w:val="nil"/>
              <w:left w:val="nil"/>
              <w:bottom w:val="nil"/>
              <w:right w:val="nil"/>
            </w:tcBorders>
            <w:tcMar>
              <w:top w:w="0" w:type="dxa"/>
              <w:left w:w="62" w:type="dxa"/>
              <w:bottom w:w="0" w:type="dxa"/>
              <w:right w:w="62" w:type="dxa"/>
            </w:tcMar>
          </w:tcPr>
          <w:p w:rsidR="00000000" w:rsidRPr="00227EBA" w:rsidP="00227EBA">
            <w:pPr>
              <w:pStyle w:val="BodyText"/>
            </w:pPr>
            <w:r w:rsidRPr="00227EBA">
              <w:t xml:space="preserve">T1 </w:t>
            </w:r>
            <w:r w:rsidRPr="00227EBA">
              <w:tab/>
              <w:t>Principles of sustainability encompassing:</w:t>
            </w:r>
          </w:p>
          <w:p w:rsidR="00000000" w:rsidRPr="00227EBA" w:rsidP="00227EBA">
            <w:pPr>
              <w:pStyle w:val="ListBullet2"/>
            </w:pPr>
            <w:r w:rsidRPr="00227EBA">
              <w:t xml:space="preserve">ways in which ecosystems moderate climate. </w:t>
            </w:r>
            <w:r w:rsidRPr="00227EBA">
              <w:br/>
              <w:t xml:space="preserve">ways in which ecosystems purify and store water. </w:t>
            </w:r>
          </w:p>
          <w:p w:rsidR="00000000" w:rsidP="00227EBA">
            <w:pPr>
              <w:pStyle w:val="ListBullet2"/>
              <w:rPr>
                <w:lang w:val="en-NZ"/>
              </w:rPr>
            </w:pPr>
            <w:r w:rsidRPr="00227EBA">
              <w:t xml:space="preserve">ways in which ecosystems recycle waste. </w:t>
            </w:r>
          </w:p>
        </w:tc>
      </w:tr>
      <w:tr w:rsidTr="00C85AD0">
        <w:tblPrEx>
          <w:tblW w:w="0" w:type="auto"/>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60" w:type="dxa"/>
            <w:tcBorders>
              <w:top w:val="nil"/>
              <w:left w:val="nil"/>
              <w:bottom w:val="nil"/>
              <w:right w:val="nil"/>
            </w:tcBorders>
            <w:tcMar>
              <w:top w:w="0" w:type="dxa"/>
              <w:left w:w="62" w:type="dxa"/>
              <w:bottom w:w="0" w:type="dxa"/>
              <w:right w:w="62" w:type="dxa"/>
            </w:tcMar>
          </w:tcPr>
          <w:p w:rsidR="00000000" w:rsidRPr="00227EBA" w:rsidP="00227EBA">
            <w:pPr>
              <w:pStyle w:val="BodyText"/>
            </w:pPr>
            <w:r w:rsidRPr="00227EBA">
              <w:t>T2</w:t>
            </w:r>
            <w:r w:rsidRPr="00227EBA">
              <w:tab/>
              <w:t>Problems in a sustainable world encompassing:</w:t>
            </w:r>
          </w:p>
          <w:p w:rsidR="00000000" w:rsidRPr="00227EBA" w:rsidP="00227EBA">
            <w:pPr>
              <w:pStyle w:val="ListBullet2"/>
            </w:pPr>
            <w:r w:rsidRPr="00227EBA">
              <w:t>changes to Australian forest cover since white settlement, and the re</w:t>
            </w:r>
            <w:r w:rsidRPr="00227EBA">
              <w:t xml:space="preserve">sulting loss of ecosystem and human benefits. </w:t>
            </w:r>
          </w:p>
          <w:p w:rsidR="00000000" w:rsidRPr="00227EBA" w:rsidP="00227EBA">
            <w:pPr>
              <w:pStyle w:val="ListBullet2"/>
            </w:pPr>
            <w:r w:rsidRPr="00227EBA">
              <w:t xml:space="preserve">changes to Australia‘s soils since white settlement, and the resulting loss of ecosystem and human benefits. </w:t>
            </w:r>
          </w:p>
          <w:p w:rsidR="00000000" w:rsidRPr="00227EBA" w:rsidP="00227EBA">
            <w:pPr>
              <w:pStyle w:val="ListBullet2"/>
            </w:pPr>
            <w:r w:rsidRPr="00227EBA">
              <w:t>changes to Australia‘s waterways since white settlement, and the resulting loss of ecosystem and hu</w:t>
            </w:r>
            <w:r w:rsidRPr="00227EBA">
              <w:t xml:space="preserve">man benefits. </w:t>
            </w:r>
          </w:p>
          <w:p w:rsidR="00000000" w:rsidRPr="00227EBA" w:rsidP="00227EBA">
            <w:pPr>
              <w:pStyle w:val="ListBullet2"/>
            </w:pPr>
            <w:r w:rsidRPr="00227EBA">
              <w:t xml:space="preserve">place of environmental accounting in quantifying Australia‘s environmental losses. </w:t>
            </w:r>
          </w:p>
          <w:p w:rsidR="00000000" w:rsidP="00227EBA">
            <w:pPr>
              <w:pStyle w:val="ListBullet2"/>
              <w:rPr>
                <w:lang w:val="en-NZ"/>
              </w:rPr>
            </w:pPr>
            <w:r w:rsidRPr="00227EBA">
              <w:t xml:space="preserve">limits to Australia‘s population carrying capacity. </w:t>
            </w:r>
          </w:p>
        </w:tc>
      </w:tr>
      <w:tr w:rsidTr="00C85AD0">
        <w:tblPrEx>
          <w:tblW w:w="0" w:type="auto"/>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60" w:type="dxa"/>
            <w:tcBorders>
              <w:top w:val="nil"/>
              <w:left w:val="nil"/>
              <w:bottom w:val="nil"/>
              <w:right w:val="nil"/>
            </w:tcBorders>
            <w:tcMar>
              <w:top w:w="0" w:type="dxa"/>
              <w:left w:w="62" w:type="dxa"/>
              <w:bottom w:w="0" w:type="dxa"/>
              <w:right w:w="62" w:type="dxa"/>
            </w:tcMar>
          </w:tcPr>
          <w:p w:rsidR="00000000" w:rsidRPr="00227EBA" w:rsidP="00227EBA">
            <w:pPr>
              <w:pStyle w:val="BodyText"/>
            </w:pPr>
            <w:r w:rsidRPr="00227EBA">
              <w:t>T3</w:t>
            </w:r>
            <w:r w:rsidRPr="00227EBA">
              <w:tab/>
              <w:t>Sustainability principles encompassing:</w:t>
            </w:r>
          </w:p>
          <w:p w:rsidR="00000000" w:rsidP="00227EBA">
            <w:pPr>
              <w:pStyle w:val="ListBullet2"/>
              <w:rPr>
                <w:lang w:val="en-NZ"/>
              </w:rPr>
            </w:pPr>
            <w:r w:rsidRPr="00227EBA">
              <w:t>principles within sustainability including: environmental accounting and economies; full cost pricing; triple bottom line ethic; ecologically sustainable development; greenhouse gas abatement; energy efficiency; resource and water use efficiency; life cycl</w:t>
            </w:r>
            <w:r w:rsidRPr="00227EBA">
              <w:t xml:space="preserve">e costing; renewable energy substitution, cleaner production; waste minimisation, reuse and recycling; ecological footprint. </w:t>
            </w:r>
          </w:p>
        </w:tc>
      </w:tr>
      <w:tr w:rsidTr="00C85AD0">
        <w:tblPrEx>
          <w:tblW w:w="0" w:type="auto"/>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60" w:type="dxa"/>
            <w:tcBorders>
              <w:top w:val="nil"/>
              <w:left w:val="nil"/>
              <w:bottom w:val="nil"/>
              <w:right w:val="nil"/>
            </w:tcBorders>
            <w:tcMar>
              <w:top w:w="0" w:type="dxa"/>
              <w:left w:w="62" w:type="dxa"/>
              <w:bottom w:w="0" w:type="dxa"/>
              <w:right w:w="62" w:type="dxa"/>
            </w:tcMar>
          </w:tcPr>
          <w:p w:rsidR="00000000" w:rsidRPr="00227EBA" w:rsidP="00227EBA">
            <w:pPr>
              <w:pStyle w:val="BodyText"/>
            </w:pPr>
            <w:r w:rsidRPr="00227EBA">
              <w:t>T4</w:t>
            </w:r>
            <w:r w:rsidRPr="00227EBA">
              <w:tab/>
              <w:t>Addressing the problem of global warming encompassing:</w:t>
            </w:r>
          </w:p>
          <w:p w:rsidR="00000000" w:rsidRPr="00227EBA" w:rsidP="00227EBA">
            <w:pPr>
              <w:pStyle w:val="ListBullet2"/>
            </w:pPr>
            <w:r w:rsidRPr="00227EBA">
              <w:t xml:space="preserve">greenhouse gases and their sources and quantities that contribute to </w:t>
            </w:r>
            <w:r w:rsidRPr="00227EBA">
              <w:t xml:space="preserve">global warming. </w:t>
            </w:r>
          </w:p>
          <w:p w:rsidR="00000000" w:rsidRPr="00227EBA" w:rsidP="00227EBA">
            <w:pPr>
              <w:pStyle w:val="ListBullet2"/>
            </w:pPr>
            <w:r w:rsidRPr="00227EBA">
              <w:t xml:space="preserve">global warming impacts for Australia for 2030 and 2070 predicted by CSIRO modelling. </w:t>
            </w:r>
          </w:p>
          <w:p w:rsidR="00000000" w:rsidRPr="00227EBA" w:rsidP="00227EBA">
            <w:pPr>
              <w:pStyle w:val="ListBullet2"/>
            </w:pPr>
            <w:r w:rsidRPr="00227EBA">
              <w:t xml:space="preserve">requirements to achieve stable atmospheric concentrations of greenhouse gases. </w:t>
            </w:r>
          </w:p>
          <w:p w:rsidR="00000000" w:rsidP="00227EBA">
            <w:pPr>
              <w:pStyle w:val="ListBullet2"/>
              <w:rPr>
                <w:lang w:val="en-NZ"/>
              </w:rPr>
            </w:pPr>
            <w:r w:rsidRPr="00227EBA">
              <w:t>ecologically and economically sustainable methods for achieving these sta</w:t>
            </w:r>
            <w:r w:rsidRPr="00227EBA">
              <w:t xml:space="preserve">ble concentrations. </w:t>
            </w:r>
          </w:p>
        </w:tc>
      </w:tr>
      <w:tr w:rsidTr="00C85AD0">
        <w:tblPrEx>
          <w:tblW w:w="0" w:type="auto"/>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60" w:type="dxa"/>
            <w:tcBorders>
              <w:top w:val="nil"/>
              <w:left w:val="nil"/>
              <w:bottom w:val="nil"/>
              <w:right w:val="nil"/>
            </w:tcBorders>
            <w:tcMar>
              <w:top w:w="0" w:type="dxa"/>
              <w:left w:w="62" w:type="dxa"/>
              <w:bottom w:w="0" w:type="dxa"/>
              <w:right w:w="62" w:type="dxa"/>
            </w:tcMar>
          </w:tcPr>
          <w:p w:rsidR="00000000" w:rsidRPr="00227EBA" w:rsidP="00227EBA">
            <w:pPr>
              <w:pStyle w:val="BodyText"/>
            </w:pPr>
            <w:r w:rsidRPr="00227EBA">
              <w:t>T5</w:t>
            </w:r>
            <w:r w:rsidRPr="00227EBA">
              <w:tab/>
              <w:t>Greenhouse gas emissions profile encompassing:</w:t>
            </w:r>
          </w:p>
          <w:p w:rsidR="00000000" w:rsidRPr="00227EBA" w:rsidP="00227EBA">
            <w:pPr>
              <w:pStyle w:val="ListBullet2"/>
            </w:pPr>
            <w:r w:rsidRPr="00227EBA">
              <w:t xml:space="preserve">goals and principles of the National Greenhouse Strategy </w:t>
            </w:r>
          </w:p>
          <w:p w:rsidR="00000000" w:rsidRPr="00227EBA" w:rsidP="00227EBA">
            <w:pPr>
              <w:pStyle w:val="ListBullet2"/>
            </w:pPr>
            <w:r w:rsidRPr="00227EBA">
              <w:t xml:space="preserve">what a greenhouse gas inventory is, why it is required, and the sectors to which it applies </w:t>
            </w:r>
          </w:p>
          <w:p w:rsidR="00000000" w:rsidP="00227EBA">
            <w:pPr>
              <w:pStyle w:val="ListBullet2"/>
              <w:rPr>
                <w:lang w:val="en-NZ"/>
              </w:rPr>
            </w:pPr>
            <w:r w:rsidRPr="00227EBA">
              <w:t xml:space="preserve">uses to which the National Greenhouse Gas Inventory can be applied. </w:t>
            </w:r>
          </w:p>
        </w:tc>
      </w:tr>
      <w:tr w:rsidTr="00C85AD0">
        <w:tblPrEx>
          <w:tblW w:w="0" w:type="auto"/>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60" w:type="dxa"/>
            <w:tcBorders>
              <w:top w:val="nil"/>
              <w:left w:val="nil"/>
              <w:bottom w:val="nil"/>
              <w:right w:val="nil"/>
            </w:tcBorders>
            <w:tcMar>
              <w:top w:w="0" w:type="dxa"/>
              <w:left w:w="62" w:type="dxa"/>
              <w:bottom w:w="0" w:type="dxa"/>
              <w:right w:w="62" w:type="dxa"/>
            </w:tcMar>
          </w:tcPr>
          <w:p w:rsidR="00000000" w:rsidRPr="00227EBA" w:rsidP="00227EBA">
            <w:pPr>
              <w:pStyle w:val="BodyText"/>
            </w:pPr>
            <w:r w:rsidRPr="00227EBA">
              <w:t>T6</w:t>
            </w:r>
            <w:r w:rsidRPr="00227EBA">
              <w:tab/>
              <w:t>Understanding and communicating climate change and its impacts encompassing:</w:t>
            </w:r>
          </w:p>
          <w:p w:rsidR="00000000" w:rsidRPr="00227EBA" w:rsidP="00227EBA">
            <w:pPr>
              <w:pStyle w:val="ListBullet2"/>
            </w:pPr>
            <w:r w:rsidRPr="00227EBA">
              <w:t xml:space="preserve">the possible impact of climate change in Australia. </w:t>
            </w:r>
          </w:p>
          <w:p w:rsidR="00000000" w:rsidRPr="00227EBA" w:rsidP="00227EBA">
            <w:pPr>
              <w:pStyle w:val="ListBullet2"/>
            </w:pPr>
            <w:r w:rsidRPr="00227EBA">
              <w:t>techniques for improving the understanding of clima</w:t>
            </w:r>
            <w:r w:rsidRPr="00227EBA">
              <w:t xml:space="preserve">te change </w:t>
            </w:r>
          </w:p>
          <w:p w:rsidR="00000000" w:rsidP="00227EBA">
            <w:pPr>
              <w:pStyle w:val="ListBullet2"/>
              <w:rPr>
                <w:lang w:val="en-NZ"/>
              </w:rPr>
            </w:pPr>
            <w:r w:rsidRPr="00227EBA">
              <w:t xml:space="preserve">techniques for communicating to and educating the general public on greenhouse gas induced climate change. </w:t>
            </w:r>
          </w:p>
        </w:tc>
      </w:tr>
      <w:tr w:rsidTr="00C85AD0">
        <w:tblPrEx>
          <w:tblW w:w="0" w:type="auto"/>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60" w:type="dxa"/>
            <w:tcBorders>
              <w:top w:val="nil"/>
              <w:left w:val="nil"/>
              <w:bottom w:val="nil"/>
              <w:right w:val="nil"/>
            </w:tcBorders>
            <w:tcMar>
              <w:top w:w="0" w:type="dxa"/>
              <w:left w:w="62" w:type="dxa"/>
              <w:bottom w:w="0" w:type="dxa"/>
              <w:right w:w="62" w:type="dxa"/>
            </w:tcMar>
          </w:tcPr>
          <w:p w:rsidR="00000000" w:rsidRPr="00227EBA" w:rsidP="00227EBA">
            <w:pPr>
              <w:pStyle w:val="BodyText"/>
            </w:pPr>
            <w:r w:rsidRPr="00227EBA">
              <w:t>T7</w:t>
            </w:r>
            <w:r w:rsidRPr="00227EBA">
              <w:tab/>
              <w:t>Partnerships for greenhouse action encompassing:</w:t>
            </w:r>
          </w:p>
          <w:p w:rsidR="00000000" w:rsidRPr="00227EBA" w:rsidP="00227EBA">
            <w:pPr>
              <w:pStyle w:val="ListBullet2"/>
            </w:pPr>
            <w:r w:rsidRPr="00227EBA">
              <w:t xml:space="preserve">actions achievable by each level of government to implement the NGS. </w:t>
            </w:r>
          </w:p>
          <w:p w:rsidR="00000000" w:rsidRPr="00227EBA" w:rsidP="00227EBA">
            <w:pPr>
              <w:pStyle w:val="ListBullet2"/>
            </w:pPr>
            <w:r w:rsidRPr="00227EBA">
              <w:t>methods by w</w:t>
            </w:r>
            <w:r w:rsidRPr="00227EBA">
              <w:t xml:space="preserve">hich the community activity can be engaged in the reduction of greenhouse gas emissions. </w:t>
            </w:r>
          </w:p>
          <w:p w:rsidR="00000000" w:rsidRPr="00227EBA" w:rsidP="00227EBA">
            <w:pPr>
              <w:pStyle w:val="ListBullet2"/>
            </w:pPr>
            <w:r w:rsidRPr="00227EBA">
              <w:t xml:space="preserve">initiatives that can be undertaken by the private sector to reduce greenhouse gas emissions. </w:t>
            </w:r>
          </w:p>
          <w:p w:rsidR="00000000" w:rsidRPr="00227EBA" w:rsidP="00227EBA">
            <w:pPr>
              <w:pStyle w:val="ListBullet2"/>
            </w:pPr>
            <w:r w:rsidRPr="00227EBA">
              <w:t xml:space="preserve">advantages of international partnerships. </w:t>
            </w:r>
          </w:p>
          <w:p w:rsidR="00000000" w:rsidP="00227EBA">
            <w:pPr>
              <w:pStyle w:val="ListBullet2"/>
              <w:rPr>
                <w:lang w:val="en-NZ"/>
              </w:rPr>
            </w:pPr>
            <w:r w:rsidRPr="00227EBA">
              <w:t xml:space="preserve">emissions trading system. </w:t>
            </w:r>
          </w:p>
        </w:tc>
      </w:tr>
      <w:tr w:rsidTr="00C85AD0">
        <w:tblPrEx>
          <w:tblW w:w="0" w:type="auto"/>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60" w:type="dxa"/>
            <w:tcBorders>
              <w:top w:val="nil"/>
              <w:left w:val="nil"/>
              <w:bottom w:val="nil"/>
              <w:right w:val="nil"/>
            </w:tcBorders>
            <w:tcMar>
              <w:top w:w="0" w:type="dxa"/>
              <w:left w:w="62" w:type="dxa"/>
              <w:bottom w:w="0" w:type="dxa"/>
              <w:right w:w="62" w:type="dxa"/>
            </w:tcMar>
          </w:tcPr>
          <w:p w:rsidR="00000000" w:rsidRPr="00227EBA" w:rsidP="00227EBA">
            <w:pPr>
              <w:pStyle w:val="BodyText"/>
            </w:pPr>
            <w:r w:rsidRPr="00227EBA">
              <w:t>T8</w:t>
            </w:r>
            <w:r w:rsidRPr="00227EBA">
              <w:tab/>
              <w:t>Efficient and sustainable energy use and supply encompassing:</w:t>
            </w:r>
          </w:p>
          <w:p w:rsidR="00000000" w:rsidRPr="00227EBA" w:rsidP="00227EBA">
            <w:pPr>
              <w:pStyle w:val="ListBullet2"/>
            </w:pPr>
            <w:r w:rsidRPr="00227EBA">
              <w:t xml:space="preserve">techniques for reducing the greenhouse intensity of energy supply. </w:t>
            </w:r>
          </w:p>
          <w:p w:rsidR="00000000" w:rsidRPr="00227EBA" w:rsidP="00227EBA">
            <w:pPr>
              <w:pStyle w:val="ListBullet2"/>
            </w:pPr>
            <w:r w:rsidRPr="00227EBA">
              <w:t xml:space="preserve">types of renewable energy sources suitable for use in Australia. </w:t>
            </w:r>
          </w:p>
          <w:p w:rsidR="00000000" w:rsidP="00227EBA">
            <w:pPr>
              <w:pStyle w:val="ListBullet2"/>
              <w:rPr>
                <w:lang w:val="en-NZ"/>
              </w:rPr>
            </w:pPr>
            <w:r w:rsidRPr="00227EBA">
              <w:t>methods and technique for improving end-use efficiency.</w:t>
            </w:r>
          </w:p>
        </w:tc>
      </w:tr>
      <w:tr w:rsidTr="00C85AD0">
        <w:tblPrEx>
          <w:tblW w:w="0" w:type="auto"/>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60" w:type="dxa"/>
            <w:tcBorders>
              <w:top w:val="nil"/>
              <w:left w:val="nil"/>
              <w:bottom w:val="nil"/>
              <w:right w:val="nil"/>
            </w:tcBorders>
            <w:tcMar>
              <w:top w:w="0" w:type="dxa"/>
              <w:left w:w="62" w:type="dxa"/>
              <w:bottom w:w="0" w:type="dxa"/>
              <w:right w:w="62" w:type="dxa"/>
            </w:tcMar>
          </w:tcPr>
          <w:p w:rsidR="00000000" w:rsidRPr="00227EBA" w:rsidP="00227EBA">
            <w:pPr>
              <w:pStyle w:val="BodyText"/>
            </w:pPr>
            <w:r w:rsidRPr="00227EBA">
              <w:t>T9</w:t>
            </w:r>
            <w:r w:rsidRPr="00227EBA">
              <w:tab/>
              <w:t>Efficient transport and sustainable urban planning encompassing:</w:t>
            </w:r>
          </w:p>
          <w:p w:rsidR="00000000" w:rsidRPr="00227EBA" w:rsidP="00227EBA">
            <w:pPr>
              <w:pStyle w:val="ListBullet2"/>
            </w:pPr>
            <w:r w:rsidRPr="00227EBA">
              <w:t xml:space="preserve">how integrating land use and transport planning can assist the greenhouse problem. </w:t>
            </w:r>
          </w:p>
          <w:p w:rsidR="00000000" w:rsidP="00227EBA">
            <w:pPr>
              <w:pStyle w:val="ListBullet2"/>
              <w:rPr>
                <w:lang w:val="en-NZ"/>
              </w:rPr>
            </w:pPr>
            <w:r w:rsidRPr="00227EBA">
              <w:t>how each of the following can be used to mitigate greenhouse gas; travel demand and traffic managemen</w:t>
            </w:r>
            <w:r w:rsidRPr="00227EBA">
              <w:t xml:space="preserve">t strategies; encouraging greater use of public transport, walking and cycling; freight and logistics systems; improving vehicle fuel efficiency and fuel technologies; </w:t>
            </w:r>
          </w:p>
        </w:tc>
      </w:tr>
      <w:tr w:rsidTr="00C85AD0">
        <w:tblPrEx>
          <w:tblW w:w="0" w:type="auto"/>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60" w:type="dxa"/>
            <w:tcBorders>
              <w:top w:val="nil"/>
              <w:left w:val="nil"/>
              <w:bottom w:val="nil"/>
              <w:right w:val="nil"/>
            </w:tcBorders>
            <w:tcMar>
              <w:top w:w="0" w:type="dxa"/>
              <w:left w:w="62" w:type="dxa"/>
              <w:bottom w:w="0" w:type="dxa"/>
              <w:right w:w="62" w:type="dxa"/>
            </w:tcMar>
          </w:tcPr>
          <w:p w:rsidR="00000000" w:rsidRPr="00227EBA" w:rsidP="00227EBA">
            <w:pPr>
              <w:pStyle w:val="BodyText"/>
            </w:pPr>
            <w:r w:rsidRPr="00227EBA">
              <w:t>T10</w:t>
            </w:r>
            <w:r w:rsidRPr="00227EBA">
              <w:tab/>
              <w:t>Greenhouse sinks and sustainable land management encompassing:</w:t>
            </w:r>
          </w:p>
          <w:p w:rsidR="00000000" w:rsidRPr="00227EBA" w:rsidP="00227EBA">
            <w:pPr>
              <w:pStyle w:val="ListBullet2"/>
            </w:pPr>
            <w:r w:rsidRPr="00227EBA">
              <w:t xml:space="preserve">how enhancing greenhouse sinks and encouraging sustainable forestry and vegetation management can complement the AGS. </w:t>
            </w:r>
          </w:p>
          <w:p w:rsidR="00000000" w:rsidP="00227EBA">
            <w:pPr>
              <w:pStyle w:val="ListBullet2"/>
              <w:rPr>
                <w:lang w:val="en-NZ"/>
              </w:rPr>
            </w:pPr>
            <w:r w:rsidRPr="00227EBA">
              <w:t xml:space="preserve">how greenhouse gas emissions are obtained from agricultural production and describe techniques to mitigate the emissions. </w:t>
            </w:r>
          </w:p>
        </w:tc>
      </w:tr>
      <w:tr w:rsidTr="00C85AD0">
        <w:tblPrEx>
          <w:tblW w:w="0" w:type="auto"/>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60" w:type="dxa"/>
            <w:tcBorders>
              <w:top w:val="nil"/>
              <w:left w:val="nil"/>
              <w:bottom w:val="nil"/>
              <w:right w:val="nil"/>
            </w:tcBorders>
            <w:tcMar>
              <w:top w:w="0" w:type="dxa"/>
              <w:left w:w="62" w:type="dxa"/>
              <w:bottom w:w="0" w:type="dxa"/>
              <w:right w:w="62" w:type="dxa"/>
            </w:tcMar>
          </w:tcPr>
          <w:p w:rsidR="00000000" w:rsidRPr="00227EBA" w:rsidP="00227EBA">
            <w:pPr>
              <w:pStyle w:val="BodyText"/>
            </w:pPr>
            <w:r w:rsidRPr="00227EBA">
              <w:t>T11</w:t>
            </w:r>
            <w:r w:rsidRPr="00227EBA">
              <w:tab/>
              <w:t>Models o</w:t>
            </w:r>
            <w:r w:rsidRPr="00227EBA">
              <w:t>f greenhouse best practice in industrial processes and waste management encompassing:</w:t>
            </w:r>
          </w:p>
          <w:p w:rsidR="00000000" w:rsidRPr="00227EBA" w:rsidP="00227EBA">
            <w:pPr>
              <w:pStyle w:val="ListBullet2"/>
            </w:pPr>
            <w:r w:rsidRPr="00227EBA">
              <w:t xml:space="preserve">types and methods of reducing greenhouse gas emissions from industry. </w:t>
            </w:r>
          </w:p>
          <w:p w:rsidR="00000000" w:rsidP="00227EBA">
            <w:pPr>
              <w:pStyle w:val="ListBullet2"/>
              <w:rPr>
                <w:lang w:val="en-NZ"/>
              </w:rPr>
            </w:pPr>
            <w:r w:rsidRPr="00227EBA">
              <w:t xml:space="preserve">methods of reducing methane emissions from waste treatment and disposal. </w:t>
            </w:r>
          </w:p>
        </w:tc>
      </w:tr>
      <w:tr w:rsidTr="00C85AD0">
        <w:tblPrEx>
          <w:tblW w:w="0" w:type="auto"/>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60" w:type="dxa"/>
            <w:tcBorders>
              <w:top w:val="nil"/>
              <w:left w:val="nil"/>
              <w:bottom w:val="nil"/>
              <w:right w:val="nil"/>
            </w:tcBorders>
            <w:tcMar>
              <w:top w:w="0" w:type="dxa"/>
              <w:left w:w="62" w:type="dxa"/>
              <w:bottom w:w="0" w:type="dxa"/>
              <w:right w:w="62" w:type="dxa"/>
            </w:tcMar>
          </w:tcPr>
          <w:p w:rsidR="00000000" w:rsidRPr="00227EBA" w:rsidP="00227EBA">
            <w:pPr>
              <w:pStyle w:val="BodyText"/>
            </w:pPr>
            <w:r w:rsidRPr="00227EBA">
              <w:t>T12</w:t>
            </w:r>
            <w:r w:rsidRPr="00227EBA">
              <w:tab/>
              <w:t>Adaptation to clim</w:t>
            </w:r>
            <w:r w:rsidRPr="00227EBA">
              <w:t>ate change encompassing:</w:t>
            </w:r>
          </w:p>
          <w:p w:rsidR="00000000" w:rsidRPr="00227EBA" w:rsidP="00227EBA">
            <w:pPr>
              <w:pStyle w:val="ListBullet2"/>
            </w:pPr>
            <w:r w:rsidRPr="00227EBA">
              <w:t xml:space="preserve">salient points in each of the key sectors that require analysis and the strategies required in the need for adaptation to climate change </w:t>
            </w:r>
          </w:p>
        </w:tc>
      </w:tr>
    </w:tbl>
    <w:p w:rsidR="00000000" w:rsidRPr="00227EBA" w:rsidP="00227EBA">
      <w:pPr>
        <w:pStyle w:val="BodyText"/>
      </w:pPr>
    </w:p>
    <w:p w:rsidR="00000000" w:rsidRPr="00227EBA" w:rsidP="00227EBA">
      <w:pPr>
        <w:pStyle w:val="AllowPageBreak"/>
      </w:pPr>
    </w:p>
    <w:p w:rsidR="00000000" w:rsidRPr="00227EBA" w:rsidP="00227EBA">
      <w:pPr>
        <w:pStyle w:val="Heading1"/>
      </w:pPr>
      <w:bookmarkStart w:id="10" w:name="O_419568"/>
      <w:bookmarkEnd w:id="10"/>
      <w:r w:rsidRPr="00227EBA">
        <w:t>Evidence Guide</w:t>
      </w:r>
    </w:p>
    <w:tbl>
      <w:tblPr>
        <w:tblW w:w="0" w:type="auto"/>
        <w:tblLayout w:type="fixed"/>
        <w:tblCellMar>
          <w:left w:w="62" w:type="dxa"/>
          <w:right w:w="62" w:type="dxa"/>
        </w:tblCellMar>
        <w:tblLook w:val="0000"/>
      </w:tblPr>
      <w:tblGrid>
        <w:gridCol w:w="8460"/>
      </w:tblGrid>
      <w:tr w:rsidTr="00C85AD0">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227EBA">
            <w:pPr>
              <w:pStyle w:val="BodyText"/>
              <w:rPr>
                <w:lang w:val="en-NZ"/>
              </w:rPr>
            </w:pPr>
            <w:r w:rsidRPr="00227EBA">
              <w:rPr>
                <w:rStyle w:val="SpecialBold"/>
              </w:rPr>
              <w:t>EVIDENCE GUIDE</w:t>
            </w:r>
          </w:p>
        </w:tc>
      </w:tr>
      <w:tr w:rsidTr="00C85AD0">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227EBA" w:rsidP="00227EBA">
            <w:pPr>
              <w:pStyle w:val="BodyText"/>
            </w:pPr>
            <w:r w:rsidRPr="00227EBA">
              <w:rPr>
                <w:rStyle w:val="SpecialBold"/>
              </w:rPr>
              <w:t>9)</w:t>
            </w:r>
            <w:r w:rsidRPr="00227EBA">
              <w:t xml:space="preserve"> This provides essential advice for assessment of the unit and must be read in conjunction with the performance criteria and the range statement of the unit and the Training Package Assessment Guidelines.</w:t>
            </w:r>
          </w:p>
          <w:p w:rsidR="00000000" w:rsidRPr="00227EBA" w:rsidP="00227EBA">
            <w:pPr>
              <w:pStyle w:val="BodyText"/>
            </w:pPr>
            <w:r w:rsidRPr="00227EBA">
              <w:t>The Evidence Guide forms an integral part of this unit. It must be used in conjunction with all parts of this unit and performed in accordance with the Assessment Guidelines of this Training Package.</w:t>
            </w:r>
          </w:p>
        </w:tc>
      </w:tr>
    </w:tbl>
    <w:p w:rsidR="00000000" w:rsidRPr="00227EBA" w:rsidP="00227EBA">
      <w:pPr>
        <w:pStyle w:val="BodyText"/>
      </w:pPr>
    </w:p>
    <w:tbl>
      <w:tblPr>
        <w:tblW w:w="0" w:type="auto"/>
        <w:tblLayout w:type="fixed"/>
        <w:tblCellMar>
          <w:left w:w="62" w:type="dxa"/>
          <w:right w:w="62" w:type="dxa"/>
        </w:tblCellMar>
        <w:tblLook w:val="0000"/>
      </w:tblPr>
      <w:tblGrid>
        <w:gridCol w:w="1890"/>
        <w:gridCol w:w="6570"/>
      </w:tblGrid>
      <w:tr w:rsidTr="00C85AD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227EBA" w:rsidP="00227EBA">
            <w:pPr>
              <w:pStyle w:val="BodyText"/>
            </w:pPr>
            <w:r w:rsidRPr="00227EBA">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227EBA">
            <w:pPr>
              <w:pStyle w:val="BodyText"/>
              <w:rPr>
                <w:lang w:val="en-NZ"/>
              </w:rPr>
            </w:pPr>
            <w:r w:rsidRPr="00227EBA">
              <w:rPr>
                <w:rStyle w:val="SpecialBold"/>
              </w:rPr>
              <w:t>9.1)</w:t>
            </w:r>
          </w:p>
        </w:tc>
      </w:tr>
      <w:tr w:rsidTr="00C85AD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227EBA" w:rsidP="00227EBA">
            <w:pPr>
              <w:pStyle w:val="BodyText"/>
            </w:pPr>
            <w:r w:rsidRPr="00227EBA">
              <w:t xml:space="preserve">Longitudinal competency </w:t>
            </w:r>
            <w:r w:rsidRPr="00227EBA">
              <w:t>development approaches to assessment, such as Profiling, require data to be reliably gathered in a form that can be consistently interpreted over time. This approach is best utilised in Apprenticeship programs and reduces assessment intervention. It is the</w:t>
            </w:r>
            <w:r w:rsidRPr="00227EBA">
              <w:t xml:space="preserve"> industry-preferred model for apprenticeships. However, where summative (or final) assessment is used it is to include the application of the competency in the normal work environment or, at a minimum, the application of the competency in a realistically s</w:t>
            </w:r>
            <w:r w:rsidRPr="00227EBA">
              <w:t>imulated work environment. In some circumstances, assessment in part or full can occur outside the workplace. However, it must be in accordance with industry and regulatory policy.</w:t>
            </w:r>
          </w:p>
          <w:p w:rsidR="00000000" w:rsidRPr="00227EBA" w:rsidP="00227EBA">
            <w:pPr>
              <w:pStyle w:val="BodyText"/>
            </w:pPr>
            <w:r w:rsidRPr="00227EBA">
              <w:t>Methods chosen for a particular assessment will be influenced by various fa</w:t>
            </w:r>
            <w:r w:rsidRPr="00227EBA">
              <w:t>ctors. These include the extent of the assessment, the most effective locations for the assessment activities to take place, access to physical resources, additional safety measures that may be required and the critical nature of the competencies being ass</w:t>
            </w:r>
            <w:r w:rsidRPr="00227EBA">
              <w:t>essed.</w:t>
            </w:r>
          </w:p>
          <w:p w:rsidR="00000000" w:rsidRPr="00227EBA" w:rsidP="00227EBA">
            <w:pPr>
              <w:pStyle w:val="BodyText"/>
            </w:pPr>
            <w:r w:rsidRPr="00227EBA">
              <w:t>The critical safety issues inherent in working with electricity, electrical equipment, gas or any other hazardous substance/material present a challenge for those determining competence. Sources of evidence need to be ‘rich’ in nature to minimise er</w:t>
            </w:r>
            <w:r w:rsidRPr="00227EBA">
              <w:t>ror in judgment.</w:t>
            </w:r>
          </w:p>
          <w:p w:rsidR="00000000" w:rsidRPr="00227EBA" w:rsidP="00227EBA">
            <w:pPr>
              <w:pStyle w:val="BodyText"/>
            </w:pPr>
            <w:r w:rsidRPr="00227EBA">
              <w:t xml:space="preserve">Activities associated with normal everyday work have a bearing on the decision as to how much and how detailed the data gathered will contribute to its ‘richness’. Some skills are more critical to safety and operational requirements while </w:t>
            </w:r>
            <w:r w:rsidRPr="00227EBA">
              <w:t>the same skills may be more or less frequently practised. These points are raised for the assessors to consider when choosing an assessment method and developing assessment instruments. Sample assessment instruments are included for Assessors in the Assess</w:t>
            </w:r>
            <w:r w:rsidRPr="00227EBA">
              <w:t>ment Guidelines of this Training Package.</w:t>
            </w:r>
          </w:p>
        </w:tc>
      </w:tr>
    </w:tbl>
    <w:p w:rsidR="00000000" w:rsidRPr="00227EBA" w:rsidP="00227EBA">
      <w:pPr>
        <w:pStyle w:val="BodyText"/>
      </w:pPr>
    </w:p>
    <w:tbl>
      <w:tblPr>
        <w:tblW w:w="0" w:type="auto"/>
        <w:tblLayout w:type="fixed"/>
        <w:tblCellMar>
          <w:left w:w="62" w:type="dxa"/>
          <w:right w:w="62" w:type="dxa"/>
        </w:tblCellMar>
        <w:tblLook w:val="0000"/>
      </w:tblPr>
      <w:tblGrid>
        <w:gridCol w:w="1890"/>
        <w:gridCol w:w="1530"/>
        <w:gridCol w:w="5040"/>
      </w:tblGrid>
      <w:tr w:rsidTr="00C85AD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227EBA" w:rsidP="00227EBA">
            <w:pPr>
              <w:pStyle w:val="BodyText"/>
            </w:pPr>
            <w:r w:rsidRPr="00227EBA">
              <w:rPr>
                <w:rStyle w:val="SpecialBold"/>
              </w:rPr>
              <w:t>Critical aspects of evidence required to demonstrate competency in this unit</w:t>
            </w:r>
          </w:p>
        </w:tc>
        <w:tc>
          <w:tcPr>
            <w:tcW w:w="6570" w:type="dxa"/>
            <w:gridSpan w:val="2"/>
            <w:tcBorders>
              <w:top w:val="nil"/>
              <w:left w:val="nil"/>
              <w:bottom w:val="nil"/>
              <w:right w:val="nil"/>
            </w:tcBorders>
            <w:tcMar>
              <w:top w:w="0" w:type="dxa"/>
              <w:left w:w="62" w:type="dxa"/>
              <w:bottom w:w="0" w:type="dxa"/>
              <w:right w:w="62" w:type="dxa"/>
            </w:tcMar>
          </w:tcPr>
          <w:p w:rsidR="00000000" w:rsidP="00227EBA">
            <w:pPr>
              <w:pStyle w:val="BodyText"/>
              <w:rPr>
                <w:lang w:val="en-NZ"/>
              </w:rPr>
            </w:pPr>
            <w:r w:rsidRPr="00227EBA">
              <w:rPr>
                <w:rStyle w:val="SpecialBold"/>
              </w:rPr>
              <w:t>9.2)</w:t>
            </w:r>
          </w:p>
        </w:tc>
      </w:tr>
      <w:tr w:rsidTr="00C85AD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RPr="00227EBA" w:rsidP="00227EBA">
            <w:pPr>
              <w:pStyle w:val="BodyText"/>
            </w:pPr>
            <w:r w:rsidRPr="00227EBA">
              <w:t>Before the critical aspects of evidence are considered all prerequisites must be met.</w:t>
            </w:r>
          </w:p>
          <w:p w:rsidR="00000000" w:rsidRPr="00227EBA" w:rsidP="00227EBA">
            <w:pPr>
              <w:pStyle w:val="BodyText"/>
            </w:pPr>
            <w:r w:rsidRPr="00227EBA">
              <w:t>Evidence for competence in this unit must be considered holistically.  Each element and associated performance criteria must be demonstrated on at least two occasions in accordance with the ‘Assessment Guidelines – UEE11’.  Evidence must also comprise:</w:t>
            </w:r>
          </w:p>
          <w:p w:rsidR="00000000" w:rsidRPr="00227EBA" w:rsidP="00227EBA">
            <w:pPr>
              <w:pStyle w:val="ListBullet"/>
            </w:pPr>
            <w:r w:rsidRPr="00227EBA">
              <w:t>A r</w:t>
            </w:r>
            <w:r w:rsidRPr="00227EBA">
              <w:t>epresentative body of work performance demonstrated within the timeframes typically expected of the discipline, work function and industrial environment. In particular this must  incorporate evidence that shows a candidate is able to:</w:t>
            </w:r>
          </w:p>
          <w:p w:rsidR="00000000" w:rsidRPr="00227EBA" w:rsidP="00227EBA">
            <w:pPr>
              <w:pStyle w:val="ListBullet2"/>
            </w:pPr>
            <w:r w:rsidRPr="00227EBA">
              <w:t>Implement Occupation</w:t>
            </w:r>
            <w:r w:rsidRPr="00227EBA">
              <w:t>al Health and Safety workplace procedures and practices including the use of risk control measures as specified in the performance criteria and range statement</w:t>
            </w:r>
          </w:p>
          <w:p w:rsidR="00000000" w:rsidRPr="00227EBA" w:rsidP="00227EBA">
            <w:pPr>
              <w:pStyle w:val="ListBullet2"/>
            </w:pPr>
            <w:r w:rsidRPr="00227EBA">
              <w:t>Apply sustainable energy principles and practices as specified in the performance criteria and r</w:t>
            </w:r>
            <w:r w:rsidRPr="00227EBA">
              <w:t>ange statement</w:t>
            </w:r>
          </w:p>
          <w:p w:rsidR="00000000" w:rsidRPr="00227EBA" w:rsidP="00227EBA">
            <w:pPr>
              <w:pStyle w:val="ListBullet2"/>
            </w:pPr>
            <w:r w:rsidRPr="00227EBA">
              <w:t>Demonstrate an understanding of the essential knowledge and associated skills as described in this unit.  It may be required by some jurisdictions that RTOs provide a percentile graded result for the purpose of regulatory or licensing requir</w:t>
            </w:r>
            <w:r w:rsidRPr="00227EBA">
              <w:t>ements.</w:t>
            </w:r>
          </w:p>
          <w:p w:rsidR="00000000" w:rsidRPr="00227EBA" w:rsidP="00227EBA">
            <w:pPr>
              <w:pStyle w:val="ListBullet2"/>
            </w:pPr>
            <w:r w:rsidRPr="00227EBA">
              <w:t>Demonstrate an appropriate level of skills enabling employment</w:t>
            </w:r>
          </w:p>
          <w:p w:rsidR="00000000" w:rsidRPr="00227EBA" w:rsidP="00227EBA">
            <w:pPr>
              <w:pStyle w:val="ListBullet2"/>
            </w:pPr>
            <w:r w:rsidRPr="00227EBA">
              <w:t>Conduct work observing the relevant Anti Discrimination legislation, regulations, polices and workplace procedures</w:t>
            </w:r>
          </w:p>
          <w:p w:rsidR="00000000" w:rsidRPr="00227EBA" w:rsidP="00227EBA">
            <w:pPr>
              <w:pStyle w:val="ListBullet"/>
            </w:pPr>
            <w:r w:rsidRPr="00227EBA">
              <w:t>Demonstrated consistent performance across a representative range of c</w:t>
            </w:r>
            <w:r w:rsidRPr="00227EBA">
              <w:t>ontexts from the prescribed items below:</w:t>
            </w:r>
          </w:p>
          <w:p w:rsidR="00000000" w:rsidP="00227EBA">
            <w:pPr>
              <w:pStyle w:val="ListBullet2"/>
              <w:rPr>
                <w:lang w:val="en-NZ"/>
              </w:rPr>
            </w:pPr>
            <w:r w:rsidRPr="00227EBA">
              <w:t>Develop strategies to address environmental and sustainability issues as described in 8) and including:</w:t>
            </w:r>
          </w:p>
        </w:tc>
      </w:tr>
      <w:tr w:rsidTr="00C85AD0">
        <w:tblPrEx>
          <w:tblW w:w="0" w:type="auto"/>
          <w:tblLayout w:type="fixed"/>
          <w:tblCellMar>
            <w:left w:w="62" w:type="dxa"/>
            <w:right w:w="62" w:type="dxa"/>
          </w:tblCellMar>
          <w:tblLook w:val="0000"/>
        </w:tblPrEx>
        <w:trPr>
          <w:trHeight w:val="316"/>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227EBA">
            <w:pPr>
              <w:pStyle w:val="BodyText"/>
              <w:rPr>
                <w:lang w:val="en-NZ"/>
              </w:rPr>
            </w:pPr>
            <w:r w:rsidRPr="00227EBA">
              <w:t>A</w:t>
            </w:r>
          </w:p>
        </w:tc>
        <w:tc>
          <w:tcPr>
            <w:tcW w:w="5040" w:type="dxa"/>
            <w:tcBorders>
              <w:top w:val="nil"/>
              <w:left w:val="nil"/>
              <w:bottom w:val="nil"/>
              <w:right w:val="nil"/>
            </w:tcBorders>
            <w:tcMar>
              <w:top w:w="0" w:type="dxa"/>
              <w:left w:w="62" w:type="dxa"/>
              <w:bottom w:w="0" w:type="dxa"/>
              <w:right w:w="62" w:type="dxa"/>
            </w:tcMar>
          </w:tcPr>
          <w:p w:rsidR="00000000" w:rsidP="00227EBA">
            <w:pPr>
              <w:pStyle w:val="BodyText"/>
              <w:rPr>
                <w:lang w:val="en-NZ"/>
              </w:rPr>
            </w:pPr>
            <w:r w:rsidRPr="00227EBA">
              <w:t>Understanding the extent of the energy problem</w:t>
            </w:r>
          </w:p>
        </w:tc>
      </w:tr>
      <w:tr w:rsidTr="00C85AD0">
        <w:tblPrEx>
          <w:tblW w:w="0" w:type="auto"/>
          <w:tblLayout w:type="fixed"/>
          <w:tblCellMar>
            <w:left w:w="62" w:type="dxa"/>
            <w:right w:w="62" w:type="dxa"/>
          </w:tblCellMar>
          <w:tblLook w:val="0000"/>
        </w:tblPrEx>
        <w:trPr>
          <w:trHeight w:val="181"/>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227EBA">
            <w:pPr>
              <w:pStyle w:val="BodyText"/>
              <w:rPr>
                <w:lang w:val="en-NZ"/>
              </w:rPr>
            </w:pPr>
            <w:r w:rsidRPr="00227EBA">
              <w:t>B</w:t>
            </w:r>
          </w:p>
        </w:tc>
        <w:tc>
          <w:tcPr>
            <w:tcW w:w="5040" w:type="dxa"/>
            <w:tcBorders>
              <w:top w:val="nil"/>
              <w:left w:val="nil"/>
              <w:bottom w:val="nil"/>
              <w:right w:val="nil"/>
            </w:tcBorders>
            <w:tcMar>
              <w:top w:w="0" w:type="dxa"/>
              <w:left w:w="62" w:type="dxa"/>
              <w:bottom w:w="0" w:type="dxa"/>
              <w:right w:w="62" w:type="dxa"/>
            </w:tcMar>
          </w:tcPr>
          <w:p w:rsidR="00000000" w:rsidP="00227EBA">
            <w:pPr>
              <w:pStyle w:val="BodyText"/>
              <w:rPr>
                <w:lang w:val="en-NZ"/>
              </w:rPr>
            </w:pPr>
            <w:r w:rsidRPr="00227EBA">
              <w:t>Forming effective strategies for solution development and implementation</w:t>
            </w:r>
          </w:p>
        </w:tc>
      </w:tr>
      <w:tr w:rsidTr="00C85AD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227EBA">
            <w:pPr>
              <w:pStyle w:val="BodyText"/>
              <w:rPr>
                <w:lang w:val="en-NZ"/>
              </w:rPr>
            </w:pPr>
            <w:r w:rsidRPr="00227EBA">
              <w:t>C</w:t>
            </w:r>
          </w:p>
        </w:tc>
        <w:tc>
          <w:tcPr>
            <w:tcW w:w="5040" w:type="dxa"/>
            <w:tcBorders>
              <w:top w:val="nil"/>
              <w:left w:val="nil"/>
              <w:bottom w:val="nil"/>
              <w:right w:val="nil"/>
            </w:tcBorders>
            <w:tcMar>
              <w:top w:w="0" w:type="dxa"/>
              <w:left w:w="62" w:type="dxa"/>
              <w:bottom w:w="0" w:type="dxa"/>
              <w:right w:w="62" w:type="dxa"/>
            </w:tcMar>
          </w:tcPr>
          <w:p w:rsidR="00000000" w:rsidP="00227EBA">
            <w:pPr>
              <w:pStyle w:val="BodyText"/>
              <w:rPr>
                <w:lang w:val="en-NZ"/>
              </w:rPr>
            </w:pPr>
            <w:r w:rsidRPr="00227EBA">
              <w:t>Obtaining energy system/component parameters, specifications and performance requirements appropriate to each problem</w:t>
            </w:r>
          </w:p>
        </w:tc>
      </w:tr>
      <w:tr w:rsidTr="00C85AD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227EBA">
            <w:pPr>
              <w:pStyle w:val="BodyText"/>
              <w:rPr>
                <w:lang w:val="en-NZ"/>
              </w:rPr>
            </w:pPr>
            <w:r w:rsidRPr="00227EBA">
              <w:t>D</w:t>
            </w:r>
          </w:p>
        </w:tc>
        <w:tc>
          <w:tcPr>
            <w:tcW w:w="5040" w:type="dxa"/>
            <w:tcBorders>
              <w:top w:val="nil"/>
              <w:left w:val="nil"/>
              <w:bottom w:val="nil"/>
              <w:right w:val="nil"/>
            </w:tcBorders>
            <w:tcMar>
              <w:top w:w="0" w:type="dxa"/>
              <w:left w:w="62" w:type="dxa"/>
              <w:bottom w:w="0" w:type="dxa"/>
              <w:right w:w="62" w:type="dxa"/>
            </w:tcMar>
          </w:tcPr>
          <w:p w:rsidR="00000000" w:rsidP="00227EBA">
            <w:pPr>
              <w:pStyle w:val="BodyText"/>
              <w:rPr>
                <w:lang w:val="en-NZ"/>
              </w:rPr>
            </w:pPr>
            <w:r w:rsidRPr="00227EBA">
              <w:t>Testing solutions to energy problems</w:t>
            </w:r>
          </w:p>
        </w:tc>
      </w:tr>
      <w:tr w:rsidTr="00C85AD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227EBA">
            <w:pPr>
              <w:pStyle w:val="BodyText"/>
              <w:rPr>
                <w:lang w:val="en-NZ"/>
              </w:rPr>
            </w:pPr>
            <w:r w:rsidRPr="00227EBA">
              <w:t>E</w:t>
            </w:r>
          </w:p>
        </w:tc>
        <w:tc>
          <w:tcPr>
            <w:tcW w:w="5040" w:type="dxa"/>
            <w:tcBorders>
              <w:top w:val="nil"/>
              <w:left w:val="nil"/>
              <w:bottom w:val="nil"/>
              <w:right w:val="nil"/>
            </w:tcBorders>
            <w:tcMar>
              <w:top w:w="0" w:type="dxa"/>
              <w:left w:w="62" w:type="dxa"/>
              <w:bottom w:w="0" w:type="dxa"/>
              <w:right w:w="62" w:type="dxa"/>
            </w:tcMar>
          </w:tcPr>
          <w:p w:rsidR="00000000" w:rsidP="00227EBA">
            <w:pPr>
              <w:pStyle w:val="BodyText"/>
              <w:rPr>
                <w:lang w:val="en-NZ"/>
              </w:rPr>
            </w:pPr>
            <w:r w:rsidRPr="00227EBA">
              <w:t>Documenting instruction for implementation of solutions that incorporate risk control measure to be followed</w:t>
            </w:r>
          </w:p>
        </w:tc>
      </w:tr>
      <w:tr w:rsidTr="00C85AD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227EBA">
            <w:pPr>
              <w:pStyle w:val="BodyText"/>
              <w:rPr>
                <w:lang w:val="en-NZ"/>
              </w:rPr>
            </w:pPr>
            <w:r w:rsidRPr="00227EBA">
              <w:t>F</w:t>
            </w:r>
          </w:p>
        </w:tc>
        <w:tc>
          <w:tcPr>
            <w:tcW w:w="5040" w:type="dxa"/>
            <w:tcBorders>
              <w:top w:val="nil"/>
              <w:left w:val="nil"/>
              <w:bottom w:val="nil"/>
              <w:right w:val="nil"/>
            </w:tcBorders>
            <w:tcMar>
              <w:top w:w="0" w:type="dxa"/>
              <w:left w:w="62" w:type="dxa"/>
              <w:bottom w:w="0" w:type="dxa"/>
              <w:right w:w="62" w:type="dxa"/>
            </w:tcMar>
          </w:tcPr>
          <w:p w:rsidR="00000000" w:rsidP="00227EBA">
            <w:pPr>
              <w:pStyle w:val="BodyText"/>
              <w:rPr>
                <w:lang w:val="en-NZ"/>
              </w:rPr>
            </w:pPr>
            <w:r w:rsidRPr="00227EBA">
              <w:t>Documenting justification of solutions implemented in accordance with professional standards</w:t>
            </w:r>
          </w:p>
        </w:tc>
      </w:tr>
      <w:tr w:rsidTr="00C85AD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227EBA">
            <w:pPr>
              <w:pStyle w:val="BodyText"/>
              <w:rPr>
                <w:lang w:val="en-NZ"/>
              </w:rPr>
            </w:pPr>
            <w:r w:rsidRPr="00227EBA">
              <w:t>G</w:t>
            </w:r>
          </w:p>
        </w:tc>
        <w:tc>
          <w:tcPr>
            <w:tcW w:w="5040" w:type="dxa"/>
            <w:tcBorders>
              <w:top w:val="nil"/>
              <w:left w:val="nil"/>
              <w:bottom w:val="nil"/>
              <w:right w:val="nil"/>
            </w:tcBorders>
            <w:tcMar>
              <w:top w:w="0" w:type="dxa"/>
              <w:left w:w="62" w:type="dxa"/>
              <w:bottom w:w="0" w:type="dxa"/>
              <w:right w:w="62" w:type="dxa"/>
            </w:tcMar>
          </w:tcPr>
          <w:p w:rsidR="00000000" w:rsidP="00227EBA">
            <w:pPr>
              <w:pStyle w:val="BodyText"/>
              <w:rPr>
                <w:lang w:val="en-NZ"/>
              </w:rPr>
            </w:pPr>
            <w:r w:rsidRPr="00227EBA">
              <w:t>Dealing with unplanned events by drawing on es</w:t>
            </w:r>
            <w:r w:rsidRPr="00227EBA">
              <w:t>sential knowledge and skills to provide appropriate solutions incorporated in a holistic assessment with the above listed items</w:t>
            </w:r>
          </w:p>
        </w:tc>
      </w:tr>
      <w:tr w:rsidTr="00C85AD0">
        <w:tblPrEx>
          <w:tblW w:w="0" w:type="auto"/>
          <w:tblLayout w:type="fixed"/>
          <w:tblCellMar>
            <w:left w:w="62" w:type="dxa"/>
            <w:right w:w="62" w:type="dxa"/>
          </w:tblCellMar>
          <w:tblLook w:val="0000"/>
        </w:tblPrEx>
        <w:trPr>
          <w:trHeight w:val="181"/>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RPr="00227EBA" w:rsidP="00227EBA">
            <w:pPr>
              <w:pStyle w:val="BodyText"/>
            </w:pPr>
            <w:r w:rsidRPr="00227EBA">
              <w:t xml:space="preserve">Note: </w:t>
            </w:r>
          </w:p>
          <w:p w:rsidR="00000000" w:rsidRPr="00227EBA" w:rsidP="00227EBA">
            <w:pPr>
              <w:pStyle w:val="BodyText"/>
            </w:pPr>
            <w:r w:rsidRPr="00227EBA">
              <w:t xml:space="preserve">Successful completion of relevant vendor training may be used to contribute to evidence on which competency is deemed. </w:t>
            </w:r>
            <w:r w:rsidRPr="00227EBA">
              <w:t>In these cases the alignment of outcomes of vendor training with performance criteria and critical aspects of evidence must be clearly identified.</w:t>
            </w:r>
          </w:p>
        </w:tc>
      </w:tr>
    </w:tbl>
    <w:p w:rsidR="00000000" w:rsidRPr="00227EBA" w:rsidP="00227EBA">
      <w:pPr>
        <w:pStyle w:val="BodyText"/>
      </w:pPr>
    </w:p>
    <w:tbl>
      <w:tblPr>
        <w:tblW w:w="0" w:type="auto"/>
        <w:tblLayout w:type="fixed"/>
        <w:tblCellMar>
          <w:left w:w="62" w:type="dxa"/>
          <w:right w:w="62" w:type="dxa"/>
        </w:tblCellMar>
        <w:tblLook w:val="0000"/>
      </w:tblPr>
      <w:tblGrid>
        <w:gridCol w:w="1890"/>
        <w:gridCol w:w="6570"/>
      </w:tblGrid>
      <w:tr w:rsidTr="00C85AD0">
        <w:tblPrEx>
          <w:tblW w:w="0" w:type="auto"/>
          <w:tblLayout w:type="fixed"/>
          <w:tblCellMar>
            <w:left w:w="62" w:type="dxa"/>
            <w:right w:w="62" w:type="dxa"/>
          </w:tblCellMar>
          <w:tblLook w:val="0000"/>
        </w:tblPrEx>
        <w:trPr>
          <w:trHeight w:val="813"/>
        </w:trPr>
        <w:tc>
          <w:tcPr>
            <w:tcW w:w="1890" w:type="dxa"/>
            <w:tcBorders>
              <w:top w:val="nil"/>
              <w:left w:val="nil"/>
              <w:bottom w:val="nil"/>
              <w:right w:val="nil"/>
            </w:tcBorders>
            <w:tcMar>
              <w:top w:w="0" w:type="dxa"/>
              <w:left w:w="62" w:type="dxa"/>
              <w:bottom w:w="0" w:type="dxa"/>
              <w:right w:w="62" w:type="dxa"/>
            </w:tcMar>
          </w:tcPr>
          <w:p w:rsidR="00000000" w:rsidRPr="00227EBA" w:rsidP="00227EBA">
            <w:pPr>
              <w:pStyle w:val="BodyText"/>
            </w:pPr>
            <w:r w:rsidRPr="00227EBA">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227EBA">
            <w:pPr>
              <w:pStyle w:val="BodyText"/>
              <w:rPr>
                <w:lang w:val="en-NZ"/>
              </w:rPr>
            </w:pPr>
            <w:r w:rsidRPr="00227EBA">
              <w:rPr>
                <w:rStyle w:val="SpecialBold"/>
              </w:rPr>
              <w:t>9.3)</w:t>
            </w:r>
          </w:p>
        </w:tc>
      </w:tr>
      <w:tr w:rsidTr="00C85AD0">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227EBA" w:rsidP="00227EBA">
            <w:pPr>
              <w:pStyle w:val="BodyText"/>
            </w:pPr>
            <w:r w:rsidRPr="00227EBA">
              <w:t>This unit should be assessed as it relates to normal work practice using procedures, information and resources typical of a workplace. This should include:</w:t>
            </w:r>
          </w:p>
          <w:p w:rsidR="00000000" w:rsidRPr="00227EBA" w:rsidP="00227EBA">
            <w:pPr>
              <w:pStyle w:val="ListBullet2"/>
            </w:pPr>
            <w:r w:rsidRPr="00227EBA">
              <w:t>OHS policy and work procedures and instructions.</w:t>
            </w:r>
          </w:p>
          <w:p w:rsidR="00000000" w:rsidRPr="00227EBA" w:rsidP="00227EBA">
            <w:pPr>
              <w:pStyle w:val="ListBullet2"/>
            </w:pPr>
            <w:r w:rsidRPr="00227EBA">
              <w:t>Suitable work environment, facilities, equipment and materials to undertake actual work as prescribed by this unit.</w:t>
            </w:r>
          </w:p>
          <w:p w:rsidR="00000000" w:rsidRPr="00227EBA" w:rsidP="00227EBA">
            <w:pPr>
              <w:pStyle w:val="BodyText"/>
            </w:pPr>
            <w:r w:rsidRPr="00227EBA">
              <w:t>These should be part of the formal learning/assessment environment.</w:t>
            </w:r>
          </w:p>
          <w:p w:rsidR="00000000" w:rsidRPr="00227EBA" w:rsidP="00227EBA">
            <w:pPr>
              <w:pStyle w:val="BodyText"/>
            </w:pPr>
            <w:r w:rsidRPr="00227EBA">
              <w:t>Note:</w:t>
            </w:r>
          </w:p>
          <w:p w:rsidR="00000000" w:rsidRPr="00227EBA" w:rsidP="00227EBA">
            <w:pPr>
              <w:pStyle w:val="BodyText"/>
            </w:pPr>
            <w:r w:rsidRPr="00227EBA">
              <w:t>Where simulation is considered a suitable strategy for assessment,</w:t>
            </w:r>
            <w:r w:rsidRPr="00227EBA">
              <w:t xml:space="preserve"> conditions must be authentic and as far as possible reproduce and replicate the workplace and be consistent with the approved industry simulation policy.</w:t>
            </w:r>
          </w:p>
          <w:p w:rsidR="00000000" w:rsidRPr="00227EBA" w:rsidP="00227EBA">
            <w:pPr>
              <w:pStyle w:val="BodyText"/>
            </w:pPr>
            <w:r w:rsidRPr="00227EBA">
              <w:t>The resources used for assessment should reflect current industry practices in relation to developing</w:t>
            </w:r>
            <w:r w:rsidRPr="00227EBA">
              <w:t xml:space="preserve"> strategies to address environmental and sustainability issues.</w:t>
            </w:r>
          </w:p>
        </w:tc>
      </w:tr>
    </w:tbl>
    <w:p w:rsidR="00000000" w:rsidRPr="00227EBA" w:rsidP="00227EBA">
      <w:pPr>
        <w:pStyle w:val="BodyText"/>
      </w:pPr>
    </w:p>
    <w:tbl>
      <w:tblPr>
        <w:tblW w:w="0" w:type="auto"/>
        <w:tblLayout w:type="fixed"/>
        <w:tblCellMar>
          <w:left w:w="62" w:type="dxa"/>
          <w:right w:w="62" w:type="dxa"/>
        </w:tblCellMar>
        <w:tblLook w:val="0000"/>
      </w:tblPr>
      <w:tblGrid>
        <w:gridCol w:w="1890"/>
        <w:gridCol w:w="6570"/>
      </w:tblGrid>
      <w:tr w:rsidTr="00C85AD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227EBA" w:rsidP="00227EBA">
            <w:pPr>
              <w:pStyle w:val="BodyText"/>
            </w:pPr>
            <w:r w:rsidRPr="00227EBA">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227EBA">
            <w:pPr>
              <w:pStyle w:val="BodyText"/>
              <w:rPr>
                <w:lang w:val="en-NZ"/>
              </w:rPr>
            </w:pPr>
            <w:r w:rsidRPr="00227EBA">
              <w:rPr>
                <w:rStyle w:val="SpecialBold"/>
              </w:rPr>
              <w:t>9.4)</w:t>
            </w:r>
          </w:p>
        </w:tc>
      </w:tr>
      <w:tr w:rsidTr="00C85AD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227EBA" w:rsidP="00227EBA">
            <w:pPr>
              <w:pStyle w:val="BodyText"/>
            </w:pPr>
            <w:r w:rsidRPr="00227EBA">
              <w:t>This unit shall be assessed by methods given in Volume 1, Part 3 ‘Assessment Guidelines’.</w:t>
            </w:r>
          </w:p>
          <w:p w:rsidR="00000000" w:rsidRPr="00227EBA" w:rsidP="00227EBA">
            <w:pPr>
              <w:pStyle w:val="BodyText"/>
            </w:pPr>
            <w:r w:rsidRPr="00227EBA">
              <w:t xml:space="preserve">Note: </w:t>
            </w:r>
          </w:p>
          <w:p w:rsidR="00000000" w:rsidRPr="00227EBA" w:rsidP="00227EBA">
            <w:pPr>
              <w:pStyle w:val="BodyText"/>
            </w:pPr>
            <w:r w:rsidRPr="00227EBA">
              <w:t>Competent performance with inherent saf</w:t>
            </w:r>
            <w:r w:rsidRPr="00227EBA">
              <w:t>e working practices is expected in the Industry to which this unit applies. This requires assessment in a structured environment which is intended primarily for learning/assessment and incorporates all necessary equipment and facilities for learners to dev</w:t>
            </w:r>
            <w:r w:rsidRPr="00227EBA">
              <w:t>elop and demonstrate the essential knowledge and skills described in this unit.</w:t>
            </w:r>
          </w:p>
        </w:tc>
      </w:tr>
    </w:tbl>
    <w:p w:rsidR="00000000" w:rsidRPr="00227EBA" w:rsidP="00227EBA">
      <w:pPr>
        <w:pStyle w:val="BodyText"/>
      </w:pPr>
    </w:p>
    <w:tbl>
      <w:tblPr>
        <w:tblW w:w="0" w:type="auto"/>
        <w:tblLayout w:type="fixed"/>
        <w:tblCellMar>
          <w:left w:w="62" w:type="dxa"/>
          <w:right w:w="62" w:type="dxa"/>
        </w:tblCellMar>
        <w:tblLook w:val="0000"/>
      </w:tblPr>
      <w:tblGrid>
        <w:gridCol w:w="1890"/>
        <w:gridCol w:w="6570"/>
      </w:tblGrid>
      <w:tr w:rsidTr="00C85AD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227EBA" w:rsidP="00227EBA">
            <w:pPr>
              <w:pStyle w:val="BodyText"/>
            </w:pPr>
            <w:r w:rsidRPr="00227EBA">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227EBA">
            <w:pPr>
              <w:pStyle w:val="BodyText"/>
              <w:rPr>
                <w:lang w:val="en-NZ"/>
              </w:rPr>
            </w:pPr>
            <w:r w:rsidRPr="00227EBA">
              <w:rPr>
                <w:rStyle w:val="SpecialBold"/>
              </w:rPr>
              <w:t>9.5)</w:t>
            </w:r>
          </w:p>
        </w:tc>
      </w:tr>
      <w:tr w:rsidTr="00C85AD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227EBA">
            <w:pPr>
              <w:pStyle w:val="BodyText"/>
              <w:rPr>
                <w:lang w:val="en-NZ"/>
              </w:rPr>
            </w:pPr>
            <w:r w:rsidRPr="00227EBA">
              <w:t>There are no concurrent assessment recommendations for this unit.</w:t>
            </w:r>
          </w:p>
        </w:tc>
      </w:tr>
      <w:tr w:rsidTr="00C85AD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227EBA" w:rsidP="00227EBA">
            <w:pPr>
              <w:pStyle w:val="BodyText"/>
            </w:pPr>
            <w:r w:rsidRPr="00227EBA">
              <w:t>The critical aspects of occupational health</w:t>
            </w:r>
            <w:r w:rsidRPr="00227EBA">
              <w:t xml:space="preserve"> and safety covered in unit UEENEEE101A and other discipline specific occupational health and safety units shall be incorporated in relation to this unit.</w:t>
            </w:r>
          </w:p>
        </w:tc>
      </w:tr>
    </w:tbl>
    <w:p w:rsidR="00000000" w:rsidRPr="00227EBA" w:rsidP="00227EBA">
      <w:pPr>
        <w:pStyle w:val="BodyText"/>
      </w:pPr>
    </w:p>
    <w:p w:rsidR="00000000" w:rsidRPr="00227EBA" w:rsidP="00227EBA">
      <w:pPr>
        <w:pStyle w:val="AllowPageBreak"/>
      </w:pPr>
    </w:p>
    <w:p w:rsidR="00000000" w:rsidRPr="00227EBA" w:rsidP="00227EBA">
      <w:pPr>
        <w:pStyle w:val="Heading1"/>
      </w:pPr>
      <w:bookmarkStart w:id="11" w:name="O_419572"/>
      <w:bookmarkEnd w:id="11"/>
      <w:r w:rsidRPr="00227EBA">
        <w:t>Range Statement</w:t>
      </w:r>
    </w:p>
    <w:tbl>
      <w:tblPr>
        <w:tblW w:w="0" w:type="auto"/>
        <w:tblLayout w:type="fixed"/>
        <w:tblCellMar>
          <w:left w:w="62" w:type="dxa"/>
          <w:right w:w="62" w:type="dxa"/>
        </w:tblCellMar>
        <w:tblLook w:val="0000"/>
      </w:tblPr>
      <w:tblGrid>
        <w:gridCol w:w="8460"/>
      </w:tblGrid>
      <w:tr w:rsidTr="00C85AD0">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227EBA">
            <w:pPr>
              <w:pStyle w:val="BodyText"/>
              <w:rPr>
                <w:lang w:val="en-NZ"/>
              </w:rPr>
            </w:pPr>
            <w:r w:rsidRPr="00227EBA">
              <w:rPr>
                <w:rStyle w:val="SpecialBold"/>
              </w:rPr>
              <w:t>RANGE STATEMENT</w:t>
            </w:r>
          </w:p>
        </w:tc>
      </w:tr>
      <w:tr w:rsidTr="00C85AD0">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227EBA" w:rsidP="00227EBA">
            <w:pPr>
              <w:pStyle w:val="BodyText"/>
            </w:pPr>
            <w:r w:rsidRPr="00227EBA">
              <w:rPr>
                <w:rStyle w:val="SpecialBold"/>
              </w:rPr>
              <w:t>10)</w:t>
            </w:r>
            <w:r w:rsidRPr="00227EBA">
              <w:t xml:space="preserve"> This relates to the unit as a whole providing the range of contexts and conditions to which the performance criteria apply. It allows for different work environments and situations that will affect performance.</w:t>
            </w:r>
          </w:p>
          <w:p w:rsidR="00000000" w:rsidRPr="00227EBA" w:rsidP="00227EBA">
            <w:pPr>
              <w:pStyle w:val="BodyText"/>
            </w:pPr>
            <w:r w:rsidRPr="00227EBA">
              <w:t>This unit must be demonstrated in relation t</w:t>
            </w:r>
            <w:r w:rsidRPr="00227EBA">
              <w:t>o developing engineering strategies to address environmental and sustainability issues for at least four energy problems.</w:t>
            </w:r>
          </w:p>
          <w:p w:rsidR="00000000" w:rsidRPr="00227EBA" w:rsidP="00227EBA">
            <w:pPr>
              <w:pStyle w:val="BodyText"/>
            </w:pPr>
            <w:r w:rsidRPr="00227EBA">
              <w:t>Note.</w:t>
            </w:r>
          </w:p>
          <w:p w:rsidR="00000000" w:rsidRPr="00227EBA" w:rsidP="00227EBA">
            <w:pPr>
              <w:pStyle w:val="BodyText"/>
            </w:pPr>
            <w:r w:rsidRPr="00227EBA">
              <w:t xml:space="preserve">Typical sustainability issues are those encountered in meeting sustainability performance standards, such as reducing needs for </w:t>
            </w:r>
            <w:r w:rsidRPr="00227EBA">
              <w:t>energy use, reducing causes of greenhouse gas emissions, revising a energy system operating parameters and dealing with energy system efficiencies.</w:t>
            </w:r>
          </w:p>
          <w:p w:rsidR="00000000" w:rsidRPr="00227EBA" w:rsidP="00227EBA">
            <w:pPr>
              <w:pStyle w:val="BodyText"/>
            </w:pPr>
            <w:r w:rsidRPr="00227EBA">
              <w:t>Generic terms used throughout this Vocational Standard shall be regarded as part of the Range Statement in w</w:t>
            </w:r>
            <w:r w:rsidRPr="00227EBA">
              <w:t>hich competency is demonstrated. The definition of these and other terms that apply are given in Volume 2, Part 2.1.</w:t>
            </w:r>
          </w:p>
        </w:tc>
      </w:tr>
    </w:tbl>
    <w:p w:rsidR="00000000" w:rsidRPr="00227EBA" w:rsidP="00227EBA">
      <w:pPr>
        <w:pStyle w:val="BodyText"/>
      </w:pPr>
    </w:p>
    <w:p w:rsidR="00000000" w:rsidRPr="00227EBA" w:rsidP="00227EBA">
      <w:pPr>
        <w:pStyle w:val="AllowPageBreak"/>
      </w:pPr>
    </w:p>
    <w:p w:rsidR="00000000" w:rsidRPr="00227EBA" w:rsidP="00227EBA">
      <w:pPr>
        <w:pStyle w:val="Heading1"/>
      </w:pPr>
      <w:bookmarkStart w:id="12" w:name="O_419575"/>
      <w:bookmarkEnd w:id="12"/>
      <w:r w:rsidRPr="00227EBA">
        <w:t>Unit Sector(s)</w:t>
      </w:r>
    </w:p>
    <w:p w:rsidR="00000000" w:rsidRPr="00227EBA" w:rsidP="00227EBA">
      <w:pPr>
        <w:pStyle w:val="BodyText"/>
      </w:pPr>
      <w:r w:rsidRPr="00227EBA">
        <w:t>Not applicable.</w:t>
      </w:r>
    </w:p>
    <w:p w:rsidR="00000000" w:rsidRPr="00227EBA" w:rsidP="00227EBA">
      <w:pPr>
        <w:pStyle w:val="AllowPageBreak"/>
      </w:pPr>
    </w:p>
    <w:p w:rsidR="00000000" w:rsidRPr="00227EBA" w:rsidP="00227EBA">
      <w:pPr>
        <w:pStyle w:val="Heading1"/>
      </w:pPr>
      <w:bookmarkStart w:id="13" w:name="O_419564"/>
      <w:bookmarkEnd w:id="13"/>
      <w:r w:rsidRPr="00227EBA">
        <w:t>Competency Field</w:t>
      </w:r>
    </w:p>
    <w:tbl>
      <w:tblPr>
        <w:tblW w:w="0" w:type="auto"/>
        <w:tblLayout w:type="fixed"/>
        <w:tblCellMar>
          <w:left w:w="62" w:type="dxa"/>
          <w:right w:w="62" w:type="dxa"/>
        </w:tblCellMar>
        <w:tblLook w:val="0000"/>
      </w:tblPr>
      <w:tblGrid>
        <w:gridCol w:w="2700"/>
        <w:gridCol w:w="5760"/>
      </w:tblGrid>
      <w:tr w:rsidTr="00C85AD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27EBA" w:rsidP="00227EBA">
            <w:pPr>
              <w:pStyle w:val="BodyText"/>
            </w:pPr>
            <w:r w:rsidRPr="00227EBA">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227EBA">
            <w:pPr>
              <w:pStyle w:val="BodyText"/>
              <w:rPr>
                <w:lang w:val="en-NZ"/>
              </w:rPr>
            </w:pPr>
            <w:r w:rsidRPr="00227EBA">
              <w:rPr>
                <w:rStyle w:val="SpecialBold"/>
              </w:rPr>
              <w:t xml:space="preserve">11) </w:t>
            </w:r>
          </w:p>
        </w:tc>
      </w:tr>
      <w:tr w:rsidTr="00C85AD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27EBA" w:rsidP="00227EBA">
            <w:pPr>
              <w:pStyle w:val="BodyText"/>
            </w:pPr>
            <w:r w:rsidRPr="00227EBA">
              <w:t>Renewable and Sustainable Energy</w:t>
            </w:r>
          </w:p>
        </w:tc>
      </w:tr>
    </w:tbl>
    <w:p w:rsidR="00000000" w:rsidRPr="00227EBA" w:rsidP="00227EBA">
      <w:pPr>
        <w:pStyle w:val="BodyText"/>
      </w:pPr>
    </w:p>
    <w:p w:rsidR="00000000" w:rsidRPr="00227EBA" w:rsidP="00227EBA"/>
    <w:sectPr w:rsidSect="00227EB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7EB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85AD0" w:rsidP="00C85AD0">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7EB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5AD0" w:rsidP="00227EBA">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14</w:t>
    </w:r>
    <w:r>
      <w:rPr>
        <w:noProof/>
      </w:rPr>
      <w:fldChar w:fldCharType="end"/>
    </w:r>
  </w:p>
  <w:p w:rsidR="00C85AD0" w:rsidP="00227EB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C85AD0" w:rsidP="00227EB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7EB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7EBA" w:rsidRPr="00C85AD0" w:rsidP="00C85AD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7EB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5AD0" w:rsidRPr="002D2AF8" w:rsidP="00227EBA">
    <w:pPr>
      <w:pStyle w:val="Header"/>
      <w:framePr w:wrap="around"/>
    </w:pPr>
    <w:r>
      <w:fldChar w:fldCharType="begin"/>
    </w:r>
    <w:r>
      <w:instrText xml:space="preserve"> TITLE   \* MERGEFORMAT </w:instrText>
    </w:r>
    <w:r>
      <w:fldChar w:fldCharType="separate"/>
    </w:r>
    <w:r>
      <w:t>UEENEEK132A Develop strategies to address environmental and sustainability issues in the energy sector</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C85AD0" w:rsidP="00227EB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F2AD3F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BC4ABC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C3E87C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7EB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27EBA"/>
    <w:pPr>
      <w:spacing w:before="360" w:after="60"/>
      <w:outlineLvl w:val="0"/>
    </w:pPr>
    <w:rPr>
      <w:sz w:val="32"/>
    </w:rPr>
  </w:style>
  <w:style w:type="paragraph" w:styleId="Heading2">
    <w:name w:val="heading 2"/>
    <w:basedOn w:val="HeadingBase"/>
    <w:next w:val="BodyText"/>
    <w:link w:val="Heading2Char"/>
    <w:qFormat/>
    <w:rsid w:val="00227EBA"/>
    <w:pPr>
      <w:keepLines/>
      <w:spacing w:before="240" w:after="120"/>
      <w:outlineLvl w:val="1"/>
    </w:pPr>
    <w:rPr>
      <w:sz w:val="28"/>
      <w:szCs w:val="40"/>
    </w:rPr>
  </w:style>
  <w:style w:type="paragraph" w:styleId="Heading3">
    <w:name w:val="heading 3"/>
    <w:basedOn w:val="HeadingBase"/>
    <w:next w:val="BodyText"/>
    <w:link w:val="Heading3Char"/>
    <w:qFormat/>
    <w:rsid w:val="00227EBA"/>
    <w:pPr>
      <w:spacing w:before="180" w:after="120"/>
      <w:outlineLvl w:val="2"/>
    </w:pPr>
    <w:rPr>
      <w:spacing w:val="-10"/>
      <w:kern w:val="32"/>
    </w:rPr>
  </w:style>
  <w:style w:type="paragraph" w:styleId="Heading4">
    <w:name w:val="heading 4"/>
    <w:basedOn w:val="HeadingBase"/>
    <w:next w:val="BodyText"/>
    <w:link w:val="Heading4Char"/>
    <w:qFormat/>
    <w:rsid w:val="00227EBA"/>
    <w:pPr>
      <w:spacing w:before="160" w:after="120"/>
      <w:outlineLvl w:val="3"/>
    </w:pPr>
    <w:rPr>
      <w:sz w:val="22"/>
    </w:rPr>
  </w:style>
  <w:style w:type="paragraph" w:styleId="Heading5">
    <w:name w:val="heading 5"/>
    <w:basedOn w:val="HeadingBase"/>
    <w:next w:val="Normal"/>
    <w:link w:val="Heading5Char"/>
    <w:qFormat/>
    <w:rsid w:val="00227EBA"/>
    <w:pPr>
      <w:spacing w:before="80"/>
      <w:outlineLvl w:val="4"/>
    </w:pPr>
    <w:rPr>
      <w:color w:val="918585"/>
      <w:sz w:val="20"/>
    </w:rPr>
  </w:style>
  <w:style w:type="paragraph" w:styleId="Heading6">
    <w:name w:val="heading 6"/>
    <w:basedOn w:val="HeadingBase"/>
    <w:next w:val="Normal"/>
    <w:link w:val="Heading6Char"/>
    <w:qFormat/>
    <w:rsid w:val="00227EBA"/>
    <w:pPr>
      <w:spacing w:before="60"/>
      <w:outlineLvl w:val="5"/>
    </w:pPr>
    <w:rPr>
      <w:color w:val="918585"/>
      <w:sz w:val="20"/>
    </w:rPr>
  </w:style>
  <w:style w:type="paragraph" w:styleId="Heading7">
    <w:name w:val="heading 7"/>
    <w:basedOn w:val="Normal"/>
    <w:next w:val="Normal"/>
    <w:link w:val="Heading7Char"/>
    <w:qFormat/>
    <w:rsid w:val="00227EBA"/>
    <w:pPr>
      <w:ind w:left="720"/>
      <w:outlineLvl w:val="6"/>
    </w:pPr>
    <w:rPr>
      <w:i/>
    </w:rPr>
  </w:style>
  <w:style w:type="paragraph" w:styleId="Heading8">
    <w:name w:val="heading 8"/>
    <w:basedOn w:val="Normal"/>
    <w:next w:val="Normal"/>
    <w:link w:val="Heading8Char"/>
    <w:qFormat/>
    <w:rsid w:val="00227EBA"/>
    <w:pPr>
      <w:ind w:left="720"/>
      <w:outlineLvl w:val="7"/>
    </w:pPr>
    <w:rPr>
      <w:i/>
    </w:rPr>
  </w:style>
  <w:style w:type="paragraph" w:styleId="Heading9">
    <w:name w:val="heading 9"/>
    <w:basedOn w:val="Normal"/>
    <w:next w:val="Normal"/>
    <w:link w:val="Heading9Char"/>
    <w:qFormat/>
    <w:rsid w:val="00227EBA"/>
    <w:pPr>
      <w:ind w:left="720"/>
      <w:outlineLvl w:val="8"/>
    </w:pPr>
    <w:rPr>
      <w:i/>
    </w:rPr>
  </w:style>
  <w:style w:type="character" w:default="1" w:styleId="DefaultParagraphFont">
    <w:name w:val="Default Paragraph Font"/>
    <w:uiPriority w:val="1"/>
    <w:unhideWhenUsed/>
    <w:rsid w:val="00227EB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27EBA"/>
  </w:style>
  <w:style w:type="character" w:customStyle="1" w:styleId="Heading1Char">
    <w:name w:val="Heading 1 Char"/>
    <w:basedOn w:val="DefaultParagraphFont"/>
    <w:link w:val="Heading1"/>
    <w:rsid w:val="00227EBA"/>
    <w:rPr>
      <w:rFonts w:ascii="Times New Roman" w:eastAsia="Times New Roman" w:hAnsi="Times New Roman" w:cs="Times New Roman"/>
      <w:b/>
      <w:sz w:val="32"/>
      <w:szCs w:val="20"/>
      <w:lang w:eastAsia="en-US"/>
    </w:rPr>
  </w:style>
  <w:style w:type="paragraph" w:styleId="BodyText">
    <w:name w:val="Body Text"/>
    <w:basedOn w:val="Normal"/>
    <w:link w:val="BodyTextChar"/>
    <w:rsid w:val="00227EB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27EBA"/>
    <w:rPr>
      <w:rFonts w:ascii="Times New Roman" w:eastAsia="Times New Roman" w:hAnsi="Times New Roman" w:cs="Times New Roman"/>
      <w:sz w:val="24"/>
      <w:lang w:eastAsia="en-US"/>
    </w:rPr>
  </w:style>
  <w:style w:type="paragraph" w:styleId="Footer">
    <w:name w:val="footer"/>
    <w:basedOn w:val="Normal"/>
    <w:link w:val="FooterChar"/>
    <w:rsid w:val="00227EB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27EBA"/>
    <w:rPr>
      <w:rFonts w:ascii="Times New Roman" w:eastAsia="Times New Roman" w:hAnsi="Times New Roman" w:cs="Times New Roman"/>
      <w:sz w:val="16"/>
      <w:lang w:eastAsia="en-US"/>
    </w:rPr>
  </w:style>
  <w:style w:type="paragraph" w:styleId="ListBullet">
    <w:name w:val="List Bullet"/>
    <w:basedOn w:val="List"/>
    <w:rsid w:val="00227EBA"/>
    <w:pPr>
      <w:numPr>
        <w:numId w:val="13"/>
      </w:numPr>
      <w:tabs>
        <w:tab w:val="clear" w:pos="340"/>
      </w:tabs>
      <w:spacing w:before="40" w:after="40"/>
    </w:pPr>
  </w:style>
  <w:style w:type="character" w:customStyle="1" w:styleId="SpecialBold">
    <w:name w:val="Special Bold"/>
    <w:basedOn w:val="DefaultParagraphFont"/>
    <w:rsid w:val="00227EBA"/>
    <w:rPr>
      <w:b/>
      <w:spacing w:val="0"/>
    </w:rPr>
  </w:style>
  <w:style w:type="paragraph" w:styleId="ListBullet2">
    <w:name w:val="List Bullet 2"/>
    <w:basedOn w:val="List2"/>
    <w:rsid w:val="00227EBA"/>
    <w:pPr>
      <w:numPr>
        <w:numId w:val="14"/>
      </w:numPr>
      <w:tabs>
        <w:tab w:val="clear" w:pos="680"/>
      </w:tabs>
    </w:pPr>
  </w:style>
  <w:style w:type="paragraph" w:customStyle="1" w:styleId="SuperHeading">
    <w:name w:val="SuperHeading"/>
    <w:basedOn w:val="Normal"/>
    <w:rsid w:val="00227EBA"/>
    <w:pPr>
      <w:spacing w:before="240" w:after="120"/>
      <w:outlineLvl w:val="0"/>
    </w:pPr>
    <w:rPr>
      <w:rFonts w:ascii="Times New Roman" w:hAnsi="Times New Roman"/>
      <w:b/>
      <w:sz w:val="28"/>
    </w:rPr>
  </w:style>
  <w:style w:type="paragraph" w:customStyle="1" w:styleId="AllowPageBreak">
    <w:name w:val="AllowPageBreak"/>
    <w:rsid w:val="00227EB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27EB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27EB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27EB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27EB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27EB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27EB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27EB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27EBA"/>
    <w:rPr>
      <w:rFonts w:ascii="Courier New" w:eastAsia="Times New Roman" w:hAnsi="Courier New" w:cs="Times New Roman"/>
      <w:i/>
      <w:szCs w:val="20"/>
      <w:lang w:eastAsia="en-US"/>
    </w:rPr>
  </w:style>
  <w:style w:type="paragraph" w:customStyle="1" w:styleId="HeadingBase">
    <w:name w:val="Heading Base"/>
    <w:rsid w:val="00227EB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27EBA"/>
    <w:pPr>
      <w:tabs>
        <w:tab w:val="right" w:leader="dot" w:pos="9072"/>
      </w:tabs>
      <w:ind w:left="567"/>
    </w:pPr>
    <w:rPr>
      <w:szCs w:val="22"/>
    </w:rPr>
  </w:style>
  <w:style w:type="paragraph" w:customStyle="1" w:styleId="TOCBase">
    <w:name w:val="TOC Base"/>
    <w:rsid w:val="00227EB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27EBA"/>
    <w:pPr>
      <w:tabs>
        <w:tab w:val="right" w:leader="dot" w:pos="9072"/>
      </w:tabs>
      <w:spacing w:before="40" w:after="40"/>
      <w:ind w:left="284"/>
    </w:pPr>
    <w:rPr>
      <w:rFonts w:ascii="Times New Roman" w:hAnsi="Times New Roman"/>
    </w:rPr>
  </w:style>
  <w:style w:type="paragraph" w:styleId="TOC1">
    <w:name w:val="toc 1"/>
    <w:basedOn w:val="TOCBase"/>
    <w:next w:val="Normal"/>
    <w:rsid w:val="00227EB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27EBA"/>
    <w:pPr>
      <w:spacing w:before="5040"/>
      <w:jc w:val="center"/>
    </w:pPr>
    <w:rPr>
      <w:sz w:val="48"/>
      <w:szCs w:val="72"/>
      <w:lang w:val="en-US"/>
    </w:rPr>
  </w:style>
  <w:style w:type="character" w:customStyle="1" w:styleId="TitleChar">
    <w:name w:val="Title Char"/>
    <w:basedOn w:val="DefaultParagraphFont"/>
    <w:link w:val="Title"/>
    <w:rsid w:val="00227EB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27EBA"/>
    <w:pPr>
      <w:tabs>
        <w:tab w:val="left" w:pos="3600"/>
        <w:tab w:val="left" w:pos="3958"/>
      </w:tabs>
    </w:pPr>
  </w:style>
  <w:style w:type="paragraph" w:styleId="List">
    <w:name w:val="List"/>
    <w:basedOn w:val="BodyText"/>
    <w:next w:val="BodyText"/>
    <w:rsid w:val="00227EBA"/>
    <w:pPr>
      <w:tabs>
        <w:tab w:val="left" w:pos="340"/>
      </w:tabs>
      <w:spacing w:before="60" w:after="60"/>
      <w:ind w:left="340" w:hanging="340"/>
    </w:pPr>
  </w:style>
  <w:style w:type="paragraph" w:customStyle="1" w:styleId="Note">
    <w:name w:val="Note"/>
    <w:basedOn w:val="BodyText"/>
    <w:rsid w:val="00227EB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27EBA"/>
    <w:pPr>
      <w:framePr w:wrap="auto" w:hAnchor="text" w:y="6049"/>
    </w:pPr>
    <w:rPr>
      <w:color w:val="000000"/>
      <w:sz w:val="40"/>
    </w:rPr>
  </w:style>
  <w:style w:type="paragraph" w:customStyle="1" w:styleId="TOCTitle">
    <w:name w:val="TOCTitle"/>
    <w:basedOn w:val="Heading1"/>
    <w:rsid w:val="00227EBA"/>
    <w:pPr>
      <w:spacing w:after="240"/>
      <w:jc w:val="center"/>
      <w:outlineLvl w:val="9"/>
    </w:pPr>
    <w:rPr>
      <w:caps/>
    </w:rPr>
  </w:style>
  <w:style w:type="paragraph" w:customStyle="1" w:styleId="Version">
    <w:name w:val="Version"/>
    <w:rsid w:val="00227EB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27EBA"/>
    <w:pPr>
      <w:keepNext w:val="0"/>
      <w:tabs>
        <w:tab w:val="right" w:pos="4176"/>
      </w:tabs>
      <w:ind w:left="198" w:hanging="198"/>
    </w:pPr>
    <w:rPr>
      <w:rFonts w:ascii="Garamond" w:hAnsi="Garamond"/>
    </w:rPr>
  </w:style>
  <w:style w:type="paragraph" w:styleId="IndexHeading">
    <w:name w:val="index heading"/>
    <w:basedOn w:val="Normal"/>
    <w:next w:val="Index1"/>
    <w:semiHidden/>
    <w:rsid w:val="00227EBA"/>
    <w:pPr>
      <w:spacing w:before="120" w:after="120"/>
    </w:pPr>
    <w:rPr>
      <w:rFonts w:ascii="Arial" w:hAnsi="Arial"/>
      <w:b/>
      <w:color w:val="918585"/>
      <w:sz w:val="24"/>
    </w:rPr>
  </w:style>
  <w:style w:type="paragraph" w:styleId="Header">
    <w:name w:val="header"/>
    <w:basedOn w:val="Normal"/>
    <w:link w:val="HeaderChar"/>
    <w:rsid w:val="00227EB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27EBA"/>
    <w:rPr>
      <w:rFonts w:ascii="Times New Roman" w:eastAsia="Times New Roman" w:hAnsi="Times New Roman" w:cs="Times New Roman"/>
      <w:sz w:val="16"/>
      <w:szCs w:val="20"/>
      <w:lang w:val="en-GB" w:eastAsia="en-US"/>
    </w:rPr>
  </w:style>
  <w:style w:type="paragraph" w:customStyle="1" w:styleId="Chapter">
    <w:name w:val="Chapter"/>
    <w:basedOn w:val="Normal"/>
    <w:rsid w:val="00227EBA"/>
    <w:pPr>
      <w:spacing w:before="240"/>
    </w:pPr>
    <w:rPr>
      <w:rFonts w:ascii="Times New Roman" w:hAnsi="Times New Roman"/>
      <w:smallCaps/>
      <w:spacing w:val="80"/>
      <w:sz w:val="28"/>
    </w:rPr>
  </w:style>
  <w:style w:type="paragraph" w:customStyle="1" w:styleId="InChapter">
    <w:name w:val="InChapter"/>
    <w:basedOn w:val="Heading3"/>
    <w:rsid w:val="00227EBA"/>
    <w:pPr>
      <w:spacing w:after="240"/>
      <w:outlineLvl w:val="9"/>
    </w:pPr>
    <w:rPr>
      <w:noProof/>
    </w:rPr>
  </w:style>
  <w:style w:type="paragraph" w:styleId="Index2">
    <w:name w:val="index 2"/>
    <w:basedOn w:val="Normal"/>
    <w:next w:val="Normal"/>
    <w:semiHidden/>
    <w:rsid w:val="00227EBA"/>
    <w:pPr>
      <w:tabs>
        <w:tab w:val="right" w:pos="4176"/>
      </w:tabs>
      <w:ind w:left="568" w:hanging="284"/>
    </w:pPr>
    <w:rPr>
      <w:rFonts w:ascii="Garamond" w:hAnsi="Garamond"/>
    </w:rPr>
  </w:style>
  <w:style w:type="paragraph" w:customStyle="1" w:styleId="Byline">
    <w:name w:val="Byline"/>
    <w:rsid w:val="00227EB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27EBA"/>
    <w:pPr>
      <w:tabs>
        <w:tab w:val="clear" w:pos="3600"/>
        <w:tab w:val="clear" w:pos="3958"/>
      </w:tabs>
      <w:jc w:val="right"/>
    </w:pPr>
  </w:style>
  <w:style w:type="character" w:styleId="Emphasis">
    <w:name w:val="Emphasis"/>
    <w:basedOn w:val="DefaultParagraphFont"/>
    <w:qFormat/>
    <w:rsid w:val="00227EBA"/>
    <w:rPr>
      <w:i/>
    </w:rPr>
  </w:style>
  <w:style w:type="paragraph" w:styleId="Caption">
    <w:name w:val="caption"/>
    <w:basedOn w:val="BodyText"/>
    <w:next w:val="Normal"/>
    <w:qFormat/>
    <w:rsid w:val="00227EBA"/>
    <w:pPr>
      <w:framePr w:w="2268" w:hSpace="181" w:vSpace="181" w:wrap="around" w:vAnchor="text" w:hAnchor="page" w:x="1135" w:y="285" w:anchorLock="1"/>
    </w:pPr>
    <w:rPr>
      <w:i/>
    </w:rPr>
  </w:style>
  <w:style w:type="paragraph" w:customStyle="1" w:styleId="MiniTOCTitle">
    <w:name w:val="MiniTOCTitle"/>
    <w:basedOn w:val="Heading4"/>
    <w:rsid w:val="00227EBA"/>
    <w:pPr>
      <w:spacing w:before="240"/>
      <w:outlineLvl w:val="9"/>
    </w:pPr>
    <w:rPr>
      <w:noProof/>
      <w:sz w:val="24"/>
    </w:rPr>
  </w:style>
  <w:style w:type="paragraph" w:customStyle="1" w:styleId="MiniTOCItem">
    <w:name w:val="MiniTOCItem"/>
    <w:basedOn w:val="ListBullet"/>
    <w:rsid w:val="00227EBA"/>
    <w:pPr>
      <w:numPr>
        <w:numId w:val="0"/>
      </w:numPr>
      <w:tabs>
        <w:tab w:val="right" w:leader="dot" w:pos="6521"/>
      </w:tabs>
      <w:spacing w:before="0" w:after="0"/>
    </w:pPr>
  </w:style>
  <w:style w:type="paragraph" w:customStyle="1" w:styleId="TOFTitle">
    <w:name w:val="TOFTitle"/>
    <w:basedOn w:val="TOCTitle"/>
    <w:rsid w:val="00227EBA"/>
  </w:style>
  <w:style w:type="paragraph" w:styleId="TableofFigures">
    <w:name w:val="table of figures"/>
    <w:basedOn w:val="Normal"/>
    <w:next w:val="Normal"/>
    <w:semiHidden/>
    <w:rsid w:val="00227EBA"/>
    <w:pPr>
      <w:tabs>
        <w:tab w:val="right" w:leader="dot" w:pos="9072"/>
      </w:tabs>
      <w:ind w:left="970" w:hanging="403"/>
    </w:pPr>
    <w:rPr>
      <w:rFonts w:ascii="Times New Roman" w:hAnsi="Times New Roman"/>
      <w:b/>
    </w:rPr>
  </w:style>
  <w:style w:type="paragraph" w:styleId="ListNumber">
    <w:name w:val="List Number"/>
    <w:basedOn w:val="List"/>
    <w:rsid w:val="00227EBA"/>
    <w:pPr>
      <w:numPr>
        <w:numId w:val="11"/>
      </w:numPr>
    </w:pPr>
  </w:style>
  <w:style w:type="character" w:customStyle="1" w:styleId="WingdingSymbols">
    <w:name w:val="Wingding Symbols"/>
    <w:rsid w:val="00227EBA"/>
    <w:rPr>
      <w:rFonts w:ascii="Wingdings" w:hAnsi="Wingdings"/>
    </w:rPr>
  </w:style>
  <w:style w:type="paragraph" w:customStyle="1" w:styleId="TableHeading">
    <w:name w:val="Table Heading"/>
    <w:basedOn w:val="HeadingBase"/>
    <w:rsid w:val="00227EBA"/>
    <w:pPr>
      <w:keepLines/>
      <w:pBdr>
        <w:bottom w:val="single" w:sz="6" w:space="1" w:color="918585"/>
      </w:pBdr>
      <w:spacing w:before="240"/>
    </w:pPr>
  </w:style>
  <w:style w:type="character" w:customStyle="1" w:styleId="HotSpot">
    <w:name w:val="HotSpot"/>
    <w:rsid w:val="00227EBA"/>
    <w:rPr>
      <w:color w:val="0033CC"/>
      <w:u w:val="none"/>
    </w:rPr>
  </w:style>
  <w:style w:type="paragraph" w:customStyle="1" w:styleId="BodyTextRight">
    <w:name w:val="Body Text Right"/>
    <w:basedOn w:val="BodyText"/>
    <w:rsid w:val="00227EBA"/>
    <w:pPr>
      <w:spacing w:before="0" w:after="0"/>
      <w:jc w:val="right"/>
    </w:pPr>
  </w:style>
  <w:style w:type="paragraph" w:styleId="Index3">
    <w:name w:val="index 3"/>
    <w:basedOn w:val="ListNumber2"/>
    <w:next w:val="Normal"/>
    <w:semiHidden/>
    <w:rsid w:val="00227EBA"/>
    <w:pPr>
      <w:numPr>
        <w:numId w:val="0"/>
      </w:numPr>
      <w:tabs>
        <w:tab w:val="right" w:leader="dot" w:pos="4176"/>
      </w:tabs>
    </w:pPr>
  </w:style>
  <w:style w:type="paragraph" w:styleId="ListNumber2">
    <w:name w:val="List Number 2"/>
    <w:basedOn w:val="List2"/>
    <w:rsid w:val="00227EBA"/>
    <w:pPr>
      <w:numPr>
        <w:numId w:val="10"/>
      </w:numPr>
      <w:tabs>
        <w:tab w:val="clear" w:pos="1060"/>
      </w:tabs>
    </w:pPr>
  </w:style>
  <w:style w:type="paragraph" w:customStyle="1" w:styleId="MarginNote">
    <w:name w:val="Margin Note"/>
    <w:basedOn w:val="BodyText"/>
    <w:rsid w:val="00227EB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27EB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27EB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27EBA"/>
    <w:rPr>
      <w:sz w:val="32"/>
    </w:rPr>
  </w:style>
  <w:style w:type="paragraph" w:customStyle="1" w:styleId="HeadingProcedure">
    <w:name w:val="Heading Procedure"/>
    <w:basedOn w:val="HeadingBase"/>
    <w:next w:val="Normal"/>
    <w:rsid w:val="00227EBA"/>
    <w:pPr>
      <w:tabs>
        <w:tab w:val="left" w:pos="0"/>
      </w:tabs>
      <w:spacing w:before="120" w:after="60"/>
    </w:pPr>
    <w:rPr>
      <w:i/>
      <w:color w:val="918585"/>
      <w:sz w:val="22"/>
    </w:rPr>
  </w:style>
  <w:style w:type="paragraph" w:customStyle="1" w:styleId="TableBodyText">
    <w:name w:val="Table Body Text"/>
    <w:basedOn w:val="BodyText"/>
    <w:rsid w:val="00227EBA"/>
    <w:pPr>
      <w:spacing w:before="60" w:after="60"/>
    </w:pPr>
  </w:style>
  <w:style w:type="paragraph" w:styleId="ListContinue">
    <w:name w:val="List Continue"/>
    <w:basedOn w:val="List"/>
    <w:rsid w:val="00227EBA"/>
    <w:pPr>
      <w:ind w:firstLine="0"/>
    </w:pPr>
  </w:style>
  <w:style w:type="paragraph" w:customStyle="1" w:styleId="ListNote">
    <w:name w:val="List Note"/>
    <w:basedOn w:val="List"/>
    <w:rsid w:val="00227EBA"/>
    <w:pPr>
      <w:pBdr>
        <w:top w:val="single" w:sz="6" w:space="2" w:color="918585"/>
        <w:bottom w:val="single" w:sz="6" w:space="2" w:color="918585"/>
      </w:pBdr>
      <w:tabs>
        <w:tab w:val="left" w:pos="1021"/>
      </w:tabs>
      <w:ind w:firstLine="0"/>
    </w:pPr>
  </w:style>
  <w:style w:type="paragraph" w:customStyle="1" w:styleId="Warning">
    <w:name w:val="Warning"/>
    <w:basedOn w:val="BodyText"/>
    <w:rsid w:val="00227EBA"/>
    <w:pPr>
      <w:shd w:val="clear" w:color="auto" w:fill="D9D9D9"/>
      <w:tabs>
        <w:tab w:val="left" w:pos="992"/>
      </w:tabs>
      <w:ind w:left="119" w:right="119"/>
    </w:pPr>
    <w:rPr>
      <w:sz w:val="20"/>
    </w:rPr>
  </w:style>
  <w:style w:type="paragraph" w:customStyle="1" w:styleId="MarginIcons">
    <w:name w:val="Margin Icons"/>
    <w:basedOn w:val="BodyText"/>
    <w:rsid w:val="00227EB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27EBA"/>
    <w:rPr>
      <w:rFonts w:ascii="Courier New" w:hAnsi="Courier New"/>
    </w:rPr>
  </w:style>
  <w:style w:type="paragraph" w:customStyle="1" w:styleId="NoteBullet">
    <w:name w:val="Note Bullet"/>
    <w:basedOn w:val="Note"/>
    <w:rsid w:val="00227EBA"/>
    <w:pPr>
      <w:tabs>
        <w:tab w:val="clear" w:pos="680"/>
      </w:tabs>
      <w:spacing w:before="60" w:after="60"/>
    </w:pPr>
  </w:style>
  <w:style w:type="paragraph" w:customStyle="1" w:styleId="SubHeading2">
    <w:name w:val="SubHeading2"/>
    <w:basedOn w:val="HeadingBase"/>
    <w:rsid w:val="00227EBA"/>
    <w:pPr>
      <w:spacing w:before="240" w:after="60"/>
    </w:pPr>
    <w:rPr>
      <w:sz w:val="20"/>
    </w:rPr>
  </w:style>
  <w:style w:type="paragraph" w:customStyle="1" w:styleId="SubHeading1">
    <w:name w:val="SubHeading1"/>
    <w:basedOn w:val="HeadingBase"/>
    <w:rsid w:val="00227EBA"/>
    <w:pPr>
      <w:spacing w:before="240" w:after="60"/>
    </w:pPr>
    <w:rPr>
      <w:color w:val="918585"/>
      <w:sz w:val="22"/>
    </w:rPr>
  </w:style>
  <w:style w:type="paragraph" w:customStyle="1" w:styleId="SideHeading">
    <w:name w:val="Side Heading"/>
    <w:basedOn w:val="HeadingBase"/>
    <w:rsid w:val="00227EB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27EBA"/>
    <w:pPr>
      <w:numPr>
        <w:numId w:val="12"/>
      </w:numPr>
    </w:pPr>
  </w:style>
  <w:style w:type="paragraph" w:styleId="PlainText">
    <w:name w:val="Plain Text"/>
    <w:basedOn w:val="Normal"/>
    <w:link w:val="PlainTextChar"/>
    <w:rsid w:val="00227EBA"/>
    <w:rPr>
      <w:sz w:val="20"/>
    </w:rPr>
  </w:style>
  <w:style w:type="character" w:customStyle="1" w:styleId="PlainTextChar">
    <w:name w:val="Plain Text Char"/>
    <w:basedOn w:val="DefaultParagraphFont"/>
    <w:link w:val="PlainText"/>
    <w:rsid w:val="00227EBA"/>
    <w:rPr>
      <w:rFonts w:ascii="Courier New" w:eastAsia="Times New Roman" w:hAnsi="Courier New" w:cs="Times New Roman"/>
      <w:sz w:val="20"/>
      <w:szCs w:val="20"/>
      <w:lang w:eastAsia="en-US"/>
    </w:rPr>
  </w:style>
  <w:style w:type="character" w:customStyle="1" w:styleId="MenuOption">
    <w:name w:val="Menu Option"/>
    <w:basedOn w:val="DefaultParagraphFont"/>
    <w:rsid w:val="00227EBA"/>
    <w:rPr>
      <w:b/>
      <w:smallCaps/>
    </w:rPr>
  </w:style>
  <w:style w:type="paragraph" w:customStyle="1" w:styleId="TableListNumber">
    <w:name w:val="Table List Number"/>
    <w:basedOn w:val="ListNumber"/>
    <w:rsid w:val="00227EBA"/>
    <w:pPr>
      <w:numPr>
        <w:numId w:val="0"/>
      </w:numPr>
    </w:pPr>
  </w:style>
  <w:style w:type="paragraph" w:styleId="TOC4">
    <w:name w:val="toc 4"/>
    <w:basedOn w:val="TOCBase"/>
    <w:next w:val="Normal"/>
    <w:semiHidden/>
    <w:rsid w:val="00227EBA"/>
    <w:pPr>
      <w:tabs>
        <w:tab w:val="right" w:leader="dot" w:pos="9071"/>
      </w:tabs>
      <w:ind w:left="1701"/>
    </w:pPr>
  </w:style>
  <w:style w:type="paragraph" w:customStyle="1" w:styleId="ListAlpha">
    <w:name w:val="List Alpha"/>
    <w:basedOn w:val="List"/>
    <w:rsid w:val="00227EBA"/>
    <w:pPr>
      <w:numPr>
        <w:numId w:val="9"/>
      </w:numPr>
    </w:pPr>
  </w:style>
  <w:style w:type="paragraph" w:customStyle="1" w:styleId="ListAlpha2">
    <w:name w:val="List Alpha 2"/>
    <w:basedOn w:val="List2"/>
    <w:rsid w:val="00227EBA"/>
    <w:pPr>
      <w:numPr>
        <w:numId w:val="8"/>
      </w:numPr>
    </w:pPr>
  </w:style>
  <w:style w:type="paragraph" w:styleId="List2">
    <w:name w:val="List 2"/>
    <w:basedOn w:val="BodyText"/>
    <w:rsid w:val="00227EBA"/>
    <w:pPr>
      <w:tabs>
        <w:tab w:val="left" w:pos="680"/>
      </w:tabs>
      <w:spacing w:before="60" w:after="60"/>
      <w:ind w:left="680" w:hanging="340"/>
    </w:pPr>
  </w:style>
  <w:style w:type="paragraph" w:styleId="List3">
    <w:name w:val="List 3"/>
    <w:basedOn w:val="BodyText"/>
    <w:rsid w:val="00227EBA"/>
    <w:pPr>
      <w:tabs>
        <w:tab w:val="left" w:pos="1021"/>
      </w:tabs>
      <w:spacing w:before="60" w:after="60"/>
      <w:ind w:left="1020" w:hanging="340"/>
    </w:pPr>
  </w:style>
  <w:style w:type="paragraph" w:styleId="List4">
    <w:name w:val="List 4"/>
    <w:basedOn w:val="BodyText"/>
    <w:rsid w:val="00227EBA"/>
    <w:pPr>
      <w:tabs>
        <w:tab w:val="left" w:pos="1361"/>
      </w:tabs>
      <w:spacing w:before="60" w:after="60"/>
      <w:ind w:left="1361" w:hanging="340"/>
    </w:pPr>
  </w:style>
  <w:style w:type="paragraph" w:styleId="List5">
    <w:name w:val="List 5"/>
    <w:basedOn w:val="BodyText"/>
    <w:rsid w:val="00227EBA"/>
    <w:pPr>
      <w:tabs>
        <w:tab w:val="left" w:pos="1701"/>
      </w:tabs>
      <w:spacing w:before="60" w:after="60"/>
      <w:ind w:left="1701" w:hanging="340"/>
    </w:pPr>
  </w:style>
  <w:style w:type="paragraph" w:styleId="ListBullet3">
    <w:name w:val="List Bullet 3"/>
    <w:basedOn w:val="List3"/>
    <w:rsid w:val="00227EBA"/>
    <w:pPr>
      <w:numPr>
        <w:numId w:val="15"/>
      </w:numPr>
      <w:tabs>
        <w:tab w:val="clear" w:pos="1021"/>
      </w:tabs>
      <w:ind w:left="1037" w:hanging="357"/>
    </w:pPr>
  </w:style>
  <w:style w:type="paragraph" w:styleId="ListBullet4">
    <w:name w:val="List Bullet 4"/>
    <w:basedOn w:val="List4"/>
    <w:rsid w:val="00227EBA"/>
    <w:pPr>
      <w:numPr>
        <w:numId w:val="3"/>
      </w:numPr>
    </w:pPr>
  </w:style>
  <w:style w:type="paragraph" w:styleId="ListBullet5">
    <w:name w:val="List Bullet 5"/>
    <w:basedOn w:val="List5"/>
    <w:rsid w:val="00227EBA"/>
    <w:pPr>
      <w:numPr>
        <w:numId w:val="4"/>
      </w:numPr>
    </w:pPr>
  </w:style>
  <w:style w:type="paragraph" w:styleId="ListContinue2">
    <w:name w:val="List Continue 2"/>
    <w:basedOn w:val="List2"/>
    <w:rsid w:val="00227EBA"/>
    <w:pPr>
      <w:ind w:firstLine="0"/>
    </w:pPr>
  </w:style>
  <w:style w:type="paragraph" w:styleId="ListContinue3">
    <w:name w:val="List Continue 3"/>
    <w:basedOn w:val="List3"/>
    <w:rsid w:val="00227EBA"/>
    <w:pPr>
      <w:ind w:left="1021" w:firstLine="0"/>
    </w:pPr>
  </w:style>
  <w:style w:type="paragraph" w:styleId="ListContinue4">
    <w:name w:val="List Continue 4"/>
    <w:basedOn w:val="List4"/>
    <w:rsid w:val="00227EBA"/>
    <w:pPr>
      <w:ind w:firstLine="0"/>
    </w:pPr>
  </w:style>
  <w:style w:type="paragraph" w:styleId="ListContinue5">
    <w:name w:val="List Continue 5"/>
    <w:basedOn w:val="List5"/>
    <w:rsid w:val="00227EBA"/>
    <w:pPr>
      <w:ind w:firstLine="0"/>
    </w:pPr>
  </w:style>
  <w:style w:type="paragraph" w:styleId="ListNumber3">
    <w:name w:val="List Number 3"/>
    <w:basedOn w:val="List3"/>
    <w:rsid w:val="00227EBA"/>
    <w:pPr>
      <w:numPr>
        <w:numId w:val="5"/>
      </w:numPr>
    </w:pPr>
  </w:style>
  <w:style w:type="paragraph" w:styleId="ListNumber4">
    <w:name w:val="List Number 4"/>
    <w:basedOn w:val="List4"/>
    <w:rsid w:val="00227EBA"/>
    <w:pPr>
      <w:numPr>
        <w:numId w:val="6"/>
      </w:numPr>
    </w:pPr>
  </w:style>
  <w:style w:type="paragraph" w:styleId="ListNumber5">
    <w:name w:val="List Number 5"/>
    <w:basedOn w:val="List5"/>
    <w:rsid w:val="00227EBA"/>
    <w:pPr>
      <w:numPr>
        <w:numId w:val="7"/>
      </w:numPr>
    </w:pPr>
  </w:style>
  <w:style w:type="paragraph" w:styleId="BlockText">
    <w:name w:val="Block Text"/>
    <w:basedOn w:val="Normal"/>
    <w:rsid w:val="00227EBA"/>
    <w:pPr>
      <w:spacing w:after="120"/>
      <w:ind w:left="1440" w:right="1440"/>
    </w:pPr>
  </w:style>
  <w:style w:type="character" w:customStyle="1" w:styleId="Subscript">
    <w:name w:val="Subscript"/>
    <w:basedOn w:val="DefaultParagraphFont"/>
    <w:rsid w:val="00227EBA"/>
    <w:rPr>
      <w:sz w:val="16"/>
      <w:vertAlign w:val="subscript"/>
    </w:rPr>
  </w:style>
  <w:style w:type="character" w:customStyle="1" w:styleId="Superscript">
    <w:name w:val="Superscript"/>
    <w:basedOn w:val="DefaultParagraphFont"/>
    <w:rsid w:val="00227EBA"/>
    <w:rPr>
      <w:sz w:val="16"/>
      <w:vertAlign w:val="superscript"/>
    </w:rPr>
  </w:style>
  <w:style w:type="character" w:customStyle="1" w:styleId="Symbols">
    <w:name w:val="Symbols"/>
    <w:basedOn w:val="DefaultParagraphFont"/>
    <w:rsid w:val="00227EBA"/>
    <w:rPr>
      <w:rFonts w:ascii="Symbol" w:hAnsi="Symbol"/>
    </w:rPr>
  </w:style>
  <w:style w:type="character" w:customStyle="1" w:styleId="MenuOptions">
    <w:name w:val="Menu Options"/>
    <w:basedOn w:val="DefaultParagraphFont"/>
    <w:rsid w:val="00227EBA"/>
    <w:rPr>
      <w:rFonts w:ascii="Arial Narrow" w:hAnsi="Arial Narrow"/>
      <w:smallCaps/>
    </w:rPr>
  </w:style>
  <w:style w:type="character" w:customStyle="1" w:styleId="Buttons">
    <w:name w:val="Buttons"/>
    <w:basedOn w:val="DefaultParagraphFont"/>
    <w:rsid w:val="00227EBA"/>
    <w:rPr>
      <w:b/>
    </w:rPr>
  </w:style>
  <w:style w:type="character" w:customStyle="1" w:styleId="Underlined">
    <w:name w:val="Underlined"/>
    <w:basedOn w:val="DefaultParagraphFont"/>
    <w:rsid w:val="00227EBA"/>
    <w:rPr>
      <w:u w:val="single"/>
    </w:rPr>
  </w:style>
  <w:style w:type="paragraph" w:customStyle="1" w:styleId="TableBodyTextRight">
    <w:name w:val="Table Body Text Right"/>
    <w:basedOn w:val="TableBodyText"/>
    <w:rsid w:val="00227EBA"/>
    <w:pPr>
      <w:widowControl w:val="0"/>
      <w:autoSpaceDE w:val="0"/>
      <w:autoSpaceDN w:val="0"/>
      <w:adjustRightInd w:val="0"/>
      <w:jc w:val="right"/>
    </w:pPr>
    <w:rPr>
      <w:rFonts w:cs="Arial"/>
      <w:szCs w:val="18"/>
    </w:rPr>
  </w:style>
  <w:style w:type="paragraph" w:customStyle="1" w:styleId="CopyrightText">
    <w:name w:val="Copyright Text"/>
    <w:basedOn w:val="BodyText"/>
    <w:rsid w:val="00227EBA"/>
    <w:rPr>
      <w:sz w:val="18"/>
    </w:rPr>
  </w:style>
  <w:style w:type="paragraph" w:customStyle="1" w:styleId="BodySmallRight">
    <w:name w:val="Body Small Right"/>
    <w:basedOn w:val="BodyTextRight"/>
    <w:rsid w:val="00227EBA"/>
    <w:rPr>
      <w:sz w:val="18"/>
      <w:szCs w:val="18"/>
    </w:rPr>
  </w:style>
  <w:style w:type="paragraph" w:customStyle="1" w:styleId="MarginEdition">
    <w:name w:val="Margin Edition"/>
    <w:basedOn w:val="MarginNote"/>
    <w:rsid w:val="00227EBA"/>
    <w:pPr>
      <w:spacing w:before="0" w:after="0"/>
    </w:pPr>
    <w:rPr>
      <w:rFonts w:ascii="Times New Roman" w:hAnsi="Times New Roman"/>
      <w:color w:val="999999"/>
    </w:rPr>
  </w:style>
  <w:style w:type="paragraph" w:customStyle="1" w:styleId="Spacer">
    <w:name w:val="Spacer"/>
    <w:basedOn w:val="Normal"/>
    <w:rsid w:val="00227EBA"/>
    <w:rPr>
      <w:sz w:val="2"/>
      <w:szCs w:val="2"/>
    </w:rPr>
  </w:style>
  <w:style w:type="character" w:customStyle="1" w:styleId="Small">
    <w:name w:val="Small"/>
    <w:basedOn w:val="DefaultParagraphFont"/>
    <w:rsid w:val="00227EBA"/>
    <w:rPr>
      <w:sz w:val="16"/>
    </w:rPr>
  </w:style>
  <w:style w:type="paragraph" w:customStyle="1" w:styleId="WideTable">
    <w:name w:val="Wide Table"/>
    <w:basedOn w:val="Normal"/>
    <w:rsid w:val="00227EBA"/>
    <w:pPr>
      <w:ind w:left="-1418"/>
    </w:pPr>
    <w:rPr>
      <w:sz w:val="2"/>
      <w:szCs w:val="2"/>
    </w:rPr>
  </w:style>
  <w:style w:type="character" w:styleId="PageNumber">
    <w:name w:val="page number"/>
    <w:basedOn w:val="DefaultParagraphFont"/>
    <w:rsid w:val="00227EBA"/>
  </w:style>
  <w:style w:type="paragraph" w:styleId="Quote">
    <w:name w:val="Quote"/>
    <w:basedOn w:val="Heading1"/>
    <w:link w:val="QuoteChar"/>
    <w:qFormat/>
    <w:rsid w:val="00227EBA"/>
    <w:rPr>
      <w:b w:val="0"/>
      <w:sz w:val="72"/>
      <w:szCs w:val="72"/>
      <w:lang w:val="en-NZ"/>
    </w:rPr>
  </w:style>
  <w:style w:type="character" w:customStyle="1" w:styleId="QuoteChar">
    <w:name w:val="Quote Char"/>
    <w:basedOn w:val="DefaultParagraphFont"/>
    <w:link w:val="Quote"/>
    <w:rsid w:val="00227EB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27EBA"/>
    <w:pPr>
      <w:pageBreakBefore/>
    </w:pPr>
  </w:style>
  <w:style w:type="paragraph" w:customStyle="1" w:styleId="Border">
    <w:name w:val="Border"/>
    <w:basedOn w:val="Normal"/>
    <w:qFormat/>
    <w:rsid w:val="00227EB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27EBA"/>
    <w:rPr>
      <w:b/>
      <w:bCs/>
      <w:i/>
      <w:iCs/>
      <w:color w:val="auto"/>
    </w:rPr>
  </w:style>
  <w:style w:type="paragraph" w:styleId="IntenseQuote">
    <w:name w:val="Intense Quote"/>
    <w:basedOn w:val="Normal"/>
    <w:next w:val="Normal"/>
    <w:link w:val="IntenseQuoteChar"/>
    <w:uiPriority w:val="30"/>
    <w:qFormat/>
    <w:rsid w:val="00227EB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27EB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27EBA"/>
    <w:rPr>
      <w:smallCaps/>
      <w:color w:val="auto"/>
      <w:u w:val="single"/>
    </w:rPr>
  </w:style>
  <w:style w:type="character" w:styleId="IntenseReference">
    <w:name w:val="Intense Reference"/>
    <w:basedOn w:val="DefaultParagraphFont"/>
    <w:uiPriority w:val="32"/>
    <w:qFormat/>
    <w:rsid w:val="00227EBA"/>
    <w:rPr>
      <w:b/>
      <w:bCs/>
      <w:smallCaps/>
      <w:color w:val="auto"/>
      <w:spacing w:val="5"/>
      <w:u w:val="single"/>
    </w:rPr>
  </w:style>
  <w:style w:type="paragraph" w:customStyle="1" w:styleId="2ColumnHeading">
    <w:name w:val="2Column Heading"/>
    <w:basedOn w:val="BodyText"/>
    <w:qFormat/>
    <w:rsid w:val="00227EBA"/>
    <w:pPr>
      <w:spacing w:after="60"/>
      <w:ind w:left="-2268"/>
    </w:pPr>
    <w:rPr>
      <w:b/>
    </w:rPr>
  </w:style>
  <w:style w:type="paragraph" w:customStyle="1" w:styleId="Heading1TOC">
    <w:name w:val="Heading1 TOC"/>
    <w:basedOn w:val="Normal"/>
    <w:qFormat/>
    <w:rsid w:val="00227EBA"/>
    <w:pPr>
      <w:spacing w:before="240" w:after="120"/>
    </w:pPr>
    <w:rPr>
      <w:rFonts w:ascii="Times New Roman" w:hAnsi="Times New Roman"/>
      <w:b/>
      <w:sz w:val="32"/>
    </w:rPr>
  </w:style>
  <w:style w:type="paragraph" w:customStyle="1" w:styleId="Heading2TOC">
    <w:name w:val="Heading2 TOC"/>
    <w:basedOn w:val="Normal"/>
    <w:qFormat/>
    <w:rsid w:val="00227EBA"/>
    <w:pPr>
      <w:spacing w:before="240" w:after="60"/>
    </w:pPr>
    <w:rPr>
      <w:rFonts w:ascii="Times New Roman" w:hAnsi="Times New Roman"/>
      <w:b/>
      <w:sz w:val="28"/>
    </w:rPr>
  </w:style>
  <w:style w:type="character" w:customStyle="1" w:styleId="Underline">
    <w:name w:val="Underline"/>
    <w:basedOn w:val="DefaultParagraphFont"/>
    <w:qFormat/>
    <w:rsid w:val="00227EBA"/>
    <w:rPr>
      <w:u w:val="single"/>
    </w:rPr>
  </w:style>
  <w:style w:type="character" w:customStyle="1" w:styleId="BoldandItalics">
    <w:name w:val="Bold and Italics"/>
    <w:qFormat/>
    <w:rsid w:val="00227EBA"/>
    <w:rPr>
      <w:b/>
      <w:i/>
      <w:u w:val="none"/>
    </w:rPr>
  </w:style>
  <w:style w:type="paragraph" w:styleId="BalloonText">
    <w:name w:val="Balloon Text"/>
    <w:basedOn w:val="Normal"/>
    <w:link w:val="BalloonTextChar"/>
    <w:rsid w:val="00227EBA"/>
    <w:rPr>
      <w:rFonts w:ascii="Tahoma" w:hAnsi="Tahoma" w:cs="Tahoma"/>
      <w:sz w:val="16"/>
      <w:szCs w:val="16"/>
    </w:rPr>
  </w:style>
  <w:style w:type="character" w:customStyle="1" w:styleId="BalloonTextChar">
    <w:name w:val="Balloon Text Char"/>
    <w:basedOn w:val="DefaultParagraphFont"/>
    <w:link w:val="BalloonText"/>
    <w:rsid w:val="00227EB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27EB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27EB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27EBA"/>
    <w:rPr>
      <w:b/>
      <w:color w:val="660033"/>
      <w:spacing w:val="0"/>
    </w:rPr>
  </w:style>
  <w:style w:type="paragraph" w:customStyle="1" w:styleId="Nameditemlist">
    <w:name w:val="Named item list"/>
    <w:basedOn w:val="BodyText"/>
    <w:qFormat/>
    <w:rsid w:val="00227EB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2318</Words>
  <Characters>14316</Characters>
  <Application>Microsoft Office Word</Application>
  <DocSecurity>0</DocSecurity>
  <Lines>517</Lines>
  <Paragraphs>203</Paragraphs>
  <ScaleCrop>false</ScaleCrop>
  <Company>Author-it Software Corporation Ltd.</Company>
  <LinksUpToDate>false</LinksUpToDate>
  <CharactersWithSpaces>16523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UEENEEK132A Develop strategies to address environmental and sustainability issues in the energy sector</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2012-10-11T19:29:00Z</dcterms:created>
  <dcterms:modified xsi:type="dcterms:W3CDTF">2012-10-11T19:29:00Z</dcterms:modified>
</cp:coreProperties>
</file>