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DC0" w:rsidP="00EE5DC0">
      <w:pPr>
        <w:pStyle w:val="Title"/>
      </w:pPr>
      <w:r>
        <w:fldChar w:fldCharType="begin"/>
      </w:r>
      <w:r>
        <w:instrText xml:space="preserve"> TITLE   \* MERGEFORMAT </w:instrText>
      </w:r>
      <w:r>
        <w:fldChar w:fldCharType="separate"/>
      </w:r>
      <w:r>
        <w:t>UEENEEK131A Design wind energy conversion systems (WECS) rated to 10 kW</w:t>
      </w:r>
      <w:r>
        <w:fldChar w:fldCharType="end"/>
      </w:r>
    </w:p>
    <w:p w:rsidR="00EE5DC0" w:rsidP="00EE5DC0">
      <w:pPr>
        <w:pStyle w:val="Version"/>
        <w:sectPr w:rsidSect="004D6C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6C92" w:rsidP="004D6C92">
      <w:pPr>
        <w:pStyle w:val="SuperHeading"/>
      </w:pPr>
      <w:r w:rsidRPr="004D6C92">
        <w:t>UEENEEK131A Design wind energy conversion systems (WECS) rated to 10 kW</w:t>
      </w:r>
    </w:p>
    <w:p w:rsidR="00000000" w:rsidRPr="004D6C92" w:rsidP="004D6C92">
      <w:pPr>
        <w:pStyle w:val="Heading1"/>
      </w:pPr>
      <w:bookmarkStart w:id="1" w:name="O_588881"/>
      <w:bookmarkEnd w:id="1"/>
      <w:r w:rsidRPr="004D6C92">
        <w:t>Modification History</w:t>
      </w:r>
    </w:p>
    <w:p w:rsidR="00000000" w:rsidRPr="004D6C92" w:rsidP="004D6C92">
      <w:pPr>
        <w:pStyle w:val="BodyText"/>
      </w:pPr>
      <w:r w:rsidRPr="004D6C92">
        <w:t>Not applicable.</w:t>
      </w:r>
    </w:p>
    <w:p w:rsidR="00000000" w:rsidRPr="004D6C92" w:rsidP="004D6C92">
      <w:pPr>
        <w:pStyle w:val="AllowPageBreak"/>
      </w:pPr>
    </w:p>
    <w:p w:rsidR="00000000" w:rsidRPr="004D6C92" w:rsidP="004D6C92">
      <w:pPr>
        <w:pStyle w:val="Heading1"/>
      </w:pPr>
      <w:bookmarkStart w:id="2" w:name="O_588880"/>
      <w:bookmarkEnd w:id="2"/>
      <w:r w:rsidRPr="004D6C92">
        <w:t>Unit Descriptor</w:t>
      </w:r>
    </w:p>
    <w:tbl>
      <w:tblPr>
        <w:tblW w:w="0" w:type="auto"/>
        <w:tblLayout w:type="fixed"/>
        <w:tblCellMar>
          <w:left w:w="62" w:type="dxa"/>
          <w:right w:w="62" w:type="dxa"/>
        </w:tblCellMar>
        <w:tblLook w:val="0000"/>
      </w:tblPr>
      <w:tblGrid>
        <w:gridCol w:w="2700"/>
        <w:gridCol w:w="5760"/>
      </w:tblGrid>
      <w:tr w:rsidTr="00EE5D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1)</w:t>
            </w:r>
            <w:r w:rsidRPr="004D6C92">
              <w:t xml:space="preserve"> </w:t>
            </w:r>
            <w:r w:rsidRPr="004D6C92">
              <w:rPr>
                <w:rStyle w:val="SpecialBold"/>
              </w:rPr>
              <w:t>Scope:</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6C9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1.1) Descriptor</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This unit covers the design of wind energy conversion systems and their installation. It encompasses following design briefs, incorporating schemes for protection of persons and property from dangers of system malfunction, ensuring other safety and perform</w:t>
            </w:r>
            <w:r w:rsidRPr="004D6C92">
              <w:t>ance standards and functional requirements are meet and documenting design calculations and criteria.</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3" w:name="O_588879"/>
      <w:bookmarkEnd w:id="3"/>
      <w:r w:rsidRPr="004D6C92">
        <w:t>Application of the Unit</w:t>
      </w:r>
    </w:p>
    <w:tbl>
      <w:tblPr>
        <w:tblW w:w="0" w:type="auto"/>
        <w:tblLayout w:type="fixed"/>
        <w:tblCellMar>
          <w:left w:w="62" w:type="dxa"/>
          <w:right w:w="62" w:type="dxa"/>
        </w:tblCellMar>
        <w:tblLook w:val="0000"/>
      </w:tblPr>
      <w:tblGrid>
        <w:gridCol w:w="2672"/>
        <w:gridCol w:w="5699"/>
      </w:tblGrid>
      <w:tr w:rsidTr="00EE5DC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2)</w:t>
            </w:r>
          </w:p>
        </w:tc>
      </w:tr>
      <w:tr w:rsidTr="00EE5DC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This unit is intended for competency development entry-level employment-based programs incorporated in approved contracts of training. It applies to any formal recognition for this standard at the aligned AQF 5 level or higher.</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4" w:name="O_588878"/>
      <w:bookmarkEnd w:id="4"/>
      <w:r w:rsidRPr="004D6C92">
        <w:t>Licensing</w:t>
      </w:r>
      <w:r w:rsidRPr="004D6C92">
        <w:t>/Regulatory Information</w:t>
      </w:r>
    </w:p>
    <w:tbl>
      <w:tblPr>
        <w:tblW w:w="0" w:type="auto"/>
        <w:tblLayout w:type="fixed"/>
        <w:tblCellMar>
          <w:left w:w="62" w:type="dxa"/>
          <w:right w:w="62" w:type="dxa"/>
        </w:tblCellMar>
        <w:tblLook w:val="0000"/>
      </w:tblPr>
      <w:tblGrid>
        <w:gridCol w:w="2700"/>
        <w:gridCol w:w="5760"/>
      </w:tblGrid>
      <w:tr w:rsidTr="00EE5D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 xml:space="preserve">3) </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The skills and knowledge described in this unit do not require a license to practice in the workplace. However, practice in this unit is subject to regulations directly related to occupational health and sa</w:t>
            </w:r>
            <w:r w:rsidRPr="004D6C92">
              <w:t>fety and contracts of training such as new apprenticeships.</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5" w:name="O_588877"/>
      <w:bookmarkEnd w:id="5"/>
      <w:r w:rsidRPr="004D6C92">
        <w:t>Pre-Requisites</w:t>
      </w:r>
    </w:p>
    <w:tbl>
      <w:tblPr>
        <w:tblW w:w="0" w:type="auto"/>
        <w:tblLayout w:type="fixed"/>
        <w:tblCellMar>
          <w:left w:w="62" w:type="dxa"/>
          <w:right w:w="62" w:type="dxa"/>
        </w:tblCellMar>
        <w:tblLook w:val="0000"/>
      </w:tblPr>
      <w:tblGrid>
        <w:gridCol w:w="2700"/>
        <w:gridCol w:w="1530"/>
        <w:gridCol w:w="4230"/>
      </w:tblGrid>
      <w:tr w:rsidTr="00EE5D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 xml:space="preserve">4) </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4.1)</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Granting competency in this unit shall be made onl</w:t>
            </w:r>
            <w:r w:rsidRPr="004D6C92">
              <w:t>y after competency in the following unit(s) has/have been confirmed.</w:t>
            </w:r>
          </w:p>
        </w:tc>
      </w:tr>
      <w:tr w:rsidTr="00EE5DC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UEENEEK130A</w:t>
            </w:r>
          </w:p>
        </w:tc>
        <w:tc>
          <w:tcPr>
            <w:tcW w:w="42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Solve problems in wind energy conversion systems rated to 10 kW</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UEENEEG101A</w:t>
            </w:r>
          </w:p>
        </w:tc>
        <w:tc>
          <w:tcPr>
            <w:tcW w:w="42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Solve problems in electromagnetic devices and related circuits</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UEENEEE104A</w:t>
            </w:r>
          </w:p>
        </w:tc>
        <w:tc>
          <w:tcPr>
            <w:tcW w:w="42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Solve problems in d.c. circuits</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UEENEEE101A</w:t>
            </w:r>
          </w:p>
        </w:tc>
        <w:tc>
          <w:tcPr>
            <w:tcW w:w="423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Apply occupational health and safety regulations, codes and practices in the workplace</w:t>
            </w:r>
          </w:p>
        </w:tc>
      </w:tr>
    </w:tbl>
    <w:p w:rsidR="00000000" w:rsidRPr="004D6C92" w:rsidP="004D6C9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E5DC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 xml:space="preserve">4.2) </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Participants are best equipped to achieve competency in this unit if they have reading, writing and numeracy skills indicated by the following scales. Description of each scale is given in Volume 2, Part 3 ‘Literacy and Numeracy’</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Reading</w:t>
            </w:r>
          </w:p>
        </w:tc>
        <w:tc>
          <w:tcPr>
            <w:tcW w:w="81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5</w:t>
            </w:r>
          </w:p>
        </w:tc>
        <w:tc>
          <w:tcPr>
            <w:tcW w:w="99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Writing</w:t>
            </w: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5</w:t>
            </w:r>
          </w:p>
        </w:tc>
        <w:tc>
          <w:tcPr>
            <w:tcW w:w="12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Numeracy</w:t>
            </w:r>
          </w:p>
        </w:tc>
        <w:tc>
          <w:tcPr>
            <w:tcW w:w="72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5</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6" w:name="O_588876"/>
      <w:bookmarkEnd w:id="6"/>
      <w:r w:rsidRPr="004D6C92">
        <w:t>Employability Skills Information</w:t>
      </w:r>
    </w:p>
    <w:tbl>
      <w:tblPr>
        <w:tblW w:w="0" w:type="auto"/>
        <w:tblLayout w:type="fixed"/>
        <w:tblCellMar>
          <w:left w:w="62" w:type="dxa"/>
          <w:right w:w="62" w:type="dxa"/>
        </w:tblCellMar>
        <w:tblLook w:val="0000"/>
      </w:tblPr>
      <w:tblGrid>
        <w:gridCol w:w="2700"/>
        <w:gridCol w:w="5760"/>
      </w:tblGrid>
      <w:tr w:rsidTr="00EE5D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 xml:space="preserve">5) </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 xml:space="preserve">The required outcomes described in this unit of competency contain applicable facets of Employability Skills. The Employability Skills Summary </w:t>
            </w:r>
            <w:r w:rsidRPr="004D6C92">
              <w:t xml:space="preserve">of the qualification in which this unit of competency is packaged </w:t>
            </w:r>
            <w:r w:rsidRPr="004D6C92">
              <w:t>will assist in identifying Employability Skill requirements.</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7" w:name="O_588875"/>
      <w:bookmarkEnd w:id="7"/>
      <w:r w:rsidRPr="004D6C92">
        <w:t>Elements and Performance Criteria Pre-Content</w:t>
      </w:r>
    </w:p>
    <w:tbl>
      <w:tblPr>
        <w:tblW w:w="0" w:type="auto"/>
        <w:tblLayout w:type="fixed"/>
        <w:tblCellMar>
          <w:left w:w="62" w:type="dxa"/>
          <w:right w:w="62" w:type="dxa"/>
        </w:tblCellMar>
        <w:tblLook w:val="0000"/>
      </w:tblPr>
      <w:tblGrid>
        <w:gridCol w:w="2700"/>
        <w:gridCol w:w="5760"/>
      </w:tblGrid>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6)</w:t>
            </w:r>
            <w:r w:rsidRPr="004D6C9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Performance Criteria describe the required performance needed to demonstrate achievement of the element. Assessment of performance is to be consistent with the Evidence Guide.</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8" w:name="O_588874"/>
      <w:bookmarkEnd w:id="8"/>
      <w:r w:rsidRPr="004D6C9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E5DC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PERFORMANCE CRITERIA</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1</w:t>
            </w:r>
          </w:p>
        </w:tc>
        <w:tc>
          <w:tcPr>
            <w:tcW w:w="2296" w:type="dxa"/>
            <w:vMerge w:val="restart"/>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 xml:space="preserve">Prepare to design wind energy conversion systems </w:t>
            </w: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1.1</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OHS processes and procedures for a given work area are identified, obtained and understood</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1.2</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The extent and nature of the system is determined from design brief</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1.3</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Safety and other regulatory requirements to which the electrical installation must comply are identified, obtained and understood</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1.4</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Design development work is planned to meet scheduled timelines in consultation with others persons involved in the installation or associated work</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2</w:t>
            </w:r>
          </w:p>
        </w:tc>
        <w:tc>
          <w:tcPr>
            <w:tcW w:w="2296" w:type="dxa"/>
            <w:vMerge w:val="restart"/>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Develop wind energy conversion systems design.</w:t>
            </w: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2.1</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Knowledge of wind energy conversion systems performance</w:t>
            </w:r>
            <w:r w:rsidRPr="004D6C92">
              <w:t xml:space="preserve"> standards, compliance methods is applied to the design </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2.2</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Alternative arrangements for the wind energy systems design are considered based on the requirements outlined in the design brief</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2.3</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Safety, functional and budgetary considerations are incorporated in the design</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2.4</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Wind energy system design draft is checked for compliance with the design brief and regulatory requirements</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2.5</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Wind energy system design is documented for submission to appropriate persons for acceptance and approval</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2.6</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Solutions to unplanned situation are provided consistent with organisation policy</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3</w:t>
            </w:r>
          </w:p>
        </w:tc>
        <w:tc>
          <w:tcPr>
            <w:tcW w:w="2296"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Obtain approval for wind energy conversion systems design.</w:t>
            </w: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3.1</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 xml:space="preserve">Wind energy system design is presented and explained to client representative and/or other relevant persons </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3.2</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 xml:space="preserve">Requests for alterations to the design are negotiated with relevant persons within the constraints of organisation policy </w:t>
            </w:r>
          </w:p>
        </w:tc>
      </w:tr>
      <w:tr w:rsidTr="00EE5D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3.3</w:t>
            </w:r>
          </w:p>
        </w:tc>
        <w:tc>
          <w:tcPr>
            <w:tcW w:w="48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Final design is documented and approval obtained from appropriate persons</w:t>
            </w:r>
          </w:p>
        </w:tc>
      </w:tr>
      <w:tr w:rsidTr="00EE5DC0">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3.4</w:t>
            </w:r>
          </w:p>
        </w:tc>
        <w:tc>
          <w:tcPr>
            <w:tcW w:w="48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Quality of work is monitored against personal performance agreement and/or established organisational or professional standards</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9" w:name="O_588873"/>
      <w:bookmarkEnd w:id="9"/>
      <w:r w:rsidRPr="004D6C92">
        <w:t>Required Skills and Knowledge</w:t>
      </w:r>
    </w:p>
    <w:tbl>
      <w:tblPr>
        <w:tblW w:w="0" w:type="auto"/>
        <w:tblLayout w:type="fixed"/>
        <w:tblCellMar>
          <w:left w:w="62" w:type="dxa"/>
          <w:right w:w="62" w:type="dxa"/>
        </w:tblCellMar>
        <w:tblLook w:val="0000"/>
      </w:tblPr>
      <w:tblGrid>
        <w:gridCol w:w="1800"/>
        <w:gridCol w:w="6660"/>
      </w:tblGrid>
      <w:tr w:rsidTr="00EE5DC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REQUIRED SKILLS AND KNOWLEDGE</w:t>
            </w:r>
          </w:p>
        </w:tc>
      </w:tr>
      <w:tr w:rsidTr="00EE5DC0">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8)</w:t>
            </w:r>
            <w:r w:rsidRPr="004D6C92">
              <w:t xml:space="preserve"> This describes the essential skills and knowledge and their level, required for this unit.</w:t>
            </w:r>
          </w:p>
          <w:p w:rsidR="00000000" w:rsidRPr="004D6C92" w:rsidP="004D6C92">
            <w:pPr>
              <w:pStyle w:val="BodyText"/>
            </w:pPr>
            <w:r w:rsidRPr="004D6C92">
              <w:t>Evidence must show that knowledge has been acquired of safe working practices and designing wind energy conversion systems rated to 10 kW.</w:t>
            </w:r>
          </w:p>
          <w:p w:rsidR="00000000" w:rsidP="004D6C92">
            <w:pPr>
              <w:pStyle w:val="BodyText"/>
              <w:rPr>
                <w:lang w:val="en-NZ"/>
              </w:rPr>
            </w:pPr>
            <w:r w:rsidRPr="004D6C92">
              <w:t>All knowledge and skills detailed in this unit should be contextualised to current industry practices and technologie</w:t>
            </w:r>
            <w:r w:rsidRPr="004D6C92">
              <w:t>s.</w:t>
            </w:r>
          </w:p>
        </w:tc>
      </w:tr>
      <w:tr w:rsidTr="00EE5DC0">
        <w:tblPrEx>
          <w:tblW w:w="0" w:type="auto"/>
          <w:tblLayout w:type="fixed"/>
          <w:tblCellMar>
            <w:left w:w="62" w:type="dxa"/>
            <w:right w:w="62" w:type="dxa"/>
          </w:tblCellMar>
          <w:tblLook w:val="0000"/>
        </w:tblPrEx>
        <w:trPr>
          <w:trHeight w:val="226"/>
        </w:trPr>
        <w:tc>
          <w:tcPr>
            <w:tcW w:w="180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KS01-EK131A</w:t>
            </w:r>
          </w:p>
        </w:tc>
        <w:tc>
          <w:tcPr>
            <w:tcW w:w="66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Design of small wind energy conversion systems (WECS)</w:t>
            </w:r>
          </w:p>
        </w:tc>
      </w:tr>
      <w:tr w:rsidTr="00EE5DC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Evidence shall show an understanding of the design of small wind energy conversion systems (WECS) to the extent indicated by the following aspects:</w:t>
            </w:r>
          </w:p>
        </w:tc>
      </w:tr>
      <w:tr w:rsidTr="00EE5DC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T1</w:t>
            </w:r>
            <w:r w:rsidRPr="004D6C92">
              <w:tab/>
            </w:r>
            <w:r w:rsidRPr="004D6C92">
              <w:t>Wind characteristics encompassing:</w:t>
            </w:r>
          </w:p>
          <w:p w:rsidR="00000000" w:rsidRPr="004D6C92" w:rsidP="004D6C92">
            <w:pPr>
              <w:pStyle w:val="ListBullet2"/>
            </w:pPr>
            <w:r w:rsidRPr="004D6C92">
              <w:t>definition of the terms: weather charts, isobars, fronts and troughs, cyclone and anti-cyclone, atmospheric boundary layer, geotropic wind, gradient wind, wind shear, wind rose</w:t>
            </w:r>
          </w:p>
          <w:p w:rsidR="00000000" w:rsidRPr="004D6C92" w:rsidP="004D6C92">
            <w:pPr>
              <w:pStyle w:val="ListBullet2"/>
            </w:pPr>
            <w:r w:rsidRPr="004D6C92">
              <w:t>major global wind circulations and the form</w:t>
            </w:r>
            <w:r w:rsidRPr="004D6C92">
              <w:t xml:space="preserve">ation of major wind flows over your continent. </w:t>
            </w:r>
          </w:p>
          <w:p w:rsidR="00000000" w:rsidRPr="004D6C92" w:rsidP="004D6C92">
            <w:pPr>
              <w:pStyle w:val="ListBullet2"/>
            </w:pPr>
            <w:r w:rsidRPr="004D6C92">
              <w:t xml:space="preserve">major features of the atmospheric boundary layer including: variation of wind speed with height according to logarithmic and power Laws, effects of surface roughness </w:t>
            </w:r>
          </w:p>
          <w:p w:rsidR="00000000" w:rsidRPr="004D6C92" w:rsidP="004D6C92">
            <w:pPr>
              <w:pStyle w:val="ListBullet2"/>
            </w:pPr>
            <w:r w:rsidRPr="004D6C92">
              <w:t>atmospheric stability and temperature inversions turbulence.</w:t>
            </w:r>
          </w:p>
          <w:p w:rsidR="00000000" w:rsidRPr="004D6C92" w:rsidP="004D6C92">
            <w:pPr>
              <w:pStyle w:val="ListBullet2"/>
            </w:pPr>
            <w:r w:rsidRPr="004D6C92">
              <w:t>major local winds including: trade winds, sea and land breezes, katabatic and anabatic winds.</w:t>
            </w:r>
          </w:p>
          <w:p w:rsidR="00000000" w:rsidRPr="004D6C92" w:rsidP="004D6C92">
            <w:pPr>
              <w:pStyle w:val="ListBullet2"/>
            </w:pPr>
            <w:r w:rsidRPr="004D6C92">
              <w:t>likely effects on the major local winds from local topography, surface roughness, isolated barriers a</w:t>
            </w:r>
            <w:r w:rsidRPr="004D6C92">
              <w:t>nd temperature inversions.</w:t>
            </w:r>
          </w:p>
          <w:p w:rsidR="00000000" w:rsidRPr="004D6C92" w:rsidP="004D6C92">
            <w:pPr>
              <w:pStyle w:val="ListBullet2"/>
            </w:pPr>
            <w:r w:rsidRPr="004D6C92">
              <w:t xml:space="preserve">typical diurnal, monthly and seasonal patterns of winds over the local area. </w:t>
            </w:r>
          </w:p>
          <w:p w:rsidR="00000000" w:rsidP="004D6C92">
            <w:pPr>
              <w:pStyle w:val="ListBullet2"/>
              <w:rPr>
                <w:lang w:val="en-NZ"/>
              </w:rPr>
            </w:pPr>
            <w:r w:rsidRPr="004D6C92">
              <w:t>the formation and likely effects of extreme winds and wind shear.</w:t>
            </w:r>
          </w:p>
        </w:tc>
      </w:tr>
      <w:tr w:rsidTr="00EE5DC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T2</w:t>
            </w:r>
            <w:r w:rsidRPr="004D6C92">
              <w:tab/>
              <w:t>Wind speed data measurement and analysis encompassing:</w:t>
            </w:r>
          </w:p>
          <w:p w:rsidR="00000000" w:rsidRPr="004D6C92" w:rsidP="004D6C92">
            <w:pPr>
              <w:pStyle w:val="ListBullet2"/>
            </w:pPr>
            <w:r w:rsidRPr="004D6C92">
              <w:t>definition of the terms:</w:t>
            </w:r>
            <w:r w:rsidRPr="004D6C92">
              <w:t xml:space="preserve"> porosity, internal boundary layer, speed-up factor, temperature inversion factor, wind speed frequency distribution, lull period, calms. </w:t>
            </w:r>
          </w:p>
          <w:p w:rsidR="00000000" w:rsidRPr="004D6C92" w:rsidP="004D6C92">
            <w:pPr>
              <w:pStyle w:val="ListBullet2"/>
            </w:pPr>
            <w:r w:rsidRPr="004D6C92">
              <w:t xml:space="preserve">interpretation of local and regional wind speed and direction data such as local records (E.g. Meteorological Bureau </w:t>
            </w:r>
            <w:r w:rsidRPr="004D6C92">
              <w:t>data), ecological indicators and wind speed/energy maps.</w:t>
            </w:r>
          </w:p>
          <w:p w:rsidR="00000000" w:rsidRPr="004D6C92" w:rsidP="004D6C92">
            <w:pPr>
              <w:pStyle w:val="ListBullet2"/>
            </w:pPr>
            <w:r w:rsidRPr="004D6C92">
              <w:t>wind speed and direction using data logging anemometers.</w:t>
            </w:r>
          </w:p>
          <w:p w:rsidR="00000000" w:rsidRPr="004D6C92" w:rsidP="004D6C92">
            <w:pPr>
              <w:pStyle w:val="ListBullet2"/>
            </w:pPr>
            <w:r w:rsidRPr="004D6C92">
              <w:t>manufacturer’s calibration curves for anemometers to correct recorded data.</w:t>
            </w:r>
          </w:p>
          <w:p w:rsidR="00000000" w:rsidRPr="004D6C92" w:rsidP="004D6C92">
            <w:pPr>
              <w:pStyle w:val="ListBullet2"/>
            </w:pPr>
            <w:r w:rsidRPr="004D6C92">
              <w:t>calculation at a site, monthly and yearly average wind speed , and</w:t>
            </w:r>
            <w:r w:rsidRPr="004D6C92">
              <w:t xml:space="preserve"> wind power density from existing, nearby data or on-site measurements, using appropriate software</w:t>
            </w:r>
          </w:p>
          <w:p w:rsidR="00000000" w:rsidP="004D6C92">
            <w:pPr>
              <w:pStyle w:val="ListBullet2"/>
              <w:rPr>
                <w:lang w:val="en-NZ"/>
              </w:rPr>
            </w:pPr>
            <w:r w:rsidRPr="004D6C92">
              <w:t xml:space="preserve">estimation of the wind speed at a WECS tower of suitable height and location given: wind speed data recorded at two or more elevations at the site, and wind </w:t>
            </w:r>
            <w:r w:rsidRPr="004D6C92">
              <w:t>speed data recorded at one elevation and appropriate surface roughness, temperature inversion and speed-up factors at the site.</w:t>
            </w:r>
          </w:p>
        </w:tc>
      </w:tr>
      <w:tr w:rsidTr="00EE5DC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T3</w:t>
            </w:r>
            <w:r w:rsidRPr="004D6C92">
              <w:tab/>
              <w:t>Site selection encompassing:</w:t>
            </w:r>
          </w:p>
          <w:p w:rsidR="00000000" w:rsidRPr="004D6C92" w:rsidP="004D6C92">
            <w:pPr>
              <w:pStyle w:val="ListBullet2"/>
            </w:pPr>
            <w:r w:rsidRPr="004D6C92">
              <w:t xml:space="preserve">the likely effects of local topography, surface roughness, isolated barriers and temperature </w:t>
            </w:r>
            <w:r w:rsidRPr="004D6C92">
              <w:t>inversions on a WECS at a given site.</w:t>
            </w:r>
          </w:p>
          <w:p w:rsidR="00000000" w:rsidRPr="004D6C92" w:rsidP="004D6C92">
            <w:pPr>
              <w:pStyle w:val="ListBullet2"/>
            </w:pPr>
            <w:r w:rsidRPr="004D6C92">
              <w:t>assessment of available local or regional wind speed, wind energy and direction data.</w:t>
            </w:r>
          </w:p>
          <w:p w:rsidR="00000000" w:rsidRPr="004D6C92" w:rsidP="004D6C92">
            <w:pPr>
              <w:pStyle w:val="ListBullet2"/>
            </w:pPr>
            <w:r w:rsidRPr="004D6C92">
              <w:t>selection of the most appropriate site-monitoring location taking into consideration factors such as: topography, accessibility, sur</w:t>
            </w:r>
            <w:r w:rsidRPr="004D6C92">
              <w:t>face roughness, shielding from isolated barriers (obstacles), turbulence, temperature inversions, power transmission distance , environmental and heritage impacts e.g. noise, visual, bird life, national parks or aboriginal sites.</w:t>
            </w:r>
          </w:p>
          <w:p w:rsidR="00000000" w:rsidRPr="004D6C92" w:rsidP="004D6C92">
            <w:pPr>
              <w:pStyle w:val="ListBullet2"/>
            </w:pPr>
            <w:r w:rsidRPr="004D6C92">
              <w:t xml:space="preserve">measurement of wind speed </w:t>
            </w:r>
            <w:r w:rsidRPr="004D6C92">
              <w:t>and direction data at an appropriate site and height(s) using a data logging anemometer over a sufficient period of time.</w:t>
            </w:r>
          </w:p>
          <w:p w:rsidR="00000000" w:rsidP="004D6C92">
            <w:pPr>
              <w:pStyle w:val="ListBullet2"/>
              <w:rPr>
                <w:lang w:val="en-NZ"/>
              </w:rPr>
            </w:pPr>
            <w:r w:rsidRPr="004D6C92">
              <w:t>analysis of the recorded wind speed and direction data to determine if the site is suitable for wind energy utilisation.</w:t>
            </w:r>
          </w:p>
        </w:tc>
      </w:tr>
      <w:tr w:rsidTr="00EE5DC0">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T4</w:t>
            </w:r>
            <w:r w:rsidRPr="004D6C92">
              <w:tab/>
              <w:t>Selectio</w:t>
            </w:r>
            <w:r w:rsidRPr="004D6C92">
              <w:t>n of WECS encompassing:</w:t>
            </w:r>
          </w:p>
          <w:p w:rsidR="00000000" w:rsidRPr="004D6C92" w:rsidP="004D6C92">
            <w:pPr>
              <w:pStyle w:val="ListBullet2"/>
            </w:pPr>
            <w:r w:rsidRPr="004D6C92">
              <w:t>selection of suitable WECS specifications to suit site load and wind speed data according to AS4509 including: cut-in, rated and furling wind speeds, blade diameter, rated power at an appropriate rated wind speed, materials of cons</w:t>
            </w:r>
            <w:r w:rsidRPr="004D6C92">
              <w:t>truction.</w:t>
            </w:r>
          </w:p>
          <w:p w:rsidR="00000000" w:rsidRPr="004D6C92" w:rsidP="004D6C92">
            <w:pPr>
              <w:pStyle w:val="ListBullet2"/>
            </w:pPr>
            <w:r w:rsidRPr="004D6C92">
              <w:t>select a suitable commercially available WECS that most closely fits the specifications above.</w:t>
            </w:r>
          </w:p>
          <w:p w:rsidR="00000000" w:rsidRPr="004D6C92" w:rsidP="004D6C92">
            <w:pPr>
              <w:pStyle w:val="ListBullet2"/>
            </w:pPr>
            <w:r w:rsidRPr="004D6C92">
              <w:t>suitable tower requirements at the site including site access, soil type and foundations, structural certification and planning approvals.</w:t>
            </w:r>
          </w:p>
          <w:p w:rsidR="00000000" w:rsidRPr="004D6C92" w:rsidP="004D6C92">
            <w:pPr>
              <w:pStyle w:val="ListBullet2"/>
            </w:pPr>
            <w:r w:rsidRPr="004D6C92">
              <w:t>calculation of the monthly and annual energy output of the selected WECS at the site from wind speed data and load data using appropriate computer software and in accordance with AS4509.</w:t>
            </w:r>
          </w:p>
          <w:p w:rsidR="00000000" w:rsidRPr="004D6C92" w:rsidP="004D6C92">
            <w:pPr>
              <w:pStyle w:val="ListBullet2"/>
            </w:pPr>
            <w:r w:rsidRPr="004D6C92">
              <w:t>height of the tower and the size of the WECS for optimum use.</w:t>
            </w:r>
          </w:p>
          <w:p w:rsidR="00000000" w:rsidRPr="004D6C92" w:rsidP="004D6C92">
            <w:pPr>
              <w:pStyle w:val="ListBullet2"/>
            </w:pPr>
            <w:r w:rsidRPr="004D6C92">
              <w:t>suitabl</w:t>
            </w:r>
            <w:r w:rsidRPr="004D6C92">
              <w:t>e system configurations.</w:t>
            </w:r>
          </w:p>
          <w:p w:rsidR="00000000" w:rsidRPr="004D6C92" w:rsidP="004D6C92">
            <w:pPr>
              <w:pStyle w:val="ListBullet2"/>
            </w:pPr>
            <w:r w:rsidRPr="004D6C92">
              <w:t>balance of system components including: battery storage, inverter, regulator, transmission cable, back-up battery charger and generator.</w:t>
            </w:r>
          </w:p>
          <w:p w:rsidR="00000000" w:rsidRPr="004D6C92" w:rsidP="004D6C92">
            <w:pPr>
              <w:pStyle w:val="ListBullet2"/>
            </w:pPr>
            <w:r w:rsidRPr="004D6C92">
              <w:t>equipment reliability and manufacturer/suppliers back-up service including availability of spa</w:t>
            </w:r>
            <w:r w:rsidRPr="004D6C92">
              <w:t>re parts and service personnel</w:t>
            </w:r>
          </w:p>
          <w:p w:rsidR="00000000" w:rsidRPr="004D6C92" w:rsidP="004D6C92">
            <w:pPr>
              <w:pStyle w:val="ListBullet2"/>
            </w:pPr>
            <w:r w:rsidRPr="004D6C92">
              <w:t>installed capital and life cycle costs of various system configurations according to AS3595 and AS4536.</w:t>
            </w:r>
          </w:p>
          <w:p w:rsidR="00000000" w:rsidRPr="004D6C92" w:rsidP="004D6C92">
            <w:pPr>
              <w:pStyle w:val="ListBullet2"/>
            </w:pPr>
            <w:r w:rsidRPr="004D6C92">
              <w:t>environmental, cultural and social factors that impact on the implementation of a WECS such as: external costs, WECS manu</w:t>
            </w:r>
            <w:r w:rsidRPr="004D6C92">
              <w:t>facturing processes and embodied energy and energy payback time, noise levels, visual amenity, RFI</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10" w:name="O_588872"/>
      <w:bookmarkEnd w:id="10"/>
      <w:r w:rsidRPr="004D6C92">
        <w:t>Evidence Guide</w:t>
      </w:r>
    </w:p>
    <w:tbl>
      <w:tblPr>
        <w:tblW w:w="0" w:type="auto"/>
        <w:tblLayout w:type="fixed"/>
        <w:tblCellMar>
          <w:left w:w="62" w:type="dxa"/>
          <w:right w:w="62" w:type="dxa"/>
        </w:tblCellMar>
        <w:tblLook w:val="0000"/>
      </w:tblPr>
      <w:tblGrid>
        <w:gridCol w:w="8460"/>
      </w:tblGrid>
      <w:tr w:rsidTr="00EE5DC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EVIDENCE GUIDE</w:t>
            </w:r>
          </w:p>
        </w:tc>
      </w:tr>
      <w:tr w:rsidTr="00EE5DC0">
        <w:tblPrEx>
          <w:tblW w:w="0" w:type="auto"/>
          <w:tblLayout w:type="fixed"/>
          <w:tblCellMar>
            <w:left w:w="62" w:type="dxa"/>
            <w:right w:w="62" w:type="dxa"/>
          </w:tblCellMar>
          <w:tblLook w:val="0000"/>
        </w:tblPrEx>
        <w:trPr>
          <w:trHeight w:val="271"/>
        </w:trPr>
        <w:tc>
          <w:tcPr>
            <w:tcW w:w="84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9)</w:t>
            </w:r>
            <w:r w:rsidRPr="004D6C92">
              <w:t xml:space="preserve"> This provides essential advice for assessment of the unit and must be read in conjunction with the </w:t>
            </w:r>
            <w:r w:rsidRPr="004D6C92">
              <w:t>performance criteria and the range statement of the unit and the Training Package Assessment Guidelines.</w:t>
            </w:r>
          </w:p>
          <w:p w:rsidR="00000000" w:rsidRPr="004D6C92" w:rsidP="004D6C92">
            <w:pPr>
              <w:pStyle w:val="BodyText"/>
            </w:pPr>
            <w:r w:rsidRPr="004D6C92">
              <w:t>The Evidence Guide forms an integral part of this unit. It must be used in conjunction with all parts of this unit and performed in accordance with the</w:t>
            </w:r>
            <w:r w:rsidRPr="004D6C92">
              <w:t xml:space="preserve"> Assessment Guidelines of this Training Package</w:t>
            </w:r>
          </w:p>
        </w:tc>
      </w:tr>
    </w:tbl>
    <w:p w:rsidR="00000000" w:rsidRPr="004D6C92" w:rsidP="004D6C92">
      <w:pPr>
        <w:pStyle w:val="BodyText"/>
      </w:pPr>
    </w:p>
    <w:tbl>
      <w:tblPr>
        <w:tblW w:w="0" w:type="auto"/>
        <w:tblLayout w:type="fixed"/>
        <w:tblCellMar>
          <w:left w:w="62" w:type="dxa"/>
          <w:right w:w="62" w:type="dxa"/>
        </w:tblCellMar>
        <w:tblLook w:val="0000"/>
      </w:tblPr>
      <w:tblGrid>
        <w:gridCol w:w="1890"/>
        <w:gridCol w:w="6570"/>
      </w:tblGrid>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9.1)</w:t>
            </w:r>
          </w:p>
        </w:tc>
      </w:tr>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 xml:space="preserve">Longitudinal competency development approaches to assessment, such as Profiling, require data to be reliably gathered in a form that can be consistently interpreted over time. </w:t>
            </w:r>
            <w:r w:rsidRPr="004D6C92">
              <w:t>This approach is best utilised in Apprenticeship programs and reduces assessment intervention. It is the industry-preferred model for apprenticeships. However, where summative (or final) assessment is used it is to include the application of the competency</w:t>
            </w:r>
            <w:r w:rsidRPr="004D6C92">
              <w:t xml:space="preserve"> in the normal work environment or, at a minimum, the application of the competency in a realistically simulated work environment. In some circumstances, assessment in part or full can occur outside the workplace. However, it must be in accordance with ind</w:t>
            </w:r>
            <w:r w:rsidRPr="004D6C92">
              <w:t>ustry and regulatory policy.</w:t>
            </w:r>
          </w:p>
          <w:p w:rsidR="00000000" w:rsidRPr="004D6C92" w:rsidP="004D6C92">
            <w:pPr>
              <w:pStyle w:val="BodyText"/>
            </w:pPr>
            <w:r w:rsidRPr="004D6C92">
              <w:t>Methods chosen for a particular assessment will be influenced by various factors. These include the extent of the assessment, the most effective locations for the assessment activities to take place, access to physical resource</w:t>
            </w:r>
            <w:r w:rsidRPr="004D6C92">
              <w:t>s, additional safety measures that may be required and the critical nature of the competencies being assessed.</w:t>
            </w:r>
          </w:p>
          <w:p w:rsidR="00000000" w:rsidRPr="004D6C92" w:rsidP="004D6C92">
            <w:pPr>
              <w:pStyle w:val="BodyText"/>
            </w:pPr>
            <w:r w:rsidRPr="004D6C92">
              <w:t>The critical safety issues inherent in working with electricity, electrical equipment, gas or any other hazardous substance/material present a ch</w:t>
            </w:r>
            <w:r w:rsidRPr="004D6C92">
              <w:t>allenge for those determining competence. Sources of evidence need to be ‘rich’ in nature to minimise error in judgment.</w:t>
            </w:r>
          </w:p>
          <w:p w:rsidR="00000000" w:rsidRPr="004D6C92" w:rsidP="004D6C92">
            <w:pPr>
              <w:pStyle w:val="BodyText"/>
            </w:pPr>
            <w:r w:rsidRPr="004D6C92">
              <w:t>Activities associated with normal everyday work have a bearing on the decisio</w:t>
            </w:r>
            <w:r w:rsidRPr="004D6C92">
              <w:t>n as to how much and how detailed the data gathered will contribute to its ‘richness’. Some skills are more critical to safety and operational requirements while the same skills may be more or less frequently practised. These points are raised for the asse</w:t>
            </w:r>
            <w:r w:rsidRPr="004D6C92">
              <w:t>ssors to consider when choosing an assessment method and developing assessment instruments. Sample assessment instruments are included for Assessors in the Assessment Guidelines of this Training Package.</w:t>
            </w:r>
          </w:p>
        </w:tc>
      </w:tr>
    </w:tbl>
    <w:p w:rsidR="00000000" w:rsidRPr="004D6C92" w:rsidP="004D6C92">
      <w:pPr>
        <w:pStyle w:val="BodyText"/>
      </w:pPr>
    </w:p>
    <w:tbl>
      <w:tblPr>
        <w:tblW w:w="0" w:type="auto"/>
        <w:tblLayout w:type="fixed"/>
        <w:tblCellMar>
          <w:left w:w="62" w:type="dxa"/>
          <w:right w:w="62" w:type="dxa"/>
        </w:tblCellMar>
        <w:tblLook w:val="0000"/>
      </w:tblPr>
      <w:tblGrid>
        <w:gridCol w:w="1890"/>
        <w:gridCol w:w="1530"/>
        <w:gridCol w:w="5040"/>
      </w:tblGrid>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Critical aspects of evidence required to demonstra</w:t>
            </w:r>
            <w:r w:rsidRPr="004D6C92">
              <w:rPr>
                <w:rStyle w:val="SpecialBold"/>
              </w:rPr>
              <w:t>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9.2)</w:t>
            </w:r>
          </w:p>
        </w:tc>
      </w:tr>
      <w:tr w:rsidTr="00EE5DC0">
        <w:tblPrEx>
          <w:tblW w:w="0" w:type="auto"/>
          <w:tblLayout w:type="fixed"/>
          <w:tblCellMar>
            <w:left w:w="62" w:type="dxa"/>
            <w:right w:w="62" w:type="dxa"/>
          </w:tblCellMar>
          <w:tblLook w:val="0000"/>
        </w:tblPrEx>
        <w:trPr>
          <w:trHeight w:val="612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Before the critical aspects of evidence are considered all prerequisites must be met.</w:t>
            </w:r>
          </w:p>
          <w:p w:rsidR="00000000" w:rsidRPr="004D6C92" w:rsidP="004D6C92">
            <w:pPr>
              <w:pStyle w:val="BodyText"/>
            </w:pPr>
            <w:r w:rsidRPr="004D6C92">
              <w:t>Evidence for competence in this unit must be considered holistically.  Each element and associated performance criteria must be demonst</w:t>
            </w:r>
            <w:r w:rsidRPr="004D6C92">
              <w:t>rated on at least two occasions in accordance with the ‘Assessment Guidelines – UEE11’.  Evidence must also comprise:</w:t>
            </w:r>
          </w:p>
          <w:p w:rsidR="00000000" w:rsidRPr="004D6C92" w:rsidP="004D6C92">
            <w:pPr>
              <w:pStyle w:val="ListBullet"/>
            </w:pPr>
            <w:r w:rsidRPr="004D6C92">
              <w:t>A representative body of work performance demonstrated within the timeframes typically expected of the discipline, work function and indu</w:t>
            </w:r>
            <w:r w:rsidRPr="004D6C92">
              <w:t>strial environment. In particular this must  incorporate evidence that shows a candidate is able to:</w:t>
            </w:r>
          </w:p>
          <w:p w:rsidR="00000000" w:rsidRPr="004D6C92" w:rsidP="004D6C92">
            <w:pPr>
              <w:pStyle w:val="ListBullet2"/>
            </w:pPr>
            <w:r w:rsidRPr="004D6C92">
              <w:t xml:space="preserve">Implement Occupational Health and Safety workplace procedures and practices including </w:t>
            </w:r>
            <w:r w:rsidRPr="004D6C92">
              <w:t>the use of risk control measures as specified in the performance criteria and range statement</w:t>
            </w:r>
          </w:p>
          <w:p w:rsidR="00000000" w:rsidRPr="004D6C92" w:rsidP="004D6C92">
            <w:pPr>
              <w:pStyle w:val="ListBullet2"/>
            </w:pPr>
            <w:r w:rsidRPr="004D6C92">
              <w:t>Apply sustainable energy principles and practices as specified in the performance criteria and range statement</w:t>
            </w:r>
          </w:p>
          <w:p w:rsidR="00000000" w:rsidRPr="004D6C92" w:rsidP="004D6C92">
            <w:pPr>
              <w:pStyle w:val="ListBullet2"/>
            </w:pPr>
            <w:r w:rsidRPr="004D6C92">
              <w:t>Demonstrate an understanding of the essential knowl</w:t>
            </w:r>
            <w:r w:rsidRPr="004D6C92">
              <w:t>edge and associated skills as described in this unit.  It may be required by some jurisdictions that RTOs provide a percentile graded result for the purpose of regulatory or licensing requirements.</w:t>
            </w:r>
          </w:p>
          <w:p w:rsidR="00000000" w:rsidRPr="004D6C92" w:rsidP="004D6C92">
            <w:pPr>
              <w:pStyle w:val="ListBullet2"/>
            </w:pPr>
            <w:r w:rsidRPr="004D6C92">
              <w:t>Demonstrate an appropriate level of skills enabling employ</w:t>
            </w:r>
            <w:r w:rsidRPr="004D6C92">
              <w:t>ment</w:t>
            </w:r>
          </w:p>
          <w:p w:rsidR="00000000" w:rsidRPr="004D6C92" w:rsidP="004D6C92">
            <w:pPr>
              <w:pStyle w:val="ListBullet2"/>
            </w:pPr>
            <w:r w:rsidRPr="004D6C92">
              <w:t>Conduct work observing the relevant Anti Discrimination legislation, regulations, polices and workplace procedures</w:t>
            </w:r>
          </w:p>
          <w:p w:rsidR="00000000" w:rsidRPr="004D6C92" w:rsidP="004D6C92">
            <w:pPr>
              <w:pStyle w:val="ListBullet"/>
            </w:pPr>
            <w:r w:rsidRPr="004D6C92">
              <w:t>Demonstrated consistent performance across a representative range of contexts from the prescribed items below:</w:t>
            </w:r>
          </w:p>
          <w:p w:rsidR="00000000" w:rsidP="004D6C92">
            <w:pPr>
              <w:pStyle w:val="ListBullet2"/>
              <w:rPr>
                <w:lang w:val="en-NZ"/>
              </w:rPr>
            </w:pPr>
            <w:r w:rsidRPr="004D6C92">
              <w:t>Design wind energy conv</w:t>
            </w:r>
            <w:r w:rsidRPr="004D6C92">
              <w:t>ersion systems rated to 10 kW as described in 8) and including:</w:t>
            </w:r>
          </w:p>
        </w:tc>
      </w:tr>
      <w:tr w:rsidTr="00EE5DC0">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A</w:t>
            </w:r>
          </w:p>
        </w:tc>
        <w:tc>
          <w:tcPr>
            <w:tcW w:w="504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Developing outlines of alternative designs</w:t>
            </w:r>
          </w:p>
        </w:tc>
      </w:tr>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B</w:t>
            </w:r>
          </w:p>
        </w:tc>
        <w:tc>
          <w:tcPr>
            <w:tcW w:w="504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Developing the design within the safety and functional requirements and budget limitations</w:t>
            </w:r>
          </w:p>
        </w:tc>
      </w:tr>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C</w:t>
            </w:r>
          </w:p>
        </w:tc>
        <w:tc>
          <w:tcPr>
            <w:tcW w:w="504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Documenting and presenting design effectively</w:t>
            </w:r>
          </w:p>
        </w:tc>
      </w:tr>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D</w:t>
            </w:r>
          </w:p>
        </w:tc>
        <w:tc>
          <w:tcPr>
            <w:tcW w:w="504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Successfully negotiating design alteration requests</w:t>
            </w:r>
          </w:p>
        </w:tc>
      </w:tr>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E</w:t>
            </w:r>
          </w:p>
        </w:tc>
        <w:tc>
          <w:tcPr>
            <w:tcW w:w="504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Obtaining approval for final design</w:t>
            </w:r>
          </w:p>
        </w:tc>
      </w:tr>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F</w:t>
            </w:r>
          </w:p>
        </w:tc>
        <w:tc>
          <w:tcPr>
            <w:tcW w:w="504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 xml:space="preserve">Dealing with unplanned events by drawing on essential knowledge and skills to provide appropriate solutions incorporated in a holistic assessment with the </w:t>
            </w:r>
            <w:r w:rsidRPr="004D6C92">
              <w:t>above listed items</w:t>
            </w:r>
          </w:p>
        </w:tc>
      </w:tr>
    </w:tbl>
    <w:p w:rsidR="00000000" w:rsidRPr="004D6C92" w:rsidP="004D6C92">
      <w:pPr>
        <w:pStyle w:val="BodyText"/>
      </w:pPr>
    </w:p>
    <w:tbl>
      <w:tblPr>
        <w:tblW w:w="0" w:type="auto"/>
        <w:tblLayout w:type="fixed"/>
        <w:tblCellMar>
          <w:left w:w="62" w:type="dxa"/>
          <w:right w:w="62" w:type="dxa"/>
        </w:tblCellMar>
        <w:tblLook w:val="0000"/>
      </w:tblPr>
      <w:tblGrid>
        <w:gridCol w:w="1890"/>
        <w:gridCol w:w="6570"/>
      </w:tblGrid>
      <w:tr w:rsidTr="00EE5DC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9.3)</w:t>
            </w:r>
          </w:p>
        </w:tc>
      </w:tr>
      <w:tr w:rsidTr="00EE5DC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This unit should be assessed as it relates to normal work practice using procedures, information and resources typical of a workplace. This should include:</w:t>
            </w:r>
          </w:p>
          <w:p w:rsidR="00000000" w:rsidRPr="004D6C92" w:rsidP="004D6C92">
            <w:pPr>
              <w:pStyle w:val="ListBullet2"/>
            </w:pPr>
            <w:r w:rsidRPr="004D6C92">
              <w:t>OHS policy and work procedures and instructions.</w:t>
            </w:r>
          </w:p>
          <w:p w:rsidR="00000000" w:rsidRPr="004D6C92" w:rsidP="004D6C92">
            <w:pPr>
              <w:pStyle w:val="ListBullet2"/>
            </w:pPr>
            <w:r w:rsidRPr="004D6C92">
              <w:t>Suitable work environment, facilities, equipment and materials to undertake actual work as prescribed by this unit.</w:t>
            </w:r>
          </w:p>
          <w:p w:rsidR="00000000" w:rsidRPr="004D6C92" w:rsidP="004D6C92">
            <w:pPr>
              <w:pStyle w:val="BodyText"/>
            </w:pPr>
            <w:r w:rsidRPr="004D6C92">
              <w:t>These should be part of the formal learning/assessment environment.</w:t>
            </w:r>
          </w:p>
          <w:p w:rsidR="00000000" w:rsidRPr="004D6C92" w:rsidP="004D6C92">
            <w:pPr>
              <w:pStyle w:val="BodyText"/>
            </w:pPr>
            <w:r w:rsidRPr="004D6C92">
              <w:t>Note:</w:t>
            </w:r>
          </w:p>
          <w:p w:rsidR="00000000" w:rsidRPr="004D6C92" w:rsidP="004D6C92">
            <w:pPr>
              <w:pStyle w:val="BodyText"/>
            </w:pPr>
            <w:r w:rsidRPr="004D6C92">
              <w:t xml:space="preserve">Where simulation </w:t>
            </w:r>
            <w:r w:rsidRPr="004D6C92">
              <w:t>is considered a suitable strategy for assessment, conditions must be authentic and as far as possible reproduce and replicate the workplace and be consistent with the approved industry simulation policy.</w:t>
            </w:r>
          </w:p>
          <w:p w:rsidR="00000000" w:rsidRPr="004D6C92" w:rsidP="004D6C92">
            <w:pPr>
              <w:pStyle w:val="BodyText"/>
            </w:pPr>
            <w:r w:rsidRPr="004D6C92">
              <w:t>The resources used for assessment should reflect cur</w:t>
            </w:r>
            <w:r w:rsidRPr="004D6C92">
              <w:t>rent industry practices in relation to designing wind energy conversion systems rated to 10 kW.</w:t>
            </w:r>
          </w:p>
        </w:tc>
      </w:tr>
    </w:tbl>
    <w:p w:rsidR="00000000" w:rsidRPr="004D6C92" w:rsidP="004D6C92">
      <w:pPr>
        <w:pStyle w:val="BodyText"/>
      </w:pPr>
    </w:p>
    <w:tbl>
      <w:tblPr>
        <w:tblW w:w="0" w:type="auto"/>
        <w:tblLayout w:type="fixed"/>
        <w:tblCellMar>
          <w:left w:w="62" w:type="dxa"/>
          <w:right w:w="62" w:type="dxa"/>
        </w:tblCellMar>
        <w:tblLook w:val="0000"/>
      </w:tblPr>
      <w:tblGrid>
        <w:gridCol w:w="1890"/>
        <w:gridCol w:w="6570"/>
      </w:tblGrid>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9.4)</w:t>
            </w:r>
          </w:p>
        </w:tc>
      </w:tr>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This unit shall be assessed by methods given in Volume 1, Part 3 ‘Assessment Guidelines’.</w:t>
            </w:r>
          </w:p>
          <w:p w:rsidR="00000000" w:rsidRPr="004D6C92" w:rsidP="004D6C92">
            <w:pPr>
              <w:pStyle w:val="BodyText"/>
            </w:pPr>
            <w:r w:rsidRPr="004D6C92">
              <w:t xml:space="preserve">Note: </w:t>
            </w:r>
          </w:p>
          <w:p w:rsidR="00000000" w:rsidRPr="004D6C92" w:rsidP="004D6C92">
            <w:pPr>
              <w:pStyle w:val="BodyText"/>
            </w:pPr>
            <w:r w:rsidRPr="004D6C92">
              <w:t>Competent performance with inherent safe working practices is expected in the Industry to which this unit applies. This requires assessment in a structured environment which is intended primarily for learning/assessment and incorporates all necessary equip</w:t>
            </w:r>
            <w:r w:rsidRPr="004D6C92">
              <w:t>ment and facilities for learners to develop and demonstrate the essential knowledge and skills described in this unit.</w:t>
            </w:r>
          </w:p>
        </w:tc>
      </w:tr>
    </w:tbl>
    <w:p w:rsidR="00000000" w:rsidRPr="004D6C92" w:rsidP="004D6C92">
      <w:pPr>
        <w:pStyle w:val="BodyText"/>
      </w:pPr>
    </w:p>
    <w:tbl>
      <w:tblPr>
        <w:tblW w:w="0" w:type="auto"/>
        <w:tblLayout w:type="fixed"/>
        <w:tblCellMar>
          <w:left w:w="62" w:type="dxa"/>
          <w:right w:w="62" w:type="dxa"/>
        </w:tblCellMar>
        <w:tblLook w:val="0000"/>
      </w:tblPr>
      <w:tblGrid>
        <w:gridCol w:w="1890"/>
        <w:gridCol w:w="1530"/>
        <w:gridCol w:w="5040"/>
      </w:tblGrid>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9.5)</w:t>
            </w:r>
          </w:p>
        </w:tc>
      </w:tr>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For optimisation of training and assessment effort, competency development in this unit may be arranged concurrently with unit:</w:t>
            </w:r>
          </w:p>
        </w:tc>
      </w:tr>
      <w:tr w:rsidTr="00EE5D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t>UEENEED101A</w:t>
            </w:r>
          </w:p>
        </w:tc>
        <w:tc>
          <w:tcPr>
            <w:tcW w:w="504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Use computer applications relevant to a workplace</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11" w:name="O_588871"/>
      <w:bookmarkEnd w:id="11"/>
      <w:r w:rsidRPr="004D6C92">
        <w:t>Range Statement</w:t>
      </w:r>
    </w:p>
    <w:tbl>
      <w:tblPr>
        <w:tblW w:w="0" w:type="auto"/>
        <w:tblLayout w:type="fixed"/>
        <w:tblCellMar>
          <w:left w:w="62" w:type="dxa"/>
          <w:right w:w="62" w:type="dxa"/>
        </w:tblCellMar>
        <w:tblLook w:val="0000"/>
      </w:tblPr>
      <w:tblGrid>
        <w:gridCol w:w="8460"/>
      </w:tblGrid>
      <w:tr w:rsidTr="00EE5DC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RANGE STATEMENT</w:t>
            </w:r>
          </w:p>
        </w:tc>
      </w:tr>
      <w:tr w:rsidTr="00EE5DC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10)</w:t>
            </w:r>
            <w:r w:rsidRPr="004D6C92">
              <w:t xml:space="preserve"> This relates to the unit as a whole providing the range of contexts and conditions to which the performance criteria apply. It allows for different work environments and situations that will affect performance.</w:t>
            </w:r>
          </w:p>
          <w:p w:rsidR="00000000" w:rsidRPr="004D6C92" w:rsidP="004D6C92">
            <w:pPr>
              <w:pStyle w:val="BodyText"/>
            </w:pPr>
            <w:r w:rsidRPr="004D6C92">
              <w:t>This unit must be demonstrated in relation t</w:t>
            </w:r>
            <w:r w:rsidRPr="004D6C92">
              <w:t>o designing at least two different wind energy conversion systems and their installation.</w:t>
            </w:r>
          </w:p>
          <w:p w:rsidR="00000000" w:rsidRPr="004D6C92" w:rsidP="004D6C92">
            <w:pPr>
              <w:pStyle w:val="BodyText"/>
            </w:pPr>
            <w:r w:rsidRPr="004D6C92">
              <w:t>Generic terms used throughout this Vocational Standard shall be regarded as part of the Range Statement in which competency is demonstrated. The definition of these a</w:t>
            </w:r>
            <w:r w:rsidRPr="004D6C92">
              <w:t>nd other terms that apply are given in Volume 2, Part 2.1.</w:t>
            </w:r>
          </w:p>
        </w:tc>
      </w:tr>
    </w:tbl>
    <w:p w:rsidR="00000000" w:rsidRPr="004D6C92" w:rsidP="004D6C92">
      <w:pPr>
        <w:pStyle w:val="BodyText"/>
      </w:pPr>
    </w:p>
    <w:p w:rsidR="00000000" w:rsidRPr="004D6C92" w:rsidP="004D6C92">
      <w:pPr>
        <w:pStyle w:val="AllowPageBreak"/>
      </w:pPr>
    </w:p>
    <w:p w:rsidR="00000000" w:rsidRPr="004D6C92" w:rsidP="004D6C92">
      <w:pPr>
        <w:pStyle w:val="Heading1"/>
      </w:pPr>
      <w:bookmarkStart w:id="12" w:name="O_588870"/>
      <w:bookmarkEnd w:id="12"/>
      <w:r w:rsidRPr="004D6C92">
        <w:t>Unit Sector(s)</w:t>
      </w:r>
    </w:p>
    <w:p w:rsidR="00000000" w:rsidRPr="004D6C92" w:rsidP="004D6C92">
      <w:pPr>
        <w:pStyle w:val="BodyText"/>
      </w:pPr>
      <w:r w:rsidRPr="004D6C92">
        <w:t>Not applicable.</w:t>
      </w:r>
    </w:p>
    <w:p w:rsidR="00000000" w:rsidRPr="004D6C92" w:rsidP="004D6C92">
      <w:pPr>
        <w:pStyle w:val="AllowPageBreak"/>
      </w:pPr>
    </w:p>
    <w:p w:rsidR="00000000" w:rsidRPr="004D6C92" w:rsidP="004D6C92">
      <w:pPr>
        <w:pStyle w:val="Heading1"/>
      </w:pPr>
      <w:bookmarkStart w:id="13" w:name="O_588869"/>
      <w:bookmarkEnd w:id="13"/>
      <w:r w:rsidRPr="004D6C92">
        <w:t>Competency Field</w:t>
      </w:r>
    </w:p>
    <w:tbl>
      <w:tblPr>
        <w:tblW w:w="0" w:type="auto"/>
        <w:tblLayout w:type="fixed"/>
        <w:tblCellMar>
          <w:left w:w="62" w:type="dxa"/>
          <w:right w:w="62" w:type="dxa"/>
        </w:tblCellMar>
        <w:tblLook w:val="0000"/>
      </w:tblPr>
      <w:tblGrid>
        <w:gridCol w:w="2700"/>
        <w:gridCol w:w="5760"/>
      </w:tblGrid>
      <w:tr w:rsidTr="00EE5D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D6C92">
            <w:pPr>
              <w:pStyle w:val="BodyText"/>
              <w:rPr>
                <w:lang w:val="en-NZ"/>
              </w:rPr>
            </w:pPr>
            <w:r w:rsidRPr="004D6C92">
              <w:rPr>
                <w:rStyle w:val="SpecialBold"/>
              </w:rPr>
              <w:t xml:space="preserve">11) </w:t>
            </w:r>
          </w:p>
        </w:tc>
      </w:tr>
      <w:tr w:rsidTr="00EE5D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6C92" w:rsidP="004D6C92">
            <w:pPr>
              <w:pStyle w:val="BodyText"/>
            </w:pPr>
            <w:r w:rsidRPr="004D6C92">
              <w:t>Renewable and Sustainable Energy</w:t>
            </w:r>
          </w:p>
        </w:tc>
      </w:tr>
    </w:tbl>
    <w:p w:rsidR="00000000" w:rsidRPr="004D6C92" w:rsidP="004D6C92">
      <w:pPr>
        <w:pStyle w:val="BodyText"/>
      </w:pPr>
    </w:p>
    <w:p w:rsidR="00000000" w:rsidRPr="004D6C92" w:rsidP="004D6C92"/>
    <w:sectPr w:rsidSect="004D6C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92" w:rsidRPr="00EE5DC0" w:rsidP="00EE5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DC0" w:rsidP="004D6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5DC0" w:rsidP="004D6C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E5DC0" w:rsidP="004D6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92" w:rsidRPr="00EE5DC0" w:rsidP="00EE5D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DC0" w:rsidRPr="002D2AF8" w:rsidP="004D6C92">
    <w:pPr>
      <w:pStyle w:val="Header"/>
      <w:framePr w:wrap="around"/>
    </w:pPr>
    <w:r>
      <w:fldChar w:fldCharType="begin"/>
    </w:r>
    <w:r>
      <w:instrText xml:space="preserve"> TITLE   \* MERGEFORMAT </w:instrText>
    </w:r>
    <w:r>
      <w:fldChar w:fldCharType="separate"/>
    </w:r>
    <w:r>
      <w:t>UEENEEK131A Design wind energy conversion systems (WECS) rated to 10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E5DC0" w:rsidP="004D6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520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987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E4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C92"/>
    <w:pPr>
      <w:spacing w:before="360" w:after="60"/>
      <w:outlineLvl w:val="0"/>
    </w:pPr>
    <w:rPr>
      <w:sz w:val="32"/>
    </w:rPr>
  </w:style>
  <w:style w:type="paragraph" w:styleId="Heading2">
    <w:name w:val="heading 2"/>
    <w:basedOn w:val="HeadingBase"/>
    <w:next w:val="BodyText"/>
    <w:link w:val="Heading2Char"/>
    <w:qFormat/>
    <w:rsid w:val="004D6C92"/>
    <w:pPr>
      <w:keepLines/>
      <w:spacing w:before="240" w:after="120"/>
      <w:outlineLvl w:val="1"/>
    </w:pPr>
    <w:rPr>
      <w:sz w:val="28"/>
      <w:szCs w:val="40"/>
    </w:rPr>
  </w:style>
  <w:style w:type="paragraph" w:styleId="Heading3">
    <w:name w:val="heading 3"/>
    <w:basedOn w:val="HeadingBase"/>
    <w:next w:val="BodyText"/>
    <w:link w:val="Heading3Char"/>
    <w:qFormat/>
    <w:rsid w:val="004D6C92"/>
    <w:pPr>
      <w:spacing w:before="180" w:after="120"/>
      <w:outlineLvl w:val="2"/>
    </w:pPr>
    <w:rPr>
      <w:spacing w:val="-10"/>
      <w:kern w:val="32"/>
    </w:rPr>
  </w:style>
  <w:style w:type="paragraph" w:styleId="Heading4">
    <w:name w:val="heading 4"/>
    <w:basedOn w:val="HeadingBase"/>
    <w:next w:val="BodyText"/>
    <w:link w:val="Heading4Char"/>
    <w:qFormat/>
    <w:rsid w:val="004D6C92"/>
    <w:pPr>
      <w:spacing w:before="160" w:after="120"/>
      <w:outlineLvl w:val="3"/>
    </w:pPr>
    <w:rPr>
      <w:sz w:val="22"/>
    </w:rPr>
  </w:style>
  <w:style w:type="paragraph" w:styleId="Heading5">
    <w:name w:val="heading 5"/>
    <w:basedOn w:val="HeadingBase"/>
    <w:next w:val="Normal"/>
    <w:link w:val="Heading5Char"/>
    <w:qFormat/>
    <w:rsid w:val="004D6C92"/>
    <w:pPr>
      <w:spacing w:before="80"/>
      <w:outlineLvl w:val="4"/>
    </w:pPr>
    <w:rPr>
      <w:color w:val="918585"/>
      <w:sz w:val="20"/>
    </w:rPr>
  </w:style>
  <w:style w:type="paragraph" w:styleId="Heading6">
    <w:name w:val="heading 6"/>
    <w:basedOn w:val="HeadingBase"/>
    <w:next w:val="Normal"/>
    <w:link w:val="Heading6Char"/>
    <w:qFormat/>
    <w:rsid w:val="004D6C92"/>
    <w:pPr>
      <w:spacing w:before="60"/>
      <w:outlineLvl w:val="5"/>
    </w:pPr>
    <w:rPr>
      <w:color w:val="918585"/>
      <w:sz w:val="20"/>
    </w:rPr>
  </w:style>
  <w:style w:type="paragraph" w:styleId="Heading7">
    <w:name w:val="heading 7"/>
    <w:basedOn w:val="Normal"/>
    <w:next w:val="Normal"/>
    <w:link w:val="Heading7Char"/>
    <w:qFormat/>
    <w:rsid w:val="004D6C92"/>
    <w:pPr>
      <w:ind w:left="720"/>
      <w:outlineLvl w:val="6"/>
    </w:pPr>
    <w:rPr>
      <w:i/>
    </w:rPr>
  </w:style>
  <w:style w:type="paragraph" w:styleId="Heading8">
    <w:name w:val="heading 8"/>
    <w:basedOn w:val="Normal"/>
    <w:next w:val="Normal"/>
    <w:link w:val="Heading8Char"/>
    <w:qFormat/>
    <w:rsid w:val="004D6C92"/>
    <w:pPr>
      <w:ind w:left="720"/>
      <w:outlineLvl w:val="7"/>
    </w:pPr>
    <w:rPr>
      <w:i/>
    </w:rPr>
  </w:style>
  <w:style w:type="paragraph" w:styleId="Heading9">
    <w:name w:val="heading 9"/>
    <w:basedOn w:val="Normal"/>
    <w:next w:val="Normal"/>
    <w:link w:val="Heading9Char"/>
    <w:qFormat/>
    <w:rsid w:val="004D6C92"/>
    <w:pPr>
      <w:ind w:left="720"/>
      <w:outlineLvl w:val="8"/>
    </w:pPr>
    <w:rPr>
      <w:i/>
    </w:rPr>
  </w:style>
  <w:style w:type="character" w:default="1" w:styleId="DefaultParagraphFont">
    <w:name w:val="Default Paragraph Font"/>
    <w:uiPriority w:val="1"/>
    <w:unhideWhenUsed/>
    <w:rsid w:val="004D6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C92"/>
  </w:style>
  <w:style w:type="character" w:customStyle="1" w:styleId="Heading1Char">
    <w:name w:val="Heading 1 Char"/>
    <w:basedOn w:val="DefaultParagraphFont"/>
    <w:link w:val="Heading1"/>
    <w:rsid w:val="004D6C92"/>
    <w:rPr>
      <w:rFonts w:ascii="Times New Roman" w:eastAsia="Times New Roman" w:hAnsi="Times New Roman" w:cs="Times New Roman"/>
      <w:b/>
      <w:sz w:val="32"/>
      <w:szCs w:val="20"/>
      <w:lang w:eastAsia="en-US"/>
    </w:rPr>
  </w:style>
  <w:style w:type="paragraph" w:styleId="BodyText">
    <w:name w:val="Body Text"/>
    <w:basedOn w:val="Normal"/>
    <w:link w:val="BodyTextChar"/>
    <w:rsid w:val="004D6C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6C92"/>
    <w:rPr>
      <w:rFonts w:ascii="Times New Roman" w:eastAsia="Times New Roman" w:hAnsi="Times New Roman" w:cs="Times New Roman"/>
      <w:sz w:val="24"/>
      <w:lang w:eastAsia="en-US"/>
    </w:rPr>
  </w:style>
  <w:style w:type="paragraph" w:styleId="ListBullet">
    <w:name w:val="List Bullet"/>
    <w:basedOn w:val="List"/>
    <w:rsid w:val="004D6C92"/>
    <w:pPr>
      <w:numPr>
        <w:numId w:val="13"/>
      </w:numPr>
      <w:tabs>
        <w:tab w:val="clear" w:pos="340"/>
      </w:tabs>
      <w:spacing w:before="40" w:after="40"/>
    </w:pPr>
  </w:style>
  <w:style w:type="character" w:customStyle="1" w:styleId="SpecialBold">
    <w:name w:val="Special Bold"/>
    <w:basedOn w:val="DefaultParagraphFont"/>
    <w:rsid w:val="004D6C92"/>
    <w:rPr>
      <w:b/>
      <w:spacing w:val="0"/>
    </w:rPr>
  </w:style>
  <w:style w:type="paragraph" w:styleId="ListBullet2">
    <w:name w:val="List Bullet 2"/>
    <w:basedOn w:val="List2"/>
    <w:rsid w:val="004D6C92"/>
    <w:pPr>
      <w:numPr>
        <w:numId w:val="14"/>
      </w:numPr>
      <w:tabs>
        <w:tab w:val="clear" w:pos="680"/>
      </w:tabs>
    </w:pPr>
  </w:style>
  <w:style w:type="paragraph" w:customStyle="1" w:styleId="SuperHeading">
    <w:name w:val="SuperHeading"/>
    <w:basedOn w:val="Normal"/>
    <w:rsid w:val="004D6C92"/>
    <w:pPr>
      <w:spacing w:before="240" w:after="120"/>
      <w:outlineLvl w:val="0"/>
    </w:pPr>
    <w:rPr>
      <w:rFonts w:ascii="Times New Roman" w:hAnsi="Times New Roman"/>
      <w:b/>
      <w:sz w:val="32"/>
    </w:rPr>
  </w:style>
  <w:style w:type="paragraph" w:customStyle="1" w:styleId="AllowPageBreak">
    <w:name w:val="AllowPageBreak"/>
    <w:rsid w:val="004D6C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C92"/>
    <w:rPr>
      <w:rFonts w:ascii="Courier New" w:eastAsia="Times New Roman" w:hAnsi="Courier New" w:cs="Times New Roman"/>
      <w:i/>
      <w:szCs w:val="20"/>
      <w:lang w:eastAsia="en-US"/>
    </w:rPr>
  </w:style>
  <w:style w:type="paragraph" w:customStyle="1" w:styleId="HeadingBase">
    <w:name w:val="Heading Base"/>
    <w:rsid w:val="004D6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C92"/>
    <w:pPr>
      <w:tabs>
        <w:tab w:val="right" w:leader="dot" w:pos="9072"/>
      </w:tabs>
      <w:ind w:left="567"/>
    </w:pPr>
    <w:rPr>
      <w:szCs w:val="22"/>
    </w:rPr>
  </w:style>
  <w:style w:type="paragraph" w:customStyle="1" w:styleId="TOCBase">
    <w:name w:val="TOC Base"/>
    <w:rsid w:val="004D6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C92"/>
    <w:pPr>
      <w:tabs>
        <w:tab w:val="right" w:leader="dot" w:pos="9072"/>
      </w:tabs>
      <w:spacing w:before="40" w:after="40"/>
      <w:ind w:left="284"/>
    </w:pPr>
    <w:rPr>
      <w:rFonts w:ascii="Times New Roman" w:hAnsi="Times New Roman"/>
    </w:rPr>
  </w:style>
  <w:style w:type="paragraph" w:styleId="TOC1">
    <w:name w:val="toc 1"/>
    <w:basedOn w:val="TOCBase"/>
    <w:next w:val="Normal"/>
    <w:rsid w:val="004D6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C92"/>
    <w:rPr>
      <w:rFonts w:ascii="Times New Roman" w:eastAsia="Times New Roman" w:hAnsi="Times New Roman" w:cs="Times New Roman"/>
      <w:sz w:val="16"/>
      <w:lang w:eastAsia="en-US"/>
    </w:rPr>
  </w:style>
  <w:style w:type="paragraph" w:styleId="Title">
    <w:name w:val="Title"/>
    <w:basedOn w:val="HeadingBase"/>
    <w:link w:val="TitleChar"/>
    <w:qFormat/>
    <w:rsid w:val="004D6C92"/>
    <w:pPr>
      <w:spacing w:before="5040"/>
      <w:jc w:val="center"/>
    </w:pPr>
    <w:rPr>
      <w:sz w:val="48"/>
      <w:szCs w:val="72"/>
      <w:lang w:val="en-US"/>
    </w:rPr>
  </w:style>
  <w:style w:type="character" w:customStyle="1" w:styleId="TitleChar">
    <w:name w:val="Title Char"/>
    <w:basedOn w:val="DefaultParagraphFont"/>
    <w:link w:val="Title"/>
    <w:rsid w:val="004D6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C92"/>
    <w:pPr>
      <w:tabs>
        <w:tab w:val="left" w:pos="3600"/>
        <w:tab w:val="left" w:pos="3958"/>
      </w:tabs>
    </w:pPr>
  </w:style>
  <w:style w:type="paragraph" w:styleId="List">
    <w:name w:val="List"/>
    <w:basedOn w:val="BodyText"/>
    <w:next w:val="BodyText"/>
    <w:rsid w:val="004D6C92"/>
    <w:pPr>
      <w:tabs>
        <w:tab w:val="left" w:pos="340"/>
      </w:tabs>
      <w:spacing w:before="60" w:after="60"/>
      <w:ind w:left="340" w:hanging="340"/>
    </w:pPr>
  </w:style>
  <w:style w:type="paragraph" w:customStyle="1" w:styleId="Note">
    <w:name w:val="Note"/>
    <w:basedOn w:val="BodyText"/>
    <w:rsid w:val="004D6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C92"/>
    <w:pPr>
      <w:framePr w:wrap="auto" w:hAnchor="text" w:y="6049"/>
    </w:pPr>
    <w:rPr>
      <w:color w:val="000000"/>
      <w:sz w:val="40"/>
    </w:rPr>
  </w:style>
  <w:style w:type="paragraph" w:customStyle="1" w:styleId="TOCTitle">
    <w:name w:val="TOCTitle"/>
    <w:basedOn w:val="Heading1"/>
    <w:rsid w:val="004D6C92"/>
    <w:pPr>
      <w:spacing w:after="240"/>
      <w:jc w:val="center"/>
      <w:outlineLvl w:val="9"/>
    </w:pPr>
    <w:rPr>
      <w:caps/>
    </w:rPr>
  </w:style>
  <w:style w:type="paragraph" w:customStyle="1" w:styleId="Version">
    <w:name w:val="Version"/>
    <w:rsid w:val="004D6C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C92"/>
    <w:pPr>
      <w:keepNext w:val="0"/>
      <w:tabs>
        <w:tab w:val="right" w:pos="4176"/>
      </w:tabs>
      <w:ind w:left="198" w:hanging="198"/>
    </w:pPr>
    <w:rPr>
      <w:rFonts w:ascii="Garamond" w:hAnsi="Garamond"/>
    </w:rPr>
  </w:style>
  <w:style w:type="paragraph" w:styleId="IndexHeading">
    <w:name w:val="index heading"/>
    <w:basedOn w:val="Normal"/>
    <w:next w:val="Index1"/>
    <w:semiHidden/>
    <w:rsid w:val="004D6C92"/>
    <w:pPr>
      <w:spacing w:before="120" w:after="120"/>
    </w:pPr>
    <w:rPr>
      <w:rFonts w:ascii="Arial" w:hAnsi="Arial"/>
      <w:b/>
      <w:color w:val="918585"/>
      <w:sz w:val="24"/>
    </w:rPr>
  </w:style>
  <w:style w:type="paragraph" w:styleId="Header">
    <w:name w:val="header"/>
    <w:basedOn w:val="Normal"/>
    <w:link w:val="HeaderChar"/>
    <w:rsid w:val="004D6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C92"/>
    <w:rPr>
      <w:rFonts w:ascii="Times New Roman" w:eastAsia="Times New Roman" w:hAnsi="Times New Roman" w:cs="Times New Roman"/>
      <w:sz w:val="16"/>
      <w:szCs w:val="20"/>
      <w:lang w:val="en-GB" w:eastAsia="en-US"/>
    </w:rPr>
  </w:style>
  <w:style w:type="paragraph" w:customStyle="1" w:styleId="Chapter">
    <w:name w:val="Chapter"/>
    <w:basedOn w:val="Normal"/>
    <w:rsid w:val="004D6C92"/>
    <w:pPr>
      <w:spacing w:before="240"/>
    </w:pPr>
    <w:rPr>
      <w:rFonts w:ascii="Times New Roman" w:hAnsi="Times New Roman"/>
      <w:smallCaps/>
      <w:spacing w:val="80"/>
      <w:sz w:val="28"/>
    </w:rPr>
  </w:style>
  <w:style w:type="paragraph" w:customStyle="1" w:styleId="InChapter">
    <w:name w:val="InChapter"/>
    <w:basedOn w:val="Heading3"/>
    <w:rsid w:val="004D6C92"/>
    <w:pPr>
      <w:spacing w:after="240"/>
      <w:outlineLvl w:val="9"/>
    </w:pPr>
    <w:rPr>
      <w:noProof/>
    </w:rPr>
  </w:style>
  <w:style w:type="paragraph" w:styleId="Index2">
    <w:name w:val="index 2"/>
    <w:basedOn w:val="Normal"/>
    <w:next w:val="Normal"/>
    <w:semiHidden/>
    <w:rsid w:val="004D6C92"/>
    <w:pPr>
      <w:tabs>
        <w:tab w:val="right" w:pos="4176"/>
      </w:tabs>
      <w:ind w:left="568" w:hanging="284"/>
    </w:pPr>
    <w:rPr>
      <w:rFonts w:ascii="Garamond" w:hAnsi="Garamond"/>
    </w:rPr>
  </w:style>
  <w:style w:type="paragraph" w:customStyle="1" w:styleId="Byline">
    <w:name w:val="Byline"/>
    <w:rsid w:val="004D6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C92"/>
    <w:pPr>
      <w:tabs>
        <w:tab w:val="clear" w:pos="3600"/>
        <w:tab w:val="clear" w:pos="3958"/>
      </w:tabs>
      <w:jc w:val="right"/>
    </w:pPr>
  </w:style>
  <w:style w:type="character" w:styleId="Emphasis">
    <w:name w:val="Emphasis"/>
    <w:basedOn w:val="DefaultParagraphFont"/>
    <w:qFormat/>
    <w:rsid w:val="004D6C92"/>
    <w:rPr>
      <w:i/>
    </w:rPr>
  </w:style>
  <w:style w:type="paragraph" w:styleId="Caption">
    <w:name w:val="caption"/>
    <w:basedOn w:val="BodyText"/>
    <w:next w:val="Normal"/>
    <w:qFormat/>
    <w:rsid w:val="004D6C92"/>
    <w:pPr>
      <w:framePr w:w="2268" w:hSpace="181" w:vSpace="181" w:wrap="around" w:vAnchor="text" w:hAnchor="page" w:x="1135" w:y="285" w:anchorLock="1"/>
    </w:pPr>
    <w:rPr>
      <w:i/>
    </w:rPr>
  </w:style>
  <w:style w:type="paragraph" w:customStyle="1" w:styleId="MiniTOCTitle">
    <w:name w:val="MiniTOCTitle"/>
    <w:basedOn w:val="Heading4"/>
    <w:rsid w:val="004D6C92"/>
    <w:pPr>
      <w:spacing w:before="240"/>
      <w:outlineLvl w:val="9"/>
    </w:pPr>
    <w:rPr>
      <w:noProof/>
      <w:sz w:val="24"/>
    </w:rPr>
  </w:style>
  <w:style w:type="paragraph" w:customStyle="1" w:styleId="MiniTOCItem">
    <w:name w:val="MiniTOCItem"/>
    <w:basedOn w:val="ListBullet"/>
    <w:rsid w:val="004D6C92"/>
    <w:pPr>
      <w:numPr>
        <w:numId w:val="0"/>
      </w:numPr>
      <w:tabs>
        <w:tab w:val="right" w:leader="dot" w:pos="6521"/>
      </w:tabs>
      <w:spacing w:before="0" w:after="0"/>
    </w:pPr>
  </w:style>
  <w:style w:type="paragraph" w:customStyle="1" w:styleId="TOFTitle">
    <w:name w:val="TOFTitle"/>
    <w:basedOn w:val="TOCTitle"/>
    <w:rsid w:val="004D6C92"/>
  </w:style>
  <w:style w:type="paragraph" w:styleId="TableofFigures">
    <w:name w:val="table of figures"/>
    <w:basedOn w:val="Normal"/>
    <w:next w:val="Normal"/>
    <w:semiHidden/>
    <w:rsid w:val="004D6C92"/>
    <w:pPr>
      <w:tabs>
        <w:tab w:val="right" w:leader="dot" w:pos="9072"/>
      </w:tabs>
      <w:ind w:left="970" w:hanging="403"/>
    </w:pPr>
    <w:rPr>
      <w:rFonts w:ascii="Times New Roman" w:hAnsi="Times New Roman"/>
      <w:b/>
    </w:rPr>
  </w:style>
  <w:style w:type="paragraph" w:styleId="ListNumber">
    <w:name w:val="List Number"/>
    <w:basedOn w:val="List"/>
    <w:rsid w:val="004D6C92"/>
    <w:pPr>
      <w:numPr>
        <w:numId w:val="11"/>
      </w:numPr>
    </w:pPr>
  </w:style>
  <w:style w:type="character" w:customStyle="1" w:styleId="WingdingSymbols">
    <w:name w:val="Wingding Symbols"/>
    <w:rsid w:val="004D6C92"/>
    <w:rPr>
      <w:rFonts w:ascii="Wingdings" w:hAnsi="Wingdings"/>
    </w:rPr>
  </w:style>
  <w:style w:type="paragraph" w:customStyle="1" w:styleId="TableHeading">
    <w:name w:val="Table Heading"/>
    <w:basedOn w:val="HeadingBase"/>
    <w:rsid w:val="004D6C92"/>
    <w:pPr>
      <w:keepLines/>
      <w:pBdr>
        <w:bottom w:val="single" w:sz="6" w:space="1" w:color="918585"/>
      </w:pBdr>
      <w:spacing w:before="240"/>
    </w:pPr>
  </w:style>
  <w:style w:type="character" w:customStyle="1" w:styleId="HotSpot">
    <w:name w:val="HotSpot"/>
    <w:rsid w:val="004D6C92"/>
    <w:rPr>
      <w:color w:val="0033CC"/>
      <w:u w:val="none"/>
    </w:rPr>
  </w:style>
  <w:style w:type="paragraph" w:customStyle="1" w:styleId="BodyTextRight">
    <w:name w:val="Body Text Right"/>
    <w:basedOn w:val="BodyText"/>
    <w:rsid w:val="004D6C92"/>
    <w:pPr>
      <w:spacing w:before="0" w:after="0"/>
      <w:jc w:val="right"/>
    </w:pPr>
  </w:style>
  <w:style w:type="paragraph" w:styleId="Index3">
    <w:name w:val="index 3"/>
    <w:basedOn w:val="ListNumber2"/>
    <w:next w:val="Normal"/>
    <w:semiHidden/>
    <w:rsid w:val="004D6C92"/>
    <w:pPr>
      <w:numPr>
        <w:numId w:val="0"/>
      </w:numPr>
      <w:tabs>
        <w:tab w:val="right" w:leader="dot" w:pos="4176"/>
      </w:tabs>
    </w:pPr>
  </w:style>
  <w:style w:type="paragraph" w:styleId="ListNumber2">
    <w:name w:val="List Number 2"/>
    <w:basedOn w:val="List2"/>
    <w:rsid w:val="004D6C92"/>
    <w:pPr>
      <w:numPr>
        <w:numId w:val="10"/>
      </w:numPr>
      <w:tabs>
        <w:tab w:val="clear" w:pos="1060"/>
      </w:tabs>
    </w:pPr>
  </w:style>
  <w:style w:type="paragraph" w:customStyle="1" w:styleId="MarginNote">
    <w:name w:val="Margin Note"/>
    <w:basedOn w:val="BodyText"/>
    <w:rsid w:val="004D6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C92"/>
    <w:rPr>
      <w:sz w:val="32"/>
    </w:rPr>
  </w:style>
  <w:style w:type="paragraph" w:customStyle="1" w:styleId="HeadingProcedure">
    <w:name w:val="Heading Procedure"/>
    <w:basedOn w:val="HeadingBase"/>
    <w:next w:val="Normal"/>
    <w:rsid w:val="004D6C92"/>
    <w:pPr>
      <w:tabs>
        <w:tab w:val="left" w:pos="0"/>
      </w:tabs>
      <w:spacing w:before="120" w:after="60"/>
    </w:pPr>
    <w:rPr>
      <w:i/>
      <w:color w:val="918585"/>
      <w:sz w:val="22"/>
    </w:rPr>
  </w:style>
  <w:style w:type="paragraph" w:customStyle="1" w:styleId="TableBodyText">
    <w:name w:val="Table Body Text"/>
    <w:basedOn w:val="BodyText"/>
    <w:rsid w:val="004D6C92"/>
    <w:pPr>
      <w:spacing w:before="60" w:after="60"/>
    </w:pPr>
  </w:style>
  <w:style w:type="paragraph" w:styleId="ListContinue">
    <w:name w:val="List Continue"/>
    <w:basedOn w:val="List"/>
    <w:rsid w:val="004D6C92"/>
    <w:pPr>
      <w:ind w:firstLine="0"/>
    </w:pPr>
  </w:style>
  <w:style w:type="paragraph" w:customStyle="1" w:styleId="ListNote">
    <w:name w:val="List Note"/>
    <w:basedOn w:val="List"/>
    <w:rsid w:val="004D6C92"/>
    <w:pPr>
      <w:pBdr>
        <w:top w:val="single" w:sz="6" w:space="2" w:color="918585"/>
        <w:bottom w:val="single" w:sz="6" w:space="2" w:color="918585"/>
      </w:pBdr>
      <w:tabs>
        <w:tab w:val="left" w:pos="1021"/>
      </w:tabs>
      <w:ind w:firstLine="0"/>
    </w:pPr>
  </w:style>
  <w:style w:type="paragraph" w:customStyle="1" w:styleId="Warning">
    <w:name w:val="Warning"/>
    <w:basedOn w:val="BodyText"/>
    <w:rsid w:val="004D6C92"/>
    <w:pPr>
      <w:shd w:val="clear" w:color="auto" w:fill="D9D9D9"/>
      <w:tabs>
        <w:tab w:val="left" w:pos="992"/>
      </w:tabs>
      <w:ind w:left="119" w:right="119"/>
    </w:pPr>
    <w:rPr>
      <w:sz w:val="20"/>
    </w:rPr>
  </w:style>
  <w:style w:type="paragraph" w:customStyle="1" w:styleId="MarginIcons">
    <w:name w:val="Margin Icons"/>
    <w:basedOn w:val="BodyText"/>
    <w:rsid w:val="004D6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C92"/>
    <w:rPr>
      <w:rFonts w:ascii="Courier New" w:hAnsi="Courier New"/>
    </w:rPr>
  </w:style>
  <w:style w:type="paragraph" w:customStyle="1" w:styleId="NoteBullet">
    <w:name w:val="Note Bullet"/>
    <w:basedOn w:val="Note"/>
    <w:rsid w:val="004D6C92"/>
    <w:pPr>
      <w:tabs>
        <w:tab w:val="clear" w:pos="680"/>
      </w:tabs>
      <w:spacing w:before="60" w:after="60"/>
    </w:pPr>
  </w:style>
  <w:style w:type="paragraph" w:customStyle="1" w:styleId="SubHeading2">
    <w:name w:val="SubHeading2"/>
    <w:basedOn w:val="HeadingBase"/>
    <w:rsid w:val="004D6C92"/>
    <w:pPr>
      <w:spacing w:before="240" w:after="60"/>
    </w:pPr>
    <w:rPr>
      <w:sz w:val="20"/>
    </w:rPr>
  </w:style>
  <w:style w:type="paragraph" w:customStyle="1" w:styleId="SubHeading1">
    <w:name w:val="SubHeading1"/>
    <w:basedOn w:val="HeadingBase"/>
    <w:rsid w:val="004D6C92"/>
    <w:pPr>
      <w:spacing w:before="240" w:after="60"/>
    </w:pPr>
    <w:rPr>
      <w:color w:val="918585"/>
      <w:sz w:val="22"/>
    </w:rPr>
  </w:style>
  <w:style w:type="paragraph" w:customStyle="1" w:styleId="SideHeading">
    <w:name w:val="Side Heading"/>
    <w:basedOn w:val="HeadingBase"/>
    <w:rsid w:val="004D6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C92"/>
    <w:pPr>
      <w:numPr>
        <w:numId w:val="12"/>
      </w:numPr>
    </w:pPr>
  </w:style>
  <w:style w:type="paragraph" w:styleId="PlainText">
    <w:name w:val="Plain Text"/>
    <w:basedOn w:val="Normal"/>
    <w:link w:val="PlainTextChar"/>
    <w:rsid w:val="004D6C92"/>
    <w:rPr>
      <w:sz w:val="20"/>
    </w:rPr>
  </w:style>
  <w:style w:type="character" w:customStyle="1" w:styleId="PlainTextChar">
    <w:name w:val="Plain Text Char"/>
    <w:basedOn w:val="DefaultParagraphFont"/>
    <w:link w:val="PlainText"/>
    <w:rsid w:val="004D6C92"/>
    <w:rPr>
      <w:rFonts w:ascii="Courier New" w:eastAsia="Times New Roman" w:hAnsi="Courier New" w:cs="Times New Roman"/>
      <w:sz w:val="20"/>
      <w:szCs w:val="20"/>
      <w:lang w:eastAsia="en-US"/>
    </w:rPr>
  </w:style>
  <w:style w:type="character" w:customStyle="1" w:styleId="MenuOption">
    <w:name w:val="Menu Option"/>
    <w:basedOn w:val="DefaultParagraphFont"/>
    <w:rsid w:val="004D6C92"/>
    <w:rPr>
      <w:b/>
      <w:smallCaps/>
    </w:rPr>
  </w:style>
  <w:style w:type="paragraph" w:customStyle="1" w:styleId="TableListNumber">
    <w:name w:val="Table List Number"/>
    <w:basedOn w:val="ListNumber"/>
    <w:rsid w:val="004D6C92"/>
    <w:pPr>
      <w:numPr>
        <w:numId w:val="0"/>
      </w:numPr>
    </w:pPr>
  </w:style>
  <w:style w:type="paragraph" w:styleId="TOC4">
    <w:name w:val="toc 4"/>
    <w:basedOn w:val="TOCBase"/>
    <w:next w:val="Normal"/>
    <w:semiHidden/>
    <w:rsid w:val="004D6C92"/>
    <w:pPr>
      <w:tabs>
        <w:tab w:val="right" w:leader="dot" w:pos="9071"/>
      </w:tabs>
      <w:ind w:left="1701"/>
    </w:pPr>
  </w:style>
  <w:style w:type="paragraph" w:customStyle="1" w:styleId="ListAlpha">
    <w:name w:val="List Alpha"/>
    <w:basedOn w:val="List"/>
    <w:rsid w:val="004D6C92"/>
    <w:pPr>
      <w:numPr>
        <w:numId w:val="9"/>
      </w:numPr>
    </w:pPr>
  </w:style>
  <w:style w:type="paragraph" w:customStyle="1" w:styleId="ListAlpha2">
    <w:name w:val="List Alpha 2"/>
    <w:basedOn w:val="List2"/>
    <w:rsid w:val="004D6C92"/>
    <w:pPr>
      <w:numPr>
        <w:numId w:val="8"/>
      </w:numPr>
    </w:pPr>
  </w:style>
  <w:style w:type="paragraph" w:styleId="List2">
    <w:name w:val="List 2"/>
    <w:basedOn w:val="BodyText"/>
    <w:rsid w:val="004D6C92"/>
    <w:pPr>
      <w:tabs>
        <w:tab w:val="left" w:pos="680"/>
      </w:tabs>
      <w:spacing w:before="60" w:after="60"/>
      <w:ind w:left="680" w:hanging="340"/>
    </w:pPr>
  </w:style>
  <w:style w:type="paragraph" w:styleId="List3">
    <w:name w:val="List 3"/>
    <w:basedOn w:val="BodyText"/>
    <w:rsid w:val="004D6C92"/>
    <w:pPr>
      <w:tabs>
        <w:tab w:val="left" w:pos="1021"/>
      </w:tabs>
      <w:spacing w:before="60" w:after="60"/>
      <w:ind w:left="1020" w:hanging="340"/>
    </w:pPr>
  </w:style>
  <w:style w:type="paragraph" w:styleId="List4">
    <w:name w:val="List 4"/>
    <w:basedOn w:val="BodyText"/>
    <w:rsid w:val="004D6C92"/>
    <w:pPr>
      <w:tabs>
        <w:tab w:val="left" w:pos="1361"/>
      </w:tabs>
      <w:spacing w:before="60" w:after="60"/>
      <w:ind w:left="1361" w:hanging="340"/>
    </w:pPr>
  </w:style>
  <w:style w:type="paragraph" w:styleId="List5">
    <w:name w:val="List 5"/>
    <w:basedOn w:val="BodyText"/>
    <w:rsid w:val="004D6C92"/>
    <w:pPr>
      <w:tabs>
        <w:tab w:val="left" w:pos="1701"/>
      </w:tabs>
      <w:spacing w:before="60" w:after="60"/>
      <w:ind w:left="1701" w:hanging="340"/>
    </w:pPr>
  </w:style>
  <w:style w:type="paragraph" w:styleId="ListBullet3">
    <w:name w:val="List Bullet 3"/>
    <w:basedOn w:val="List3"/>
    <w:rsid w:val="004D6C92"/>
    <w:pPr>
      <w:numPr>
        <w:numId w:val="15"/>
      </w:numPr>
      <w:tabs>
        <w:tab w:val="clear" w:pos="1021"/>
      </w:tabs>
      <w:ind w:left="1037" w:hanging="357"/>
    </w:pPr>
  </w:style>
  <w:style w:type="paragraph" w:styleId="ListBullet4">
    <w:name w:val="List Bullet 4"/>
    <w:basedOn w:val="List4"/>
    <w:rsid w:val="004D6C92"/>
    <w:pPr>
      <w:numPr>
        <w:numId w:val="3"/>
      </w:numPr>
    </w:pPr>
  </w:style>
  <w:style w:type="paragraph" w:styleId="ListBullet5">
    <w:name w:val="List Bullet 5"/>
    <w:basedOn w:val="List5"/>
    <w:rsid w:val="004D6C92"/>
    <w:pPr>
      <w:numPr>
        <w:numId w:val="4"/>
      </w:numPr>
    </w:pPr>
  </w:style>
  <w:style w:type="paragraph" w:styleId="ListContinue2">
    <w:name w:val="List Continue 2"/>
    <w:basedOn w:val="List2"/>
    <w:rsid w:val="004D6C92"/>
    <w:pPr>
      <w:ind w:firstLine="0"/>
    </w:pPr>
  </w:style>
  <w:style w:type="paragraph" w:styleId="ListContinue3">
    <w:name w:val="List Continue 3"/>
    <w:basedOn w:val="List3"/>
    <w:rsid w:val="004D6C92"/>
    <w:pPr>
      <w:ind w:left="1021" w:firstLine="0"/>
    </w:pPr>
  </w:style>
  <w:style w:type="paragraph" w:styleId="ListContinue4">
    <w:name w:val="List Continue 4"/>
    <w:basedOn w:val="List4"/>
    <w:rsid w:val="004D6C92"/>
    <w:pPr>
      <w:ind w:firstLine="0"/>
    </w:pPr>
  </w:style>
  <w:style w:type="paragraph" w:styleId="ListContinue5">
    <w:name w:val="List Continue 5"/>
    <w:basedOn w:val="List5"/>
    <w:rsid w:val="004D6C92"/>
    <w:pPr>
      <w:ind w:firstLine="0"/>
    </w:pPr>
  </w:style>
  <w:style w:type="paragraph" w:styleId="ListNumber3">
    <w:name w:val="List Number 3"/>
    <w:basedOn w:val="List3"/>
    <w:rsid w:val="004D6C92"/>
    <w:pPr>
      <w:numPr>
        <w:numId w:val="5"/>
      </w:numPr>
    </w:pPr>
  </w:style>
  <w:style w:type="paragraph" w:styleId="ListNumber4">
    <w:name w:val="List Number 4"/>
    <w:basedOn w:val="List4"/>
    <w:rsid w:val="004D6C92"/>
    <w:pPr>
      <w:numPr>
        <w:numId w:val="6"/>
      </w:numPr>
    </w:pPr>
  </w:style>
  <w:style w:type="paragraph" w:styleId="ListNumber5">
    <w:name w:val="List Number 5"/>
    <w:basedOn w:val="List5"/>
    <w:rsid w:val="004D6C92"/>
    <w:pPr>
      <w:numPr>
        <w:numId w:val="7"/>
      </w:numPr>
    </w:pPr>
  </w:style>
  <w:style w:type="paragraph" w:styleId="BlockText">
    <w:name w:val="Block Text"/>
    <w:basedOn w:val="Normal"/>
    <w:rsid w:val="004D6C92"/>
    <w:pPr>
      <w:spacing w:after="120"/>
      <w:ind w:left="1440" w:right="1440"/>
    </w:pPr>
  </w:style>
  <w:style w:type="character" w:customStyle="1" w:styleId="Subscript">
    <w:name w:val="Subscript"/>
    <w:basedOn w:val="DefaultParagraphFont"/>
    <w:rsid w:val="004D6C92"/>
    <w:rPr>
      <w:sz w:val="16"/>
      <w:vertAlign w:val="subscript"/>
    </w:rPr>
  </w:style>
  <w:style w:type="character" w:customStyle="1" w:styleId="Superscript">
    <w:name w:val="Superscript"/>
    <w:basedOn w:val="DefaultParagraphFont"/>
    <w:rsid w:val="004D6C92"/>
    <w:rPr>
      <w:sz w:val="16"/>
      <w:vertAlign w:val="superscript"/>
    </w:rPr>
  </w:style>
  <w:style w:type="character" w:customStyle="1" w:styleId="Symbols">
    <w:name w:val="Symbols"/>
    <w:basedOn w:val="DefaultParagraphFont"/>
    <w:rsid w:val="004D6C92"/>
    <w:rPr>
      <w:rFonts w:ascii="Symbol" w:hAnsi="Symbol"/>
    </w:rPr>
  </w:style>
  <w:style w:type="character" w:customStyle="1" w:styleId="MenuOptions">
    <w:name w:val="Menu Options"/>
    <w:basedOn w:val="DefaultParagraphFont"/>
    <w:rsid w:val="004D6C92"/>
    <w:rPr>
      <w:rFonts w:ascii="Arial Narrow" w:hAnsi="Arial Narrow"/>
      <w:smallCaps/>
    </w:rPr>
  </w:style>
  <w:style w:type="character" w:customStyle="1" w:styleId="Buttons">
    <w:name w:val="Buttons"/>
    <w:basedOn w:val="DefaultParagraphFont"/>
    <w:rsid w:val="004D6C92"/>
    <w:rPr>
      <w:b/>
    </w:rPr>
  </w:style>
  <w:style w:type="character" w:customStyle="1" w:styleId="Underlined">
    <w:name w:val="Underlined"/>
    <w:basedOn w:val="DefaultParagraphFont"/>
    <w:rsid w:val="004D6C92"/>
    <w:rPr>
      <w:u w:val="single"/>
    </w:rPr>
  </w:style>
  <w:style w:type="paragraph" w:customStyle="1" w:styleId="TableBodyTextRight">
    <w:name w:val="Table Body Text Right"/>
    <w:basedOn w:val="TableBodyText"/>
    <w:rsid w:val="004D6C92"/>
    <w:pPr>
      <w:widowControl w:val="0"/>
      <w:autoSpaceDE w:val="0"/>
      <w:autoSpaceDN w:val="0"/>
      <w:adjustRightInd w:val="0"/>
      <w:jc w:val="right"/>
    </w:pPr>
    <w:rPr>
      <w:rFonts w:cs="Arial"/>
      <w:szCs w:val="18"/>
    </w:rPr>
  </w:style>
  <w:style w:type="paragraph" w:customStyle="1" w:styleId="CopyrightText">
    <w:name w:val="Copyright Text"/>
    <w:basedOn w:val="BodyText"/>
    <w:rsid w:val="004D6C92"/>
    <w:rPr>
      <w:sz w:val="18"/>
    </w:rPr>
  </w:style>
  <w:style w:type="paragraph" w:customStyle="1" w:styleId="BodySmallRight">
    <w:name w:val="Body Small Right"/>
    <w:basedOn w:val="BodyTextRight"/>
    <w:rsid w:val="004D6C92"/>
    <w:rPr>
      <w:sz w:val="18"/>
      <w:szCs w:val="18"/>
    </w:rPr>
  </w:style>
  <w:style w:type="paragraph" w:customStyle="1" w:styleId="MarginEdition">
    <w:name w:val="Margin Edition"/>
    <w:basedOn w:val="MarginNote"/>
    <w:rsid w:val="004D6C92"/>
    <w:pPr>
      <w:spacing w:before="0" w:after="0"/>
    </w:pPr>
    <w:rPr>
      <w:rFonts w:ascii="Times New Roman" w:hAnsi="Times New Roman"/>
      <w:color w:val="999999"/>
    </w:rPr>
  </w:style>
  <w:style w:type="paragraph" w:customStyle="1" w:styleId="Spacer">
    <w:name w:val="Spacer"/>
    <w:basedOn w:val="Normal"/>
    <w:rsid w:val="004D6C92"/>
    <w:rPr>
      <w:sz w:val="2"/>
      <w:szCs w:val="2"/>
    </w:rPr>
  </w:style>
  <w:style w:type="character" w:customStyle="1" w:styleId="Small">
    <w:name w:val="Small"/>
    <w:basedOn w:val="DefaultParagraphFont"/>
    <w:rsid w:val="004D6C92"/>
    <w:rPr>
      <w:sz w:val="16"/>
    </w:rPr>
  </w:style>
  <w:style w:type="paragraph" w:customStyle="1" w:styleId="WideTable">
    <w:name w:val="Wide Table"/>
    <w:basedOn w:val="Normal"/>
    <w:rsid w:val="004D6C92"/>
    <w:pPr>
      <w:ind w:left="-1418"/>
    </w:pPr>
    <w:rPr>
      <w:sz w:val="2"/>
      <w:szCs w:val="2"/>
    </w:rPr>
  </w:style>
  <w:style w:type="character" w:styleId="PageNumber">
    <w:name w:val="page number"/>
    <w:basedOn w:val="DefaultParagraphFont"/>
    <w:rsid w:val="004D6C92"/>
  </w:style>
  <w:style w:type="paragraph" w:styleId="Quote">
    <w:name w:val="Quote"/>
    <w:basedOn w:val="Heading1"/>
    <w:link w:val="QuoteChar"/>
    <w:qFormat/>
    <w:rsid w:val="004D6C92"/>
    <w:rPr>
      <w:b w:val="0"/>
      <w:sz w:val="72"/>
      <w:szCs w:val="72"/>
      <w:lang w:val="en-NZ"/>
    </w:rPr>
  </w:style>
  <w:style w:type="character" w:customStyle="1" w:styleId="QuoteChar">
    <w:name w:val="Quote Char"/>
    <w:basedOn w:val="DefaultParagraphFont"/>
    <w:link w:val="Quote"/>
    <w:rsid w:val="004D6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C92"/>
    <w:pPr>
      <w:pageBreakBefore/>
    </w:pPr>
  </w:style>
  <w:style w:type="paragraph" w:customStyle="1" w:styleId="Border">
    <w:name w:val="Border"/>
    <w:basedOn w:val="Normal"/>
    <w:qFormat/>
    <w:rsid w:val="004D6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C92"/>
    <w:rPr>
      <w:b/>
      <w:bCs/>
      <w:i/>
      <w:iCs/>
      <w:color w:val="auto"/>
    </w:rPr>
  </w:style>
  <w:style w:type="paragraph" w:styleId="IntenseQuote">
    <w:name w:val="Intense Quote"/>
    <w:basedOn w:val="Normal"/>
    <w:next w:val="Normal"/>
    <w:link w:val="IntenseQuoteChar"/>
    <w:uiPriority w:val="30"/>
    <w:qFormat/>
    <w:rsid w:val="004D6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C92"/>
    <w:rPr>
      <w:smallCaps/>
      <w:color w:val="auto"/>
      <w:u w:val="single"/>
    </w:rPr>
  </w:style>
  <w:style w:type="character" w:styleId="IntenseReference">
    <w:name w:val="Intense Reference"/>
    <w:basedOn w:val="DefaultParagraphFont"/>
    <w:uiPriority w:val="32"/>
    <w:qFormat/>
    <w:rsid w:val="004D6C92"/>
    <w:rPr>
      <w:b/>
      <w:bCs/>
      <w:smallCaps/>
      <w:color w:val="auto"/>
      <w:spacing w:val="5"/>
      <w:u w:val="single"/>
    </w:rPr>
  </w:style>
  <w:style w:type="paragraph" w:customStyle="1" w:styleId="2ColumnHeading">
    <w:name w:val="2Column Heading"/>
    <w:basedOn w:val="BodyText"/>
    <w:qFormat/>
    <w:rsid w:val="004D6C92"/>
    <w:pPr>
      <w:spacing w:after="60"/>
      <w:ind w:left="-2268"/>
    </w:pPr>
    <w:rPr>
      <w:b/>
    </w:rPr>
  </w:style>
  <w:style w:type="paragraph" w:customStyle="1" w:styleId="Heading1TOC">
    <w:name w:val="Heading1 TOC"/>
    <w:basedOn w:val="Normal"/>
    <w:qFormat/>
    <w:rsid w:val="004D6C92"/>
    <w:pPr>
      <w:spacing w:before="240" w:after="120"/>
    </w:pPr>
    <w:rPr>
      <w:rFonts w:ascii="Times New Roman" w:hAnsi="Times New Roman"/>
      <w:b/>
      <w:sz w:val="32"/>
    </w:rPr>
  </w:style>
  <w:style w:type="paragraph" w:customStyle="1" w:styleId="Heading2TOC">
    <w:name w:val="Heading2 TOC"/>
    <w:basedOn w:val="Normal"/>
    <w:qFormat/>
    <w:rsid w:val="004D6C92"/>
    <w:pPr>
      <w:spacing w:before="240" w:after="60"/>
    </w:pPr>
    <w:rPr>
      <w:rFonts w:ascii="Times New Roman" w:hAnsi="Times New Roman"/>
      <w:b/>
      <w:sz w:val="28"/>
    </w:rPr>
  </w:style>
  <w:style w:type="character" w:customStyle="1" w:styleId="Underline">
    <w:name w:val="Underline"/>
    <w:basedOn w:val="DefaultParagraphFont"/>
    <w:qFormat/>
    <w:rsid w:val="004D6C92"/>
    <w:rPr>
      <w:u w:val="single"/>
    </w:rPr>
  </w:style>
  <w:style w:type="character" w:customStyle="1" w:styleId="BoldandItalics">
    <w:name w:val="Bold and Italics"/>
    <w:qFormat/>
    <w:rsid w:val="004D6C92"/>
    <w:rPr>
      <w:b/>
      <w:i/>
      <w:u w:val="none"/>
    </w:rPr>
  </w:style>
  <w:style w:type="paragraph" w:styleId="BalloonText">
    <w:name w:val="Balloon Text"/>
    <w:basedOn w:val="Normal"/>
    <w:link w:val="BalloonTextChar"/>
    <w:rsid w:val="004D6C92"/>
    <w:rPr>
      <w:rFonts w:ascii="Tahoma" w:hAnsi="Tahoma" w:cs="Tahoma"/>
      <w:sz w:val="16"/>
      <w:szCs w:val="16"/>
    </w:rPr>
  </w:style>
  <w:style w:type="character" w:customStyle="1" w:styleId="BalloonTextChar">
    <w:name w:val="Balloon Text Char"/>
    <w:basedOn w:val="DefaultParagraphFont"/>
    <w:link w:val="BalloonText"/>
    <w:rsid w:val="004D6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C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6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C92"/>
    <w:rPr>
      <w:b/>
      <w:color w:val="660033"/>
      <w:spacing w:val="0"/>
    </w:rPr>
  </w:style>
  <w:style w:type="paragraph" w:customStyle="1" w:styleId="Nameditemlist">
    <w:name w:val="Named item list"/>
    <w:basedOn w:val="BodyText"/>
    <w:qFormat/>
    <w:rsid w:val="004D6C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2265</Words>
  <Characters>13511</Characters>
  <Application>Microsoft Office Word</Application>
  <DocSecurity>0</DocSecurity>
  <Lines>492</Lines>
  <Paragraphs>190</Paragraphs>
  <ScaleCrop>false</ScaleCrop>
  <Company>Author-it Software Corporation Ltd.</Company>
  <LinksUpToDate>false</LinksUpToDate>
  <CharactersWithSpaces>15644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UEENEEK131A Design wind energy conversion systems (WECS) rated to 10 kW</dc:title>
  <dc:subject>Approved</dc:subject>
  <dc:creator>E-OZ Training Standards</dc:creator>
  <cp:keywords>Release 2</cp:keywords>
  <dc:description>Review Date: 12 April 2008</dc:description>
  <cp:lastModifiedBy>HSD_TPCMSd.prod</cp:lastModifiedBy>
  <cp:revision>3</cp:revision>
  <dcterms:created xsi:type="dcterms:W3CDTF">2013-08-14T01:16:00Z</dcterms:created>
  <dcterms:modified xsi:type="dcterms:W3CDTF">2013-08-14T01:16:00Z</dcterms:modified>
</cp:coreProperties>
</file>